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F5A7" w14:textId="77777777" w:rsidR="002E2503" w:rsidRPr="002E2503" w:rsidRDefault="002E2503" w:rsidP="002E2503">
      <w:pPr>
        <w:pStyle w:val="ListParagraph"/>
        <w:keepNext/>
        <w:numPr>
          <w:ilvl w:val="0"/>
          <w:numId w:val="2"/>
        </w:numPr>
        <w:spacing w:before="100" w:after="200"/>
        <w:outlineLvl w:val="0"/>
        <w:rPr>
          <w:rFonts w:cs="Arial"/>
          <w:b/>
          <w:bCs/>
          <w:vanish/>
          <w:kern w:val="32"/>
          <w:sz w:val="32"/>
          <w:szCs w:val="32"/>
        </w:rPr>
      </w:pPr>
      <w:bookmarkStart w:id="0" w:name="_Toc29993471"/>
      <w:bookmarkStart w:id="1" w:name="_Toc29993506"/>
    </w:p>
    <w:p w14:paraId="79F3B29D" w14:textId="77777777" w:rsidR="002E2503" w:rsidRPr="002E2503" w:rsidRDefault="002E2503" w:rsidP="002E2503">
      <w:pPr>
        <w:pStyle w:val="ListParagraph"/>
        <w:keepNext/>
        <w:numPr>
          <w:ilvl w:val="1"/>
          <w:numId w:val="2"/>
        </w:numPr>
        <w:spacing w:before="100" w:after="200"/>
        <w:outlineLvl w:val="1"/>
        <w:rPr>
          <w:rFonts w:cs="Arial"/>
          <w:b/>
          <w:bCs/>
          <w:iCs/>
          <w:vanish/>
          <w:sz w:val="28"/>
          <w:szCs w:val="28"/>
        </w:rPr>
      </w:pPr>
    </w:p>
    <w:p w14:paraId="5D05F8D1" w14:textId="77777777" w:rsidR="002E2503" w:rsidRPr="002E2503" w:rsidRDefault="002E2503" w:rsidP="002E2503">
      <w:pPr>
        <w:pStyle w:val="ListParagraph"/>
        <w:keepNext/>
        <w:numPr>
          <w:ilvl w:val="1"/>
          <w:numId w:val="2"/>
        </w:numPr>
        <w:spacing w:before="100" w:after="200"/>
        <w:outlineLvl w:val="1"/>
        <w:rPr>
          <w:rFonts w:cs="Arial"/>
          <w:b/>
          <w:bCs/>
          <w:iCs/>
          <w:vanish/>
          <w:sz w:val="28"/>
          <w:szCs w:val="28"/>
        </w:rPr>
      </w:pPr>
    </w:p>
    <w:p w14:paraId="545FE4F1"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67054ECF"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7FACF1B6"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2E5C07F8"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7765AD93"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0992AD5F"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541C064C"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41D03C49"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24FF5632"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2AA56DA6"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7D073A6D"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168B2E3D"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785ABF71"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63E76E0D"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02C3E852"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10B7DD86"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17AF207F"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6F5C5E65"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60153C57" w14:textId="77777777" w:rsidR="002E2503" w:rsidRPr="002E2503" w:rsidRDefault="002E2503" w:rsidP="002E2503">
      <w:pPr>
        <w:pStyle w:val="ListParagraph"/>
        <w:keepNext/>
        <w:numPr>
          <w:ilvl w:val="2"/>
          <w:numId w:val="2"/>
        </w:numPr>
        <w:spacing w:before="100" w:after="200"/>
        <w:outlineLvl w:val="2"/>
        <w:rPr>
          <w:rFonts w:cs="Arial"/>
          <w:b/>
          <w:bCs/>
          <w:vanish/>
          <w:sz w:val="24"/>
          <w:szCs w:val="26"/>
        </w:rPr>
      </w:pPr>
    </w:p>
    <w:p w14:paraId="59A65781" w14:textId="459E2C45" w:rsidR="002E2503" w:rsidRPr="0085374A" w:rsidRDefault="002E2503" w:rsidP="002E2503">
      <w:pPr>
        <w:pStyle w:val="Heading3"/>
        <w:ind w:right="5951"/>
      </w:pPr>
      <w:r w:rsidRPr="0085374A">
        <w:t>Specialised centre zone code</w:t>
      </w:r>
      <w:bookmarkEnd w:id="0"/>
      <w:bookmarkEnd w:id="1"/>
    </w:p>
    <w:p w14:paraId="5D77CAD4" w14:textId="77777777" w:rsidR="002E2503" w:rsidRPr="0085374A" w:rsidRDefault="002E2503" w:rsidP="002E2503">
      <w:pPr>
        <w:pStyle w:val="Heading4"/>
        <w:spacing w:before="100" w:after="200"/>
        <w:ind w:right="5951"/>
      </w:pPr>
      <w:r w:rsidRPr="0085374A">
        <w:t>Application</w:t>
      </w:r>
    </w:p>
    <w:p w14:paraId="2AA2B16B" w14:textId="77777777" w:rsidR="00615493" w:rsidRPr="007222E9" w:rsidRDefault="00615493" w:rsidP="00615493">
      <w:pPr>
        <w:tabs>
          <w:tab w:val="num" w:pos="1827"/>
        </w:tabs>
        <w:rPr>
          <w:sz w:val="18"/>
          <w:szCs w:val="18"/>
        </w:rPr>
      </w:pPr>
      <w:r w:rsidRPr="007222E9">
        <w:rPr>
          <w:sz w:val="18"/>
          <w:szCs w:val="18"/>
        </w:rPr>
        <w:t>This code applies to development:-</w:t>
      </w:r>
    </w:p>
    <w:p w14:paraId="3E7D187C" w14:textId="77777777" w:rsidR="00615493" w:rsidRPr="007222E9" w:rsidRDefault="00615493" w:rsidP="00615493">
      <w:pPr>
        <w:tabs>
          <w:tab w:val="num" w:pos="1827"/>
        </w:tabs>
        <w:rPr>
          <w:sz w:val="18"/>
          <w:szCs w:val="18"/>
        </w:rPr>
      </w:pPr>
    </w:p>
    <w:p w14:paraId="602112E1" w14:textId="77777777" w:rsidR="00615493" w:rsidRPr="007222E9" w:rsidRDefault="00615493" w:rsidP="00615493">
      <w:pPr>
        <w:numPr>
          <w:ilvl w:val="0"/>
          <w:numId w:val="118"/>
        </w:numPr>
        <w:tabs>
          <w:tab w:val="num" w:pos="1827"/>
        </w:tabs>
        <w:rPr>
          <w:sz w:val="18"/>
          <w:szCs w:val="18"/>
        </w:rPr>
      </w:pPr>
      <w:r w:rsidRPr="007222E9">
        <w:rPr>
          <w:sz w:val="18"/>
          <w:szCs w:val="18"/>
        </w:rPr>
        <w:t>within the Specialised centre zone as identified on the zon</w:t>
      </w:r>
      <w:r>
        <w:rPr>
          <w:sz w:val="18"/>
          <w:szCs w:val="18"/>
        </w:rPr>
        <w:t xml:space="preserve">e </w:t>
      </w:r>
      <w:r w:rsidRPr="007222E9">
        <w:rPr>
          <w:sz w:val="18"/>
          <w:szCs w:val="18"/>
        </w:rPr>
        <w:t>maps</w:t>
      </w:r>
      <w:r w:rsidRPr="00482FA6">
        <w:rPr>
          <w:sz w:val="18"/>
          <w:szCs w:val="18"/>
        </w:rPr>
        <w:t xml:space="preserve"> contained in </w:t>
      </w:r>
      <w:r w:rsidRPr="00482FA6">
        <w:rPr>
          <w:b/>
          <w:sz w:val="18"/>
          <w:szCs w:val="18"/>
        </w:rPr>
        <w:t>Schedule 2 (Mapping)</w:t>
      </w:r>
      <w:r w:rsidRPr="00482FA6">
        <w:rPr>
          <w:sz w:val="18"/>
          <w:szCs w:val="18"/>
        </w:rPr>
        <w:t>; and</w:t>
      </w:r>
    </w:p>
    <w:p w14:paraId="6FDE26AA" w14:textId="77777777" w:rsidR="00615493" w:rsidRPr="007222E9" w:rsidRDefault="00615493" w:rsidP="00615493">
      <w:pPr>
        <w:rPr>
          <w:sz w:val="18"/>
          <w:szCs w:val="18"/>
        </w:rPr>
      </w:pPr>
    </w:p>
    <w:p w14:paraId="387E3B4C" w14:textId="77777777" w:rsidR="00615493" w:rsidRPr="007222E9" w:rsidRDefault="00615493" w:rsidP="00615493">
      <w:pPr>
        <w:numPr>
          <w:ilvl w:val="0"/>
          <w:numId w:val="118"/>
        </w:numPr>
        <w:tabs>
          <w:tab w:val="num" w:pos="1827"/>
        </w:tabs>
        <w:rPr>
          <w:sz w:val="18"/>
          <w:szCs w:val="18"/>
        </w:rPr>
      </w:pPr>
      <w:r w:rsidRPr="007222E9">
        <w:rPr>
          <w:sz w:val="18"/>
          <w:szCs w:val="18"/>
        </w:rPr>
        <w:t xml:space="preserve">identified as requiring assessment against the Specialised centre zone code by the tables of assessment in </w:t>
      </w:r>
      <w:r w:rsidRPr="007222E9">
        <w:rPr>
          <w:b/>
          <w:sz w:val="18"/>
          <w:szCs w:val="18"/>
        </w:rPr>
        <w:t>Part 5 (Tables of assessment)</w:t>
      </w:r>
      <w:r w:rsidRPr="007222E9">
        <w:rPr>
          <w:sz w:val="18"/>
          <w:szCs w:val="18"/>
        </w:rPr>
        <w:t>.</w:t>
      </w:r>
    </w:p>
    <w:p w14:paraId="63C5796A" w14:textId="77777777" w:rsidR="002E2503" w:rsidRPr="0085374A" w:rsidRDefault="002E2503" w:rsidP="002E2503">
      <w:pPr>
        <w:tabs>
          <w:tab w:val="num" w:pos="1827"/>
        </w:tabs>
        <w:ind w:right="5951"/>
      </w:pPr>
    </w:p>
    <w:p w14:paraId="29CFD670" w14:textId="77777777" w:rsidR="002E2503" w:rsidRPr="0085374A" w:rsidRDefault="002E2503" w:rsidP="002E2503">
      <w:pPr>
        <w:pStyle w:val="Heading4"/>
        <w:spacing w:before="100" w:after="200"/>
        <w:ind w:right="5951"/>
      </w:pPr>
      <w:r w:rsidRPr="0085374A">
        <w:t>Purpose and overall outcomes</w:t>
      </w:r>
    </w:p>
    <w:p w14:paraId="43C40C4A" w14:textId="77777777" w:rsidR="00615493" w:rsidRPr="007222E9" w:rsidRDefault="00615493" w:rsidP="00615493">
      <w:pPr>
        <w:numPr>
          <w:ilvl w:val="0"/>
          <w:numId w:val="77"/>
        </w:numPr>
        <w:rPr>
          <w:sz w:val="18"/>
          <w:szCs w:val="18"/>
        </w:rPr>
      </w:pPr>
      <w:r w:rsidRPr="007222E9">
        <w:rPr>
          <w:sz w:val="18"/>
          <w:szCs w:val="18"/>
        </w:rPr>
        <w:t>The purpose of the Specialised centre zone code is to provide for large floor plate retail business activities and other activities which because of their size, requirement for high levels of accessibility to private motor vehicle traffic, or other characteristics, are best located outside of identified activity centres and adjacent to major road transport corridors.</w:t>
      </w:r>
    </w:p>
    <w:p w14:paraId="53183951" w14:textId="77777777" w:rsidR="00615493" w:rsidRPr="007222E9" w:rsidRDefault="00615493" w:rsidP="00615493">
      <w:pPr>
        <w:ind w:left="567"/>
        <w:rPr>
          <w:sz w:val="18"/>
          <w:szCs w:val="18"/>
        </w:rPr>
      </w:pPr>
    </w:p>
    <w:p w14:paraId="635BA85F" w14:textId="77777777" w:rsidR="00615493" w:rsidRPr="007222E9" w:rsidRDefault="00615493" w:rsidP="00615493">
      <w:pPr>
        <w:numPr>
          <w:ilvl w:val="0"/>
          <w:numId w:val="77"/>
        </w:numPr>
        <w:rPr>
          <w:sz w:val="18"/>
          <w:szCs w:val="18"/>
        </w:rPr>
      </w:pPr>
      <w:r w:rsidRPr="007222E9">
        <w:rPr>
          <w:sz w:val="18"/>
          <w:szCs w:val="18"/>
        </w:rPr>
        <w:t>The purpose of the Specialised centre zone code will be achieved through the following overall outcomes:-</w:t>
      </w:r>
    </w:p>
    <w:p w14:paraId="4E573D72" w14:textId="77777777" w:rsidR="00615493" w:rsidRPr="007222E9" w:rsidRDefault="00615493" w:rsidP="00615493">
      <w:pPr>
        <w:ind w:left="567"/>
        <w:rPr>
          <w:sz w:val="18"/>
          <w:szCs w:val="18"/>
        </w:rPr>
      </w:pPr>
    </w:p>
    <w:p w14:paraId="03DD1EB3" w14:textId="77777777" w:rsidR="00615493" w:rsidRPr="007222E9" w:rsidRDefault="00615493" w:rsidP="00615493">
      <w:pPr>
        <w:numPr>
          <w:ilvl w:val="1"/>
          <w:numId w:val="77"/>
        </w:numPr>
        <w:tabs>
          <w:tab w:val="num" w:pos="1440"/>
        </w:tabs>
        <w:rPr>
          <w:sz w:val="18"/>
          <w:szCs w:val="18"/>
        </w:rPr>
      </w:pPr>
      <w:r w:rsidRPr="007222E9">
        <w:rPr>
          <w:sz w:val="18"/>
          <w:szCs w:val="18"/>
        </w:rPr>
        <w:t xml:space="preserve">development provides for a range of retail business uses that have large floor plates and require high levels of visibility and accessibility to major roads; </w:t>
      </w:r>
    </w:p>
    <w:p w14:paraId="54EF7C2A" w14:textId="77777777" w:rsidR="00615493" w:rsidRPr="007222E9" w:rsidRDefault="00615493" w:rsidP="00615493">
      <w:pPr>
        <w:tabs>
          <w:tab w:val="num" w:pos="1134"/>
        </w:tabs>
        <w:ind w:left="1134" w:hanging="567"/>
        <w:rPr>
          <w:sz w:val="18"/>
          <w:szCs w:val="18"/>
        </w:rPr>
      </w:pPr>
    </w:p>
    <w:p w14:paraId="027B2783" w14:textId="77777777" w:rsidR="00615493" w:rsidRPr="007222E9" w:rsidRDefault="00615493" w:rsidP="00615493">
      <w:pPr>
        <w:numPr>
          <w:ilvl w:val="1"/>
          <w:numId w:val="77"/>
        </w:numPr>
        <w:tabs>
          <w:tab w:val="num" w:pos="1440"/>
        </w:tabs>
        <w:rPr>
          <w:sz w:val="18"/>
          <w:szCs w:val="18"/>
        </w:rPr>
      </w:pPr>
      <w:r w:rsidRPr="007222E9">
        <w:rPr>
          <w:sz w:val="18"/>
          <w:szCs w:val="18"/>
        </w:rPr>
        <w:t>development also provides for other business uses, some residential uses</w:t>
      </w:r>
      <w:r>
        <w:rPr>
          <w:sz w:val="18"/>
          <w:szCs w:val="18"/>
        </w:rPr>
        <w:t xml:space="preserve"> </w:t>
      </w:r>
      <w:r w:rsidRPr="007222E9">
        <w:rPr>
          <w:sz w:val="18"/>
          <w:szCs w:val="18"/>
        </w:rPr>
        <w:t xml:space="preserve">and some industrial uses </w:t>
      </w:r>
      <w:r>
        <w:rPr>
          <w:sz w:val="18"/>
          <w:szCs w:val="18"/>
        </w:rPr>
        <w:t>which</w:t>
      </w:r>
      <w:r w:rsidRPr="007222E9">
        <w:rPr>
          <w:sz w:val="18"/>
          <w:szCs w:val="18"/>
        </w:rPr>
        <w:t xml:space="preserve"> are well suited to establish in the zone;</w:t>
      </w:r>
    </w:p>
    <w:p w14:paraId="49A76E4F" w14:textId="77777777" w:rsidR="00615493" w:rsidRPr="007222E9" w:rsidRDefault="00615493" w:rsidP="00615493">
      <w:pPr>
        <w:tabs>
          <w:tab w:val="num" w:pos="1134"/>
        </w:tabs>
        <w:ind w:left="1134" w:hanging="567"/>
        <w:rPr>
          <w:sz w:val="18"/>
          <w:szCs w:val="18"/>
        </w:rPr>
      </w:pPr>
    </w:p>
    <w:p w14:paraId="373F9C80" w14:textId="77777777" w:rsidR="00615493" w:rsidRDefault="00615493" w:rsidP="00615493">
      <w:pPr>
        <w:numPr>
          <w:ilvl w:val="1"/>
          <w:numId w:val="77"/>
        </w:numPr>
        <w:tabs>
          <w:tab w:val="num" w:pos="1440"/>
        </w:tabs>
        <w:rPr>
          <w:sz w:val="18"/>
          <w:szCs w:val="18"/>
        </w:rPr>
      </w:pPr>
      <w:r w:rsidRPr="007222E9">
        <w:rPr>
          <w:sz w:val="18"/>
          <w:szCs w:val="18"/>
        </w:rPr>
        <w:t xml:space="preserve">development </w:t>
      </w:r>
      <w:r>
        <w:rPr>
          <w:sz w:val="18"/>
          <w:szCs w:val="18"/>
        </w:rPr>
        <w:t xml:space="preserve">in the zone </w:t>
      </w:r>
      <w:r w:rsidRPr="007222E9">
        <w:rPr>
          <w:sz w:val="18"/>
          <w:szCs w:val="18"/>
        </w:rPr>
        <w:t>does not provide for higher order and other retail facilities better suited to establishing within an activity centre</w:t>
      </w:r>
      <w:r>
        <w:rPr>
          <w:sz w:val="18"/>
          <w:szCs w:val="18"/>
        </w:rPr>
        <w:t>;</w:t>
      </w:r>
    </w:p>
    <w:p w14:paraId="1E63B624" w14:textId="77777777" w:rsidR="00615493" w:rsidRDefault="00615493" w:rsidP="00615493">
      <w:pPr>
        <w:pStyle w:val="ListParagraph"/>
        <w:rPr>
          <w:sz w:val="18"/>
          <w:szCs w:val="18"/>
        </w:rPr>
      </w:pPr>
    </w:p>
    <w:p w14:paraId="724F3C2C" w14:textId="77777777" w:rsidR="00615493" w:rsidRPr="002040B3" w:rsidRDefault="00615493" w:rsidP="00615493">
      <w:pPr>
        <w:numPr>
          <w:ilvl w:val="1"/>
          <w:numId w:val="77"/>
        </w:numPr>
        <w:rPr>
          <w:sz w:val="18"/>
          <w:szCs w:val="18"/>
        </w:rPr>
      </w:pPr>
      <w:r w:rsidRPr="002040B3">
        <w:rPr>
          <w:sz w:val="18"/>
          <w:szCs w:val="18"/>
        </w:rPr>
        <w:t>land uses contributing to employment, education and services in the Bundaberg Region are located in the centre commensurate with its local role and function.</w:t>
      </w:r>
      <w:r>
        <w:rPr>
          <w:sz w:val="18"/>
          <w:szCs w:val="18"/>
        </w:rPr>
        <w:t xml:space="preserve"> However, d</w:t>
      </w:r>
      <w:r w:rsidRPr="002040B3">
        <w:rPr>
          <w:sz w:val="18"/>
          <w:szCs w:val="18"/>
        </w:rPr>
        <w:t>evelopment does not undermine or compromise the activity centre network by proposing a higher order</w:t>
      </w:r>
      <w:r>
        <w:rPr>
          <w:sz w:val="18"/>
          <w:szCs w:val="18"/>
        </w:rPr>
        <w:t>,</w:t>
      </w:r>
      <w:r w:rsidRPr="002040B3">
        <w:rPr>
          <w:sz w:val="18"/>
          <w:szCs w:val="18"/>
        </w:rPr>
        <w:t xml:space="preserve"> Iarger scale</w:t>
      </w:r>
      <w:r>
        <w:rPr>
          <w:sz w:val="18"/>
          <w:szCs w:val="18"/>
        </w:rPr>
        <w:t xml:space="preserve"> or different types of</w:t>
      </w:r>
      <w:r w:rsidRPr="002040B3">
        <w:rPr>
          <w:sz w:val="18"/>
          <w:szCs w:val="18"/>
        </w:rPr>
        <w:t xml:space="preserve"> us</w:t>
      </w:r>
      <w:r>
        <w:rPr>
          <w:sz w:val="18"/>
          <w:szCs w:val="18"/>
        </w:rPr>
        <w:t>es than intended for the centre;</w:t>
      </w:r>
    </w:p>
    <w:p w14:paraId="64C44D8E" w14:textId="77777777" w:rsidR="00615493" w:rsidRPr="002040B3" w:rsidRDefault="00615493" w:rsidP="00615493">
      <w:pPr>
        <w:ind w:left="1134"/>
        <w:rPr>
          <w:sz w:val="18"/>
          <w:szCs w:val="18"/>
        </w:rPr>
      </w:pPr>
    </w:p>
    <w:p w14:paraId="59E03E3D" w14:textId="77777777" w:rsidR="00615493" w:rsidRPr="0049682D" w:rsidRDefault="00615493" w:rsidP="00615493">
      <w:pPr>
        <w:numPr>
          <w:ilvl w:val="1"/>
          <w:numId w:val="77"/>
        </w:numPr>
        <w:tabs>
          <w:tab w:val="num" w:pos="1440"/>
        </w:tabs>
        <w:rPr>
          <w:sz w:val="18"/>
          <w:szCs w:val="18"/>
        </w:rPr>
      </w:pPr>
      <w:r w:rsidRPr="002040B3">
        <w:rPr>
          <w:sz w:val="18"/>
          <w:szCs w:val="18"/>
        </w:rPr>
        <w:t xml:space="preserve">new regional level State government facilities for justice, education, health, community, administration and employment activities serving the Bundaberg Region are located in the Bundaberg CBD as the principal activity centre rather than in </w:t>
      </w:r>
      <w:r>
        <w:rPr>
          <w:sz w:val="18"/>
          <w:szCs w:val="18"/>
        </w:rPr>
        <w:t xml:space="preserve">a specialised </w:t>
      </w:r>
      <w:r w:rsidRPr="002040B3">
        <w:rPr>
          <w:sz w:val="18"/>
          <w:szCs w:val="18"/>
        </w:rPr>
        <w:t>centre</w:t>
      </w:r>
      <w:r>
        <w:rPr>
          <w:sz w:val="18"/>
          <w:szCs w:val="18"/>
        </w:rPr>
        <w:t>;</w:t>
      </w:r>
    </w:p>
    <w:p w14:paraId="0AC09B75" w14:textId="77777777" w:rsidR="00615493" w:rsidRPr="007222E9" w:rsidRDefault="00615493" w:rsidP="00615493">
      <w:pPr>
        <w:rPr>
          <w:sz w:val="18"/>
          <w:szCs w:val="18"/>
        </w:rPr>
      </w:pPr>
    </w:p>
    <w:p w14:paraId="1A187D32" w14:textId="77777777" w:rsidR="00615493" w:rsidRPr="007222E9" w:rsidRDefault="00615493" w:rsidP="00615493">
      <w:pPr>
        <w:numPr>
          <w:ilvl w:val="1"/>
          <w:numId w:val="77"/>
        </w:numPr>
        <w:tabs>
          <w:tab w:val="num" w:pos="1440"/>
        </w:tabs>
        <w:rPr>
          <w:sz w:val="18"/>
          <w:szCs w:val="18"/>
        </w:rPr>
      </w:pPr>
      <w:r w:rsidRPr="007222E9">
        <w:rPr>
          <w:sz w:val="18"/>
          <w:szCs w:val="18"/>
        </w:rPr>
        <w:t xml:space="preserve">development incorporates a high standard of </w:t>
      </w:r>
      <w:r>
        <w:rPr>
          <w:sz w:val="18"/>
          <w:szCs w:val="18"/>
        </w:rPr>
        <w:t xml:space="preserve">built form, </w:t>
      </w:r>
      <w:r w:rsidRPr="007222E9">
        <w:rPr>
          <w:sz w:val="18"/>
          <w:szCs w:val="18"/>
        </w:rPr>
        <w:t xml:space="preserve">urban design and landscaping </w:t>
      </w:r>
      <w:r w:rsidRPr="006B3B8F">
        <w:rPr>
          <w:rFonts w:cs="Arial"/>
          <w:sz w:val="18"/>
          <w:szCs w:val="18"/>
        </w:rPr>
        <w:t xml:space="preserve"> which makes a positive contribution to the streetscape</w:t>
      </w:r>
      <w:r>
        <w:rPr>
          <w:rFonts w:cs="Arial"/>
          <w:sz w:val="18"/>
          <w:szCs w:val="18"/>
        </w:rPr>
        <w:t xml:space="preserve"> and </w:t>
      </w:r>
      <w:r w:rsidRPr="006B3B8F">
        <w:rPr>
          <w:rFonts w:cs="Arial"/>
          <w:sz w:val="18"/>
          <w:szCs w:val="18"/>
        </w:rPr>
        <w:t xml:space="preserve">is sympathetic to the existing and intended scale and </w:t>
      </w:r>
      <w:r w:rsidRPr="00DA7C2E">
        <w:rPr>
          <w:rFonts w:cs="Arial"/>
          <w:sz w:val="18"/>
          <w:szCs w:val="18"/>
        </w:rPr>
        <w:t>character</w:t>
      </w:r>
      <w:r w:rsidRPr="006720AC">
        <w:rPr>
          <w:rFonts w:cs="Arial"/>
          <w:sz w:val="18"/>
          <w:szCs w:val="18"/>
        </w:rPr>
        <w:t xml:space="preserve"> of the surrounding area</w:t>
      </w:r>
      <w:r>
        <w:rPr>
          <w:rFonts w:cs="Arial"/>
          <w:sz w:val="18"/>
          <w:szCs w:val="18"/>
        </w:rPr>
        <w:t>; and</w:t>
      </w:r>
    </w:p>
    <w:p w14:paraId="3887A8A7" w14:textId="77777777" w:rsidR="00615493" w:rsidRPr="007222E9" w:rsidRDefault="00615493" w:rsidP="00615493">
      <w:pPr>
        <w:tabs>
          <w:tab w:val="num" w:pos="1440"/>
        </w:tabs>
        <w:ind w:left="1134"/>
        <w:rPr>
          <w:sz w:val="18"/>
          <w:szCs w:val="18"/>
        </w:rPr>
      </w:pPr>
    </w:p>
    <w:p w14:paraId="475DDF11" w14:textId="77777777" w:rsidR="00615493" w:rsidRPr="007222E9" w:rsidRDefault="00615493" w:rsidP="00615493">
      <w:pPr>
        <w:numPr>
          <w:ilvl w:val="1"/>
          <w:numId w:val="77"/>
        </w:numPr>
        <w:rPr>
          <w:sz w:val="18"/>
          <w:szCs w:val="18"/>
        </w:rPr>
      </w:pPr>
      <w:r w:rsidRPr="007222E9">
        <w:rPr>
          <w:rFonts w:eastAsia="Calibri"/>
          <w:sz w:val="18"/>
          <w:szCs w:val="18"/>
        </w:rPr>
        <w:t xml:space="preserve">development </w:t>
      </w:r>
      <w:r>
        <w:rPr>
          <w:sz w:val="18"/>
          <w:szCs w:val="18"/>
        </w:rPr>
        <w:t>encourages and facilitates</w:t>
      </w:r>
      <w:r w:rsidRPr="007222E9">
        <w:rPr>
          <w:sz w:val="18"/>
          <w:szCs w:val="18"/>
        </w:rPr>
        <w:t xml:space="preserve"> 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rFonts w:eastAsia="Calibri"/>
          <w:sz w:val="18"/>
          <w:szCs w:val="18"/>
        </w:rPr>
        <w:t>.</w:t>
      </w:r>
    </w:p>
    <w:p w14:paraId="5688F6A6" w14:textId="77777777" w:rsidR="002E2503" w:rsidRPr="007222E9" w:rsidRDefault="002E2503" w:rsidP="002E2503">
      <w:pPr>
        <w:tabs>
          <w:tab w:val="num" w:pos="1134"/>
        </w:tabs>
        <w:ind w:right="5951"/>
        <w:rPr>
          <w:sz w:val="18"/>
          <w:szCs w:val="18"/>
        </w:rPr>
      </w:pPr>
    </w:p>
    <w:p w14:paraId="5F6B312B" w14:textId="77777777" w:rsidR="002E2503" w:rsidRDefault="002E2503" w:rsidP="002E2503">
      <w:pPr>
        <w:pStyle w:val="Heading4"/>
        <w:spacing w:before="100" w:after="200"/>
        <w:ind w:right="5951"/>
      </w:pPr>
      <w:r>
        <w:t>Specific benchmarks for assessment</w:t>
      </w:r>
    </w:p>
    <w:p w14:paraId="2E4A29EB" w14:textId="77777777" w:rsidR="002E2503" w:rsidRPr="004E4893" w:rsidRDefault="002E2503" w:rsidP="002E2503">
      <w:pPr>
        <w:spacing w:before="100" w:after="200"/>
        <w:ind w:left="1701" w:right="5951" w:hanging="1701"/>
        <w:outlineLvl w:val="6"/>
        <w:rPr>
          <w:b/>
          <w:bCs/>
          <w:iCs/>
        </w:rPr>
      </w:pPr>
      <w:r w:rsidRPr="004E4893">
        <w:rPr>
          <w:b/>
          <w:bCs/>
          <w:iCs/>
        </w:rPr>
        <w:t>Table 6.2.</w:t>
      </w:r>
      <w:r>
        <w:rPr>
          <w:b/>
          <w:bCs/>
          <w:iCs/>
        </w:rPr>
        <w:t>20</w:t>
      </w:r>
      <w:r w:rsidRPr="004E4893">
        <w:rPr>
          <w:b/>
          <w:bCs/>
          <w:iCs/>
        </w:rPr>
        <w:t>.3.1</w:t>
      </w:r>
      <w:r w:rsidRPr="004E4893">
        <w:rPr>
          <w:b/>
          <w:bCs/>
          <w:iCs/>
        </w:rPr>
        <w:tab/>
      </w:r>
      <w:r>
        <w:rPr>
          <w:b/>
          <w:bCs/>
          <w:iCs/>
        </w:rPr>
        <w:t>Benchmarks</w:t>
      </w:r>
      <w:r w:rsidRPr="004E4893">
        <w:rPr>
          <w:b/>
          <w:bCs/>
          <w:iCs/>
        </w:rPr>
        <w:t xml:space="preserve"> for assessable development</w:t>
      </w:r>
    </w:p>
    <w:tbl>
      <w:tblPr>
        <w:tblW w:w="12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460"/>
        <w:gridCol w:w="4045"/>
        <w:gridCol w:w="4045"/>
      </w:tblGrid>
      <w:tr w:rsidR="00615493" w:rsidRPr="00084AFB" w14:paraId="03DBD746" w14:textId="3499B0B4" w:rsidTr="00615493">
        <w:trPr>
          <w:tblHeader/>
        </w:trPr>
        <w:tc>
          <w:tcPr>
            <w:tcW w:w="4460" w:type="dxa"/>
            <w:shd w:val="solid" w:color="auto" w:fill="auto"/>
          </w:tcPr>
          <w:p w14:paraId="603B321B" w14:textId="77777777" w:rsidR="00615493" w:rsidRPr="00084AFB" w:rsidRDefault="00615493" w:rsidP="005B0BEC">
            <w:pPr>
              <w:pStyle w:val="ListParagraph"/>
              <w:ind w:left="0"/>
              <w:rPr>
                <w:rFonts w:cs="Arial"/>
                <w:b/>
                <w:sz w:val="18"/>
                <w:szCs w:val="18"/>
              </w:rPr>
            </w:pPr>
            <w:r w:rsidRPr="00084AFB">
              <w:rPr>
                <w:rFonts w:cs="Arial"/>
                <w:b/>
                <w:sz w:val="18"/>
                <w:szCs w:val="18"/>
              </w:rPr>
              <w:t>Performance outcomes</w:t>
            </w:r>
          </w:p>
        </w:tc>
        <w:tc>
          <w:tcPr>
            <w:tcW w:w="4045" w:type="dxa"/>
            <w:shd w:val="solid" w:color="auto" w:fill="auto"/>
          </w:tcPr>
          <w:p w14:paraId="59FE1797" w14:textId="77777777" w:rsidR="00615493" w:rsidRPr="00084AFB" w:rsidRDefault="00615493" w:rsidP="005B0BEC">
            <w:pPr>
              <w:pStyle w:val="ListParagraph"/>
              <w:ind w:left="0"/>
              <w:rPr>
                <w:rFonts w:cs="Arial"/>
                <w:b/>
                <w:sz w:val="18"/>
                <w:szCs w:val="18"/>
              </w:rPr>
            </w:pPr>
            <w:r w:rsidRPr="00084AFB">
              <w:rPr>
                <w:rFonts w:cs="Arial"/>
                <w:b/>
                <w:sz w:val="18"/>
                <w:szCs w:val="18"/>
              </w:rPr>
              <w:t>Acceptable outcomes</w:t>
            </w:r>
          </w:p>
        </w:tc>
        <w:tc>
          <w:tcPr>
            <w:tcW w:w="4045" w:type="dxa"/>
            <w:shd w:val="solid" w:color="auto" w:fill="auto"/>
          </w:tcPr>
          <w:p w14:paraId="071CA689" w14:textId="39E02429" w:rsidR="00615493" w:rsidRPr="00084AFB" w:rsidRDefault="00615493" w:rsidP="005B0BEC">
            <w:pPr>
              <w:pStyle w:val="ListParagraph"/>
              <w:ind w:left="0"/>
              <w:rPr>
                <w:rFonts w:cs="Arial"/>
                <w:b/>
                <w:sz w:val="18"/>
                <w:szCs w:val="18"/>
              </w:rPr>
            </w:pPr>
            <w:r>
              <w:rPr>
                <w:rFonts w:cs="Arial"/>
                <w:b/>
                <w:sz w:val="18"/>
                <w:szCs w:val="18"/>
              </w:rPr>
              <w:t>Compliance / Representations</w:t>
            </w:r>
          </w:p>
        </w:tc>
      </w:tr>
      <w:tr w:rsidR="00615493" w:rsidRPr="00084AFB" w14:paraId="1FC86F56" w14:textId="712D91A2" w:rsidTr="00615493">
        <w:tc>
          <w:tcPr>
            <w:tcW w:w="8505" w:type="dxa"/>
            <w:gridSpan w:val="2"/>
            <w:shd w:val="clear" w:color="auto" w:fill="D9D9D9"/>
          </w:tcPr>
          <w:p w14:paraId="23DE3C9F" w14:textId="77777777" w:rsidR="00615493" w:rsidRPr="00084AFB" w:rsidRDefault="00615493" w:rsidP="005B0BEC">
            <w:pPr>
              <w:pStyle w:val="ListParagraph"/>
              <w:ind w:left="0"/>
              <w:rPr>
                <w:rFonts w:cs="Arial"/>
                <w:b/>
                <w:i/>
                <w:sz w:val="18"/>
                <w:szCs w:val="18"/>
              </w:rPr>
            </w:pPr>
            <w:r>
              <w:rPr>
                <w:rFonts w:cs="Arial"/>
                <w:b/>
                <w:i/>
                <w:sz w:val="18"/>
                <w:szCs w:val="18"/>
              </w:rPr>
              <w:t>Land use composition and activity centre network</w:t>
            </w:r>
          </w:p>
        </w:tc>
        <w:tc>
          <w:tcPr>
            <w:tcW w:w="4045" w:type="dxa"/>
            <w:shd w:val="clear" w:color="auto" w:fill="D9D9D9"/>
          </w:tcPr>
          <w:p w14:paraId="7C38F912" w14:textId="77777777" w:rsidR="00615493" w:rsidRDefault="00615493" w:rsidP="005B0BEC">
            <w:pPr>
              <w:pStyle w:val="ListParagraph"/>
              <w:ind w:left="0"/>
              <w:rPr>
                <w:rFonts w:cs="Arial"/>
                <w:b/>
                <w:i/>
                <w:sz w:val="18"/>
                <w:szCs w:val="18"/>
              </w:rPr>
            </w:pPr>
          </w:p>
        </w:tc>
      </w:tr>
      <w:tr w:rsidR="00615493" w:rsidRPr="00084AFB" w14:paraId="0533D265" w14:textId="30B8263E" w:rsidTr="00615493">
        <w:tc>
          <w:tcPr>
            <w:tcW w:w="4460" w:type="dxa"/>
            <w:shd w:val="clear" w:color="auto" w:fill="auto"/>
          </w:tcPr>
          <w:p w14:paraId="67640C55" w14:textId="77777777" w:rsidR="00615493" w:rsidRPr="00084AFB" w:rsidRDefault="00615493" w:rsidP="005B0BEC">
            <w:pPr>
              <w:pStyle w:val="ListParagraph"/>
              <w:ind w:left="0"/>
              <w:rPr>
                <w:rFonts w:cs="Arial"/>
                <w:b/>
                <w:sz w:val="18"/>
                <w:szCs w:val="18"/>
              </w:rPr>
            </w:pPr>
            <w:r w:rsidRPr="00084AFB">
              <w:rPr>
                <w:rFonts w:cs="Arial"/>
                <w:b/>
                <w:sz w:val="18"/>
                <w:szCs w:val="18"/>
              </w:rPr>
              <w:lastRenderedPageBreak/>
              <w:t>PO1</w:t>
            </w:r>
          </w:p>
          <w:p w14:paraId="043A0DC5" w14:textId="77777777" w:rsidR="00615493" w:rsidRPr="005235EB" w:rsidRDefault="00615493" w:rsidP="005B0BEC">
            <w:pPr>
              <w:tabs>
                <w:tab w:val="num" w:pos="1440"/>
              </w:tabs>
              <w:rPr>
                <w:sz w:val="18"/>
                <w:szCs w:val="18"/>
              </w:rPr>
            </w:pPr>
            <w:r>
              <w:rPr>
                <w:sz w:val="18"/>
                <w:szCs w:val="18"/>
              </w:rPr>
              <w:t>D</w:t>
            </w:r>
            <w:r w:rsidRPr="007222E9">
              <w:rPr>
                <w:sz w:val="18"/>
                <w:szCs w:val="18"/>
              </w:rPr>
              <w:t>evelopment provides for a range of retail business uses predominantly in the form of showrooms, garden centres, hardware and trade supplies and outdoor sales that have large floor plates and require high levels of visibility an</w:t>
            </w:r>
            <w:r>
              <w:rPr>
                <w:sz w:val="18"/>
                <w:szCs w:val="18"/>
              </w:rPr>
              <w:t>d accessibility to major roads.</w:t>
            </w:r>
          </w:p>
        </w:tc>
        <w:tc>
          <w:tcPr>
            <w:tcW w:w="4045" w:type="dxa"/>
            <w:shd w:val="clear" w:color="auto" w:fill="auto"/>
          </w:tcPr>
          <w:p w14:paraId="422EFFD4" w14:textId="77777777" w:rsidR="00615493" w:rsidRPr="00084AFB" w:rsidRDefault="00615493" w:rsidP="005B0BEC">
            <w:pPr>
              <w:pStyle w:val="ListParagraph"/>
              <w:ind w:left="0"/>
              <w:rPr>
                <w:rFonts w:cs="Arial"/>
                <w:b/>
                <w:sz w:val="18"/>
                <w:szCs w:val="18"/>
              </w:rPr>
            </w:pPr>
            <w:r>
              <w:rPr>
                <w:rFonts w:cs="Arial"/>
                <w:b/>
                <w:sz w:val="18"/>
                <w:szCs w:val="18"/>
              </w:rPr>
              <w:t>AO1</w:t>
            </w:r>
          </w:p>
          <w:p w14:paraId="201949E0" w14:textId="77777777" w:rsidR="00615493" w:rsidRPr="00436005" w:rsidRDefault="00615493" w:rsidP="005B0BEC">
            <w:pPr>
              <w:pStyle w:val="CommentText"/>
              <w:rPr>
                <w:rFonts w:cs="Arial"/>
                <w:sz w:val="18"/>
                <w:szCs w:val="18"/>
              </w:rPr>
            </w:pPr>
            <w:r>
              <w:rPr>
                <w:rFonts w:cs="Arial"/>
                <w:sz w:val="18"/>
                <w:szCs w:val="18"/>
              </w:rPr>
              <w:t>No acceptable outcome provided.</w:t>
            </w:r>
          </w:p>
        </w:tc>
        <w:tc>
          <w:tcPr>
            <w:tcW w:w="4045" w:type="dxa"/>
          </w:tcPr>
          <w:p w14:paraId="239FF85C" w14:textId="658D1E67" w:rsidR="00615493" w:rsidRDefault="00097B2F" w:rsidP="005B0BEC">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615493" w:rsidRPr="00084AFB" w14:paraId="003FB73D" w14:textId="4B07A11C" w:rsidTr="00615493">
        <w:tc>
          <w:tcPr>
            <w:tcW w:w="4460" w:type="dxa"/>
            <w:shd w:val="clear" w:color="auto" w:fill="auto"/>
          </w:tcPr>
          <w:p w14:paraId="301B3320" w14:textId="77777777" w:rsidR="00615493" w:rsidRPr="005235EB" w:rsidRDefault="00615493" w:rsidP="005B0BEC">
            <w:pPr>
              <w:pStyle w:val="ListParagraph"/>
              <w:ind w:left="0"/>
              <w:rPr>
                <w:b/>
                <w:sz w:val="18"/>
                <w:szCs w:val="18"/>
              </w:rPr>
            </w:pPr>
            <w:r w:rsidRPr="005235EB">
              <w:rPr>
                <w:b/>
                <w:sz w:val="18"/>
                <w:szCs w:val="18"/>
              </w:rPr>
              <w:t>PO</w:t>
            </w:r>
            <w:r>
              <w:rPr>
                <w:b/>
                <w:sz w:val="18"/>
                <w:szCs w:val="18"/>
              </w:rPr>
              <w:t>2</w:t>
            </w:r>
          </w:p>
          <w:p w14:paraId="1E852293" w14:textId="77777777" w:rsidR="00615493" w:rsidRPr="00084AFB" w:rsidRDefault="00615493" w:rsidP="005B0BEC">
            <w:pPr>
              <w:pStyle w:val="ListParagraph"/>
              <w:ind w:left="0"/>
              <w:rPr>
                <w:rFonts w:cs="Arial"/>
                <w:b/>
                <w:sz w:val="18"/>
                <w:szCs w:val="18"/>
              </w:rPr>
            </w:pPr>
            <w:r>
              <w:rPr>
                <w:sz w:val="18"/>
                <w:szCs w:val="18"/>
              </w:rPr>
              <w:t>D</w:t>
            </w:r>
            <w:r w:rsidRPr="007222E9">
              <w:rPr>
                <w:sz w:val="18"/>
                <w:szCs w:val="18"/>
              </w:rPr>
              <w:t>evelopment also provides for other business uses</w:t>
            </w:r>
            <w:r>
              <w:rPr>
                <w:sz w:val="18"/>
                <w:szCs w:val="18"/>
              </w:rPr>
              <w:t xml:space="preserve"> (including food and drink outlets)</w:t>
            </w:r>
            <w:r w:rsidRPr="007222E9">
              <w:rPr>
                <w:sz w:val="18"/>
                <w:szCs w:val="18"/>
              </w:rPr>
              <w:t>, some residential uses</w:t>
            </w:r>
            <w:r>
              <w:rPr>
                <w:sz w:val="18"/>
                <w:szCs w:val="18"/>
              </w:rPr>
              <w:t xml:space="preserve"> (particularly short-term accommodation)</w:t>
            </w:r>
            <w:r w:rsidRPr="007222E9">
              <w:rPr>
                <w:sz w:val="18"/>
                <w:szCs w:val="18"/>
              </w:rPr>
              <w:t xml:space="preserve"> and some industrial uses which</w:t>
            </w:r>
            <w:r>
              <w:rPr>
                <w:sz w:val="18"/>
                <w:szCs w:val="18"/>
              </w:rPr>
              <w:t>,</w:t>
            </w:r>
            <w:r w:rsidRPr="007222E9">
              <w:rPr>
                <w:sz w:val="18"/>
                <w:szCs w:val="18"/>
              </w:rPr>
              <w:t xml:space="preserve"> because of their scale or characteristics</w:t>
            </w:r>
            <w:r>
              <w:rPr>
                <w:sz w:val="18"/>
                <w:szCs w:val="18"/>
              </w:rPr>
              <w:t>,</w:t>
            </w:r>
            <w:r w:rsidRPr="007222E9">
              <w:rPr>
                <w:sz w:val="18"/>
                <w:szCs w:val="18"/>
              </w:rPr>
              <w:t xml:space="preserve"> are well suited to establish in the zone</w:t>
            </w:r>
            <w:r>
              <w:rPr>
                <w:sz w:val="18"/>
                <w:szCs w:val="18"/>
              </w:rPr>
              <w:t>.</w:t>
            </w:r>
          </w:p>
        </w:tc>
        <w:tc>
          <w:tcPr>
            <w:tcW w:w="4045" w:type="dxa"/>
            <w:shd w:val="clear" w:color="auto" w:fill="auto"/>
          </w:tcPr>
          <w:p w14:paraId="748C33F8" w14:textId="77777777" w:rsidR="00615493" w:rsidRPr="00084AFB" w:rsidRDefault="00615493" w:rsidP="005B0BEC">
            <w:pPr>
              <w:pStyle w:val="ListParagraph"/>
              <w:ind w:left="0"/>
              <w:rPr>
                <w:rFonts w:cs="Arial"/>
                <w:b/>
                <w:sz w:val="18"/>
                <w:szCs w:val="18"/>
              </w:rPr>
            </w:pPr>
            <w:r>
              <w:rPr>
                <w:rFonts w:cs="Arial"/>
                <w:b/>
                <w:sz w:val="18"/>
                <w:szCs w:val="18"/>
              </w:rPr>
              <w:t>AO2</w:t>
            </w:r>
          </w:p>
          <w:p w14:paraId="41B2B7BD" w14:textId="77777777" w:rsidR="00615493" w:rsidRDefault="00615493" w:rsidP="005B0BEC">
            <w:pPr>
              <w:pStyle w:val="ListParagraph"/>
              <w:ind w:left="0"/>
              <w:rPr>
                <w:rFonts w:cs="Arial"/>
                <w:b/>
                <w:sz w:val="18"/>
                <w:szCs w:val="18"/>
              </w:rPr>
            </w:pPr>
            <w:r>
              <w:rPr>
                <w:rFonts w:cs="Arial"/>
                <w:sz w:val="18"/>
                <w:szCs w:val="18"/>
              </w:rPr>
              <w:t>No acceptable outcome provided.</w:t>
            </w:r>
          </w:p>
        </w:tc>
        <w:tc>
          <w:tcPr>
            <w:tcW w:w="4045" w:type="dxa"/>
          </w:tcPr>
          <w:p w14:paraId="7EBC9825" w14:textId="4FED9688" w:rsidR="00615493"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4904139B" w14:textId="2425AFA4" w:rsidTr="00615493">
        <w:tc>
          <w:tcPr>
            <w:tcW w:w="4460" w:type="dxa"/>
            <w:shd w:val="clear" w:color="auto" w:fill="auto"/>
          </w:tcPr>
          <w:p w14:paraId="27655004" w14:textId="77777777" w:rsidR="00615493" w:rsidRPr="005235EB" w:rsidRDefault="00615493" w:rsidP="005B0BEC">
            <w:pPr>
              <w:pStyle w:val="ListParagraph"/>
              <w:ind w:left="0"/>
              <w:rPr>
                <w:b/>
                <w:sz w:val="18"/>
                <w:szCs w:val="18"/>
              </w:rPr>
            </w:pPr>
            <w:r w:rsidRPr="005235EB">
              <w:rPr>
                <w:b/>
                <w:sz w:val="18"/>
                <w:szCs w:val="18"/>
              </w:rPr>
              <w:t>PO</w:t>
            </w:r>
            <w:r>
              <w:rPr>
                <w:b/>
                <w:sz w:val="18"/>
                <w:szCs w:val="18"/>
              </w:rPr>
              <w:t>3</w:t>
            </w:r>
          </w:p>
          <w:p w14:paraId="74BB6D69" w14:textId="77777777" w:rsidR="00615493" w:rsidRPr="007222E9" w:rsidRDefault="00615493" w:rsidP="005B0BEC">
            <w:pPr>
              <w:pStyle w:val="ListParagraph"/>
              <w:ind w:left="0"/>
              <w:rPr>
                <w:sz w:val="18"/>
                <w:szCs w:val="18"/>
              </w:rPr>
            </w:pPr>
            <w:r>
              <w:rPr>
                <w:sz w:val="18"/>
                <w:szCs w:val="18"/>
              </w:rPr>
              <w:t>D</w:t>
            </w:r>
            <w:r w:rsidRPr="007222E9">
              <w:rPr>
                <w:sz w:val="18"/>
                <w:szCs w:val="18"/>
              </w:rPr>
              <w:t>evelopment does not provide for higher order and other retail facilities better suited to establishing within an activity centre, including supermarkets, department stores and discount department stores</w:t>
            </w:r>
            <w:r>
              <w:rPr>
                <w:sz w:val="18"/>
                <w:szCs w:val="18"/>
              </w:rPr>
              <w:t>,</w:t>
            </w:r>
            <w:r w:rsidRPr="007222E9">
              <w:rPr>
                <w:sz w:val="18"/>
                <w:szCs w:val="18"/>
              </w:rPr>
              <w:t xml:space="preserve"> to be established in the Specialised centre zone</w:t>
            </w:r>
            <w:r>
              <w:rPr>
                <w:sz w:val="18"/>
                <w:szCs w:val="18"/>
              </w:rPr>
              <w:t>.</w:t>
            </w:r>
          </w:p>
        </w:tc>
        <w:tc>
          <w:tcPr>
            <w:tcW w:w="4045" w:type="dxa"/>
            <w:shd w:val="clear" w:color="auto" w:fill="auto"/>
          </w:tcPr>
          <w:p w14:paraId="55615A11" w14:textId="77777777" w:rsidR="00615493" w:rsidRPr="00084AFB" w:rsidRDefault="00615493" w:rsidP="005B0BEC">
            <w:pPr>
              <w:pStyle w:val="ListParagraph"/>
              <w:ind w:left="0"/>
              <w:rPr>
                <w:rFonts w:cs="Arial"/>
                <w:b/>
                <w:sz w:val="18"/>
                <w:szCs w:val="18"/>
              </w:rPr>
            </w:pPr>
            <w:r>
              <w:rPr>
                <w:rFonts w:cs="Arial"/>
                <w:b/>
                <w:sz w:val="18"/>
                <w:szCs w:val="18"/>
              </w:rPr>
              <w:t>AO3</w:t>
            </w:r>
          </w:p>
          <w:p w14:paraId="12C92102" w14:textId="77777777" w:rsidR="00615493" w:rsidRDefault="00615493" w:rsidP="005B0BEC">
            <w:pPr>
              <w:pStyle w:val="ListParagraph"/>
              <w:ind w:left="0"/>
              <w:rPr>
                <w:rFonts w:cs="Arial"/>
                <w:b/>
                <w:sz w:val="18"/>
                <w:szCs w:val="18"/>
              </w:rPr>
            </w:pPr>
            <w:r>
              <w:rPr>
                <w:rFonts w:cs="Arial"/>
                <w:sz w:val="18"/>
                <w:szCs w:val="18"/>
              </w:rPr>
              <w:t>No acceptable outcome provided.</w:t>
            </w:r>
          </w:p>
        </w:tc>
        <w:tc>
          <w:tcPr>
            <w:tcW w:w="4045" w:type="dxa"/>
          </w:tcPr>
          <w:p w14:paraId="54CFE524" w14:textId="1E90D51A" w:rsidR="00615493"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55EF6C02" w14:textId="4696899E" w:rsidTr="00615493">
        <w:tc>
          <w:tcPr>
            <w:tcW w:w="8505" w:type="dxa"/>
            <w:gridSpan w:val="2"/>
            <w:shd w:val="clear" w:color="auto" w:fill="D9D9D9"/>
          </w:tcPr>
          <w:p w14:paraId="3C70FEE5" w14:textId="77777777" w:rsidR="00615493" w:rsidRPr="00084AFB" w:rsidRDefault="00615493" w:rsidP="005B0BEC">
            <w:pPr>
              <w:pStyle w:val="ListParagraph"/>
              <w:keepNext/>
              <w:ind w:left="0"/>
              <w:rPr>
                <w:rFonts w:cs="Arial"/>
                <w:b/>
                <w:i/>
                <w:sz w:val="18"/>
                <w:szCs w:val="18"/>
              </w:rPr>
            </w:pPr>
            <w:r>
              <w:rPr>
                <w:rFonts w:cs="Arial"/>
                <w:b/>
                <w:i/>
                <w:sz w:val="18"/>
                <w:szCs w:val="18"/>
              </w:rPr>
              <w:t>Building height, built form and urban design</w:t>
            </w:r>
          </w:p>
        </w:tc>
        <w:tc>
          <w:tcPr>
            <w:tcW w:w="4045" w:type="dxa"/>
            <w:shd w:val="clear" w:color="auto" w:fill="D9D9D9"/>
          </w:tcPr>
          <w:p w14:paraId="182A4FB0" w14:textId="77777777" w:rsidR="00615493" w:rsidRDefault="00615493" w:rsidP="005B0BEC">
            <w:pPr>
              <w:pStyle w:val="ListParagraph"/>
              <w:keepNext/>
              <w:ind w:left="0"/>
              <w:rPr>
                <w:rFonts w:cs="Arial"/>
                <w:b/>
                <w:i/>
                <w:sz w:val="18"/>
                <w:szCs w:val="18"/>
              </w:rPr>
            </w:pPr>
          </w:p>
        </w:tc>
      </w:tr>
      <w:tr w:rsidR="00615493" w:rsidRPr="00084AFB" w14:paraId="2BB5F6AE" w14:textId="2A3FCBE2" w:rsidTr="00615493">
        <w:tc>
          <w:tcPr>
            <w:tcW w:w="4460" w:type="dxa"/>
            <w:shd w:val="clear" w:color="auto" w:fill="auto"/>
          </w:tcPr>
          <w:p w14:paraId="5D0F7A3E" w14:textId="77777777" w:rsidR="00615493" w:rsidRPr="00084AFB" w:rsidRDefault="00615493" w:rsidP="005B0BEC">
            <w:pPr>
              <w:pStyle w:val="ListParagraph"/>
              <w:keepNext/>
              <w:ind w:left="0"/>
              <w:rPr>
                <w:rFonts w:cs="Arial"/>
                <w:b/>
                <w:sz w:val="18"/>
                <w:szCs w:val="18"/>
              </w:rPr>
            </w:pPr>
            <w:r>
              <w:rPr>
                <w:rFonts w:cs="Arial"/>
                <w:b/>
                <w:sz w:val="18"/>
                <w:szCs w:val="18"/>
              </w:rPr>
              <w:t>PO4</w:t>
            </w:r>
          </w:p>
          <w:p w14:paraId="35D17D7B" w14:textId="77777777" w:rsidR="00615493" w:rsidRPr="00084AFB" w:rsidRDefault="00615493" w:rsidP="005B0BEC">
            <w:pPr>
              <w:pStyle w:val="ListParagraph"/>
              <w:keepNext/>
              <w:ind w:left="0"/>
              <w:rPr>
                <w:rFonts w:cs="Arial"/>
                <w:sz w:val="18"/>
                <w:szCs w:val="18"/>
              </w:rPr>
            </w:pPr>
            <w:r>
              <w:rPr>
                <w:sz w:val="18"/>
                <w:szCs w:val="18"/>
              </w:rPr>
              <w:t>Development has a</w:t>
            </w:r>
            <w:r w:rsidRPr="007222E9">
              <w:rPr>
                <w:sz w:val="18"/>
                <w:szCs w:val="18"/>
              </w:rPr>
              <w:t xml:space="preserve"> maximum </w:t>
            </w:r>
            <w:r>
              <w:rPr>
                <w:sz w:val="18"/>
                <w:szCs w:val="18"/>
              </w:rPr>
              <w:t xml:space="preserve">building </w:t>
            </w:r>
            <w:r w:rsidRPr="007222E9">
              <w:rPr>
                <w:sz w:val="18"/>
                <w:szCs w:val="18"/>
              </w:rPr>
              <w:t xml:space="preserve">height of </w:t>
            </w:r>
            <w:r>
              <w:rPr>
                <w:sz w:val="18"/>
                <w:szCs w:val="18"/>
              </w:rPr>
              <w:t>2</w:t>
            </w:r>
            <w:r w:rsidRPr="007222E9">
              <w:rPr>
                <w:sz w:val="18"/>
                <w:szCs w:val="18"/>
              </w:rPr>
              <w:t xml:space="preserve"> storeys and </w:t>
            </w:r>
            <w:r>
              <w:rPr>
                <w:sz w:val="18"/>
                <w:szCs w:val="18"/>
              </w:rPr>
              <w:t>11</w:t>
            </w:r>
            <w:r w:rsidRPr="007222E9">
              <w:rPr>
                <w:sz w:val="18"/>
                <w:szCs w:val="18"/>
              </w:rPr>
              <w:t>m</w:t>
            </w:r>
            <w:r>
              <w:rPr>
                <w:sz w:val="18"/>
                <w:szCs w:val="18"/>
              </w:rPr>
              <w:t>.</w:t>
            </w:r>
          </w:p>
        </w:tc>
        <w:tc>
          <w:tcPr>
            <w:tcW w:w="4045" w:type="dxa"/>
            <w:shd w:val="clear" w:color="auto" w:fill="auto"/>
          </w:tcPr>
          <w:p w14:paraId="40C7B32C" w14:textId="77777777" w:rsidR="00615493" w:rsidRPr="00084AFB" w:rsidRDefault="00615493" w:rsidP="005B0BEC">
            <w:pPr>
              <w:pStyle w:val="ListParagraph"/>
              <w:keepNext/>
              <w:ind w:left="0"/>
              <w:rPr>
                <w:rFonts w:cs="Arial"/>
                <w:b/>
                <w:sz w:val="18"/>
                <w:szCs w:val="18"/>
              </w:rPr>
            </w:pPr>
            <w:r>
              <w:rPr>
                <w:rFonts w:cs="Arial"/>
                <w:b/>
                <w:sz w:val="18"/>
                <w:szCs w:val="18"/>
              </w:rPr>
              <w:t>AO4</w:t>
            </w:r>
          </w:p>
          <w:p w14:paraId="48317082" w14:textId="77777777" w:rsidR="00615493" w:rsidRPr="00B86B8D" w:rsidRDefault="00615493" w:rsidP="005B0BEC">
            <w:pPr>
              <w:pStyle w:val="CommentText"/>
              <w:keepNext/>
              <w:rPr>
                <w:rFonts w:cs="Arial"/>
                <w:sz w:val="18"/>
                <w:szCs w:val="18"/>
              </w:rPr>
            </w:pPr>
            <w:r>
              <w:rPr>
                <w:sz w:val="18"/>
                <w:szCs w:val="18"/>
              </w:rPr>
              <w:t>No acceptable outcome provided.</w:t>
            </w:r>
          </w:p>
        </w:tc>
        <w:tc>
          <w:tcPr>
            <w:tcW w:w="4045" w:type="dxa"/>
          </w:tcPr>
          <w:p w14:paraId="6C7D78BD" w14:textId="157FF55B" w:rsidR="00615493" w:rsidRDefault="00097B2F" w:rsidP="005B0BEC">
            <w:pPr>
              <w:pStyle w:val="ListParagraph"/>
              <w:keepNext/>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64BC3D77" w14:textId="248DCA1F" w:rsidTr="00615493">
        <w:tc>
          <w:tcPr>
            <w:tcW w:w="4460" w:type="dxa"/>
            <w:shd w:val="clear" w:color="auto" w:fill="auto"/>
          </w:tcPr>
          <w:p w14:paraId="7EC547AD" w14:textId="77777777" w:rsidR="00615493" w:rsidRDefault="00615493" w:rsidP="005B0BEC">
            <w:pPr>
              <w:pStyle w:val="ListParagraph"/>
              <w:ind w:left="0"/>
              <w:rPr>
                <w:rFonts w:cs="Arial"/>
                <w:b/>
                <w:sz w:val="18"/>
                <w:szCs w:val="18"/>
              </w:rPr>
            </w:pPr>
            <w:r>
              <w:rPr>
                <w:rFonts w:cs="Arial"/>
                <w:b/>
                <w:sz w:val="18"/>
                <w:szCs w:val="18"/>
              </w:rPr>
              <w:t>PO5</w:t>
            </w:r>
          </w:p>
          <w:p w14:paraId="715BA936" w14:textId="77777777" w:rsidR="00615493" w:rsidRPr="009A03DC" w:rsidRDefault="00615493" w:rsidP="005B0BEC">
            <w:pPr>
              <w:pStyle w:val="ListParagraph"/>
              <w:ind w:left="0"/>
              <w:rPr>
                <w:rFonts w:cs="Arial"/>
                <w:sz w:val="18"/>
                <w:szCs w:val="18"/>
              </w:rPr>
            </w:pPr>
            <w:r>
              <w:rPr>
                <w:rFonts w:cs="Arial"/>
                <w:sz w:val="18"/>
                <w:szCs w:val="18"/>
              </w:rPr>
              <w:t>T</w:t>
            </w:r>
            <w:r w:rsidRPr="007222E9">
              <w:rPr>
                <w:rFonts w:cs="Arial"/>
                <w:sz w:val="18"/>
                <w:szCs w:val="18"/>
              </w:rPr>
              <w:t>he built form and urban design of development incorporates a high standard of architecture, urban design and landscaping that creates attractive and functional buildings, streets and places</w:t>
            </w:r>
            <w:r>
              <w:rPr>
                <w:rFonts w:cs="Arial"/>
                <w:sz w:val="18"/>
                <w:szCs w:val="18"/>
              </w:rPr>
              <w:t>.</w:t>
            </w:r>
          </w:p>
        </w:tc>
        <w:tc>
          <w:tcPr>
            <w:tcW w:w="4045" w:type="dxa"/>
            <w:shd w:val="clear" w:color="auto" w:fill="auto"/>
          </w:tcPr>
          <w:p w14:paraId="64777613" w14:textId="77777777" w:rsidR="00615493" w:rsidRPr="00B2594D" w:rsidRDefault="00615493" w:rsidP="005B0BEC">
            <w:pPr>
              <w:pStyle w:val="ListParagraph"/>
              <w:ind w:left="0"/>
              <w:rPr>
                <w:rFonts w:cs="Arial"/>
                <w:b/>
                <w:sz w:val="18"/>
                <w:szCs w:val="18"/>
              </w:rPr>
            </w:pPr>
            <w:r w:rsidRPr="00B2594D">
              <w:rPr>
                <w:rFonts w:cs="Arial"/>
                <w:b/>
                <w:sz w:val="18"/>
                <w:szCs w:val="18"/>
              </w:rPr>
              <w:t>AO</w:t>
            </w:r>
            <w:r>
              <w:rPr>
                <w:rFonts w:cs="Arial"/>
                <w:b/>
                <w:sz w:val="18"/>
                <w:szCs w:val="18"/>
              </w:rPr>
              <w:t>5</w:t>
            </w:r>
          </w:p>
          <w:p w14:paraId="55F9A1AD" w14:textId="77777777" w:rsidR="00615493" w:rsidRPr="009A03DC" w:rsidRDefault="00615493" w:rsidP="005B0BEC">
            <w:pPr>
              <w:pStyle w:val="ListParagraph"/>
              <w:ind w:left="0"/>
              <w:rPr>
                <w:rFonts w:cs="Arial"/>
                <w:sz w:val="18"/>
                <w:szCs w:val="18"/>
              </w:rPr>
            </w:pPr>
            <w:r w:rsidRPr="00084AFB">
              <w:rPr>
                <w:rFonts w:cs="Arial"/>
                <w:sz w:val="18"/>
                <w:szCs w:val="18"/>
              </w:rPr>
              <w:t>No acceptable outcome provided</w:t>
            </w:r>
            <w:r>
              <w:rPr>
                <w:rFonts w:cs="Arial"/>
                <w:sz w:val="18"/>
                <w:szCs w:val="18"/>
              </w:rPr>
              <w:t>.</w:t>
            </w:r>
          </w:p>
        </w:tc>
        <w:tc>
          <w:tcPr>
            <w:tcW w:w="4045" w:type="dxa"/>
          </w:tcPr>
          <w:p w14:paraId="6E8FCA9F" w14:textId="4C5B0249" w:rsidR="00615493" w:rsidRPr="00B2594D"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1B1A4D24" w14:textId="1D5D1AEB" w:rsidTr="00615493">
        <w:tc>
          <w:tcPr>
            <w:tcW w:w="8505" w:type="dxa"/>
            <w:gridSpan w:val="2"/>
            <w:shd w:val="clear" w:color="auto" w:fill="D9D9D9"/>
          </w:tcPr>
          <w:p w14:paraId="248EF358" w14:textId="77777777" w:rsidR="00615493" w:rsidRPr="00084AFB" w:rsidRDefault="00615493" w:rsidP="005B0BEC">
            <w:pPr>
              <w:pStyle w:val="ListParagraph"/>
              <w:ind w:left="0"/>
              <w:rPr>
                <w:rFonts w:cs="Arial"/>
                <w:b/>
                <w:i/>
                <w:sz w:val="18"/>
                <w:szCs w:val="18"/>
              </w:rPr>
            </w:pPr>
            <w:r>
              <w:rPr>
                <w:rFonts w:cs="Arial"/>
                <w:b/>
                <w:i/>
                <w:sz w:val="18"/>
                <w:szCs w:val="18"/>
              </w:rPr>
              <w:t>Effects of development</w:t>
            </w:r>
          </w:p>
        </w:tc>
        <w:tc>
          <w:tcPr>
            <w:tcW w:w="4045" w:type="dxa"/>
            <w:shd w:val="clear" w:color="auto" w:fill="D9D9D9"/>
          </w:tcPr>
          <w:p w14:paraId="17DE653E" w14:textId="77777777" w:rsidR="00615493" w:rsidRDefault="00615493" w:rsidP="005B0BEC">
            <w:pPr>
              <w:pStyle w:val="ListParagraph"/>
              <w:ind w:left="0"/>
              <w:rPr>
                <w:rFonts w:cs="Arial"/>
                <w:b/>
                <w:i/>
                <w:sz w:val="18"/>
                <w:szCs w:val="18"/>
              </w:rPr>
            </w:pPr>
          </w:p>
        </w:tc>
      </w:tr>
      <w:tr w:rsidR="00615493" w:rsidRPr="00084AFB" w14:paraId="682FFA39" w14:textId="49DEB405" w:rsidTr="00615493">
        <w:tc>
          <w:tcPr>
            <w:tcW w:w="4460" w:type="dxa"/>
            <w:shd w:val="clear" w:color="auto" w:fill="auto"/>
          </w:tcPr>
          <w:p w14:paraId="5B0E0D35" w14:textId="77777777" w:rsidR="00615493" w:rsidRDefault="00615493" w:rsidP="005B0BEC">
            <w:pPr>
              <w:pStyle w:val="ListParagraph"/>
              <w:ind w:left="0"/>
              <w:rPr>
                <w:rFonts w:cs="Arial"/>
                <w:b/>
                <w:sz w:val="18"/>
                <w:szCs w:val="18"/>
              </w:rPr>
            </w:pPr>
            <w:r>
              <w:rPr>
                <w:rFonts w:cs="Arial"/>
                <w:b/>
                <w:sz w:val="18"/>
                <w:szCs w:val="18"/>
              </w:rPr>
              <w:t>PO6</w:t>
            </w:r>
          </w:p>
          <w:p w14:paraId="40B00EDE" w14:textId="77777777" w:rsidR="00615493" w:rsidRDefault="00615493" w:rsidP="005B0BEC">
            <w:pPr>
              <w:pStyle w:val="ListParagraph"/>
              <w:ind w:left="0"/>
              <w:rPr>
                <w:rFonts w:cs="Arial"/>
                <w:sz w:val="18"/>
                <w:szCs w:val="18"/>
              </w:rPr>
            </w:pPr>
            <w:r>
              <w:rPr>
                <w:rFonts w:cs="Arial"/>
                <w:sz w:val="18"/>
                <w:szCs w:val="18"/>
              </w:rPr>
              <w:t>D</w:t>
            </w:r>
            <w:r w:rsidRPr="007222E9">
              <w:rPr>
                <w:rFonts w:cs="Arial"/>
                <w:sz w:val="18"/>
                <w:szCs w:val="18"/>
              </w:rPr>
              <w:t>evelopment is located, designed and operated in a manner that does not adversely impact on the amenity of surrounding premises, having regard to matters such as noise, lighting, waste, fumes, odours, overlooking and public health and safety</w:t>
            </w:r>
            <w:r>
              <w:rPr>
                <w:rFonts w:cs="Arial"/>
                <w:sz w:val="18"/>
                <w:szCs w:val="18"/>
              </w:rPr>
              <w:t>.</w:t>
            </w:r>
          </w:p>
          <w:p w14:paraId="451D8DC2" w14:textId="158F9767" w:rsidR="00615493" w:rsidRDefault="00615493" w:rsidP="005B0BEC">
            <w:pPr>
              <w:pStyle w:val="ListParagraph"/>
              <w:ind w:left="0"/>
              <w:rPr>
                <w:rFonts w:cs="Arial"/>
                <w:b/>
                <w:sz w:val="18"/>
                <w:szCs w:val="18"/>
              </w:rPr>
            </w:pPr>
          </w:p>
        </w:tc>
        <w:tc>
          <w:tcPr>
            <w:tcW w:w="4045" w:type="dxa"/>
            <w:shd w:val="clear" w:color="auto" w:fill="auto"/>
          </w:tcPr>
          <w:p w14:paraId="19D42DB6" w14:textId="77777777" w:rsidR="00615493" w:rsidRPr="00B2594D" w:rsidRDefault="00615493" w:rsidP="005B0BEC">
            <w:pPr>
              <w:pStyle w:val="ListParagraph"/>
              <w:ind w:left="0"/>
              <w:rPr>
                <w:rFonts w:cs="Arial"/>
                <w:b/>
                <w:sz w:val="18"/>
                <w:szCs w:val="18"/>
              </w:rPr>
            </w:pPr>
            <w:r>
              <w:rPr>
                <w:rFonts w:cs="Arial"/>
                <w:b/>
                <w:sz w:val="18"/>
                <w:szCs w:val="18"/>
              </w:rPr>
              <w:t>AO6</w:t>
            </w:r>
          </w:p>
          <w:p w14:paraId="7BEA579C" w14:textId="77777777" w:rsidR="00615493" w:rsidRPr="00B2594D" w:rsidRDefault="00615493"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045" w:type="dxa"/>
          </w:tcPr>
          <w:p w14:paraId="7FACFC01" w14:textId="2A7C4F83" w:rsidR="00615493"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628B7606" w14:textId="2A4CAA8D" w:rsidTr="00615493">
        <w:tc>
          <w:tcPr>
            <w:tcW w:w="8505" w:type="dxa"/>
            <w:gridSpan w:val="2"/>
            <w:shd w:val="clear" w:color="auto" w:fill="D9D9D9"/>
          </w:tcPr>
          <w:p w14:paraId="139F54F8" w14:textId="77777777" w:rsidR="00615493" w:rsidRPr="00084AFB" w:rsidRDefault="00615493" w:rsidP="005B0BEC">
            <w:pPr>
              <w:pStyle w:val="ListParagraph"/>
              <w:ind w:left="0"/>
              <w:rPr>
                <w:rFonts w:cs="Arial"/>
                <w:b/>
                <w:i/>
                <w:sz w:val="18"/>
                <w:szCs w:val="18"/>
              </w:rPr>
            </w:pPr>
            <w:r>
              <w:rPr>
                <w:rFonts w:cs="Arial"/>
                <w:b/>
                <w:i/>
                <w:sz w:val="18"/>
                <w:szCs w:val="18"/>
              </w:rPr>
              <w:t>Transport networks</w:t>
            </w:r>
          </w:p>
        </w:tc>
        <w:tc>
          <w:tcPr>
            <w:tcW w:w="4045" w:type="dxa"/>
            <w:shd w:val="clear" w:color="auto" w:fill="D9D9D9"/>
          </w:tcPr>
          <w:p w14:paraId="5A37A42F" w14:textId="77777777" w:rsidR="00615493" w:rsidRDefault="00615493" w:rsidP="005B0BEC">
            <w:pPr>
              <w:pStyle w:val="ListParagraph"/>
              <w:ind w:left="0"/>
              <w:rPr>
                <w:rFonts w:cs="Arial"/>
                <w:b/>
                <w:i/>
                <w:sz w:val="18"/>
                <w:szCs w:val="18"/>
              </w:rPr>
            </w:pPr>
          </w:p>
        </w:tc>
      </w:tr>
      <w:tr w:rsidR="00615493" w:rsidRPr="00084AFB" w14:paraId="0C55DAA1" w14:textId="23A28B6C" w:rsidTr="00615493">
        <w:tc>
          <w:tcPr>
            <w:tcW w:w="4460" w:type="dxa"/>
            <w:shd w:val="clear" w:color="auto" w:fill="auto"/>
          </w:tcPr>
          <w:p w14:paraId="1B3BAC68" w14:textId="77777777" w:rsidR="00615493" w:rsidRPr="00084AFB" w:rsidRDefault="00615493" w:rsidP="005B0BEC">
            <w:pPr>
              <w:pStyle w:val="ListParagraph"/>
              <w:ind w:left="0"/>
              <w:rPr>
                <w:rFonts w:cs="Arial"/>
                <w:b/>
                <w:sz w:val="18"/>
                <w:szCs w:val="18"/>
              </w:rPr>
            </w:pPr>
            <w:r>
              <w:rPr>
                <w:rFonts w:cs="Arial"/>
                <w:b/>
                <w:sz w:val="18"/>
                <w:szCs w:val="18"/>
              </w:rPr>
              <w:t>PO7</w:t>
            </w:r>
          </w:p>
          <w:p w14:paraId="5B51DEA8" w14:textId="16ECC235" w:rsidR="00615493" w:rsidRPr="00084AFB" w:rsidRDefault="00615493" w:rsidP="005B0BEC">
            <w:pPr>
              <w:pStyle w:val="ListParagraph"/>
              <w:ind w:left="0"/>
              <w:rPr>
                <w:rFonts w:cs="Arial"/>
                <w:sz w:val="18"/>
                <w:szCs w:val="18"/>
              </w:rPr>
            </w:pPr>
            <w:r>
              <w:rPr>
                <w:rFonts w:cs="Arial"/>
                <w:sz w:val="18"/>
                <w:szCs w:val="18"/>
              </w:rPr>
              <w:t>D</w:t>
            </w:r>
            <w:r w:rsidRPr="007222E9">
              <w:rPr>
                <w:rFonts w:cs="Arial"/>
                <w:sz w:val="18"/>
                <w:szCs w:val="18"/>
              </w:rPr>
              <w:t xml:space="preserve">evelopment encourages public transport accessibility and use and also provides for pedestrian, bicycle and vehicular movement networks that maximise connectivity, permeability and ease of movement within and to </w:t>
            </w:r>
            <w:r>
              <w:rPr>
                <w:rFonts w:cs="Arial"/>
                <w:sz w:val="18"/>
                <w:szCs w:val="18"/>
              </w:rPr>
              <w:t>a</w:t>
            </w:r>
            <w:r w:rsidRPr="007222E9">
              <w:rPr>
                <w:rFonts w:cs="Arial"/>
                <w:sz w:val="18"/>
                <w:szCs w:val="18"/>
              </w:rPr>
              <w:t xml:space="preserve"> </w:t>
            </w:r>
            <w:r>
              <w:rPr>
                <w:rFonts w:cs="Arial"/>
                <w:sz w:val="18"/>
                <w:szCs w:val="18"/>
              </w:rPr>
              <w:t xml:space="preserve">specialised </w:t>
            </w:r>
            <w:r w:rsidRPr="007222E9">
              <w:rPr>
                <w:rFonts w:cs="Arial"/>
                <w:sz w:val="18"/>
                <w:szCs w:val="18"/>
              </w:rPr>
              <w:t>centre</w:t>
            </w:r>
            <w:r>
              <w:rPr>
                <w:rFonts w:cs="Arial"/>
                <w:sz w:val="18"/>
                <w:szCs w:val="18"/>
              </w:rPr>
              <w:t>.</w:t>
            </w:r>
          </w:p>
        </w:tc>
        <w:tc>
          <w:tcPr>
            <w:tcW w:w="4045" w:type="dxa"/>
            <w:shd w:val="clear" w:color="auto" w:fill="auto"/>
          </w:tcPr>
          <w:p w14:paraId="6ED7BACE" w14:textId="77777777" w:rsidR="00615493" w:rsidRPr="00B2594D" w:rsidRDefault="00615493" w:rsidP="005B0BEC">
            <w:pPr>
              <w:pStyle w:val="ListParagraph"/>
              <w:ind w:left="0"/>
              <w:rPr>
                <w:rFonts w:cs="Arial"/>
                <w:b/>
                <w:sz w:val="18"/>
                <w:szCs w:val="18"/>
              </w:rPr>
            </w:pPr>
            <w:r w:rsidRPr="00B2594D">
              <w:rPr>
                <w:rFonts w:cs="Arial"/>
                <w:b/>
                <w:sz w:val="18"/>
                <w:szCs w:val="18"/>
              </w:rPr>
              <w:t>AO</w:t>
            </w:r>
            <w:r>
              <w:rPr>
                <w:rFonts w:cs="Arial"/>
                <w:b/>
                <w:sz w:val="18"/>
                <w:szCs w:val="18"/>
              </w:rPr>
              <w:t>7</w:t>
            </w:r>
          </w:p>
          <w:p w14:paraId="652660A1" w14:textId="77777777" w:rsidR="00615493" w:rsidRPr="00436005" w:rsidRDefault="00615493" w:rsidP="005B0BEC">
            <w:pPr>
              <w:pStyle w:val="CommentText"/>
              <w:rPr>
                <w:rFonts w:cs="Arial"/>
                <w:sz w:val="18"/>
                <w:szCs w:val="18"/>
              </w:rPr>
            </w:pPr>
            <w:r w:rsidRPr="00084AFB">
              <w:rPr>
                <w:rFonts w:cs="Arial"/>
                <w:sz w:val="18"/>
                <w:szCs w:val="18"/>
              </w:rPr>
              <w:t>No acceptable outcome provided</w:t>
            </w:r>
            <w:r>
              <w:rPr>
                <w:rFonts w:cs="Arial"/>
                <w:sz w:val="18"/>
                <w:szCs w:val="18"/>
              </w:rPr>
              <w:t>.</w:t>
            </w:r>
          </w:p>
        </w:tc>
        <w:tc>
          <w:tcPr>
            <w:tcW w:w="4045" w:type="dxa"/>
          </w:tcPr>
          <w:p w14:paraId="2DCB7ABD" w14:textId="47749C53" w:rsidR="00615493" w:rsidRPr="00B2594D"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2932A464" w14:textId="72306997" w:rsidTr="00615493">
        <w:tc>
          <w:tcPr>
            <w:tcW w:w="8505" w:type="dxa"/>
            <w:gridSpan w:val="2"/>
            <w:shd w:val="clear" w:color="auto" w:fill="D9D9D9"/>
          </w:tcPr>
          <w:p w14:paraId="54B119AB" w14:textId="77777777" w:rsidR="00615493" w:rsidRPr="00084AFB" w:rsidRDefault="00615493" w:rsidP="005B0BEC">
            <w:pPr>
              <w:pStyle w:val="ListParagraph"/>
              <w:ind w:left="0"/>
              <w:rPr>
                <w:rFonts w:cs="Arial"/>
                <w:b/>
                <w:i/>
                <w:sz w:val="18"/>
                <w:szCs w:val="18"/>
              </w:rPr>
            </w:pPr>
            <w:r>
              <w:rPr>
                <w:rFonts w:cs="Arial"/>
                <w:b/>
                <w:i/>
                <w:sz w:val="18"/>
                <w:szCs w:val="18"/>
              </w:rPr>
              <w:lastRenderedPageBreak/>
              <w:t>Infrastructure and services</w:t>
            </w:r>
          </w:p>
        </w:tc>
        <w:tc>
          <w:tcPr>
            <w:tcW w:w="4045" w:type="dxa"/>
            <w:shd w:val="clear" w:color="auto" w:fill="D9D9D9"/>
          </w:tcPr>
          <w:p w14:paraId="464FCA41" w14:textId="77777777" w:rsidR="00615493" w:rsidRDefault="00615493" w:rsidP="005B0BEC">
            <w:pPr>
              <w:pStyle w:val="ListParagraph"/>
              <w:ind w:left="0"/>
              <w:rPr>
                <w:rFonts w:cs="Arial"/>
                <w:b/>
                <w:i/>
                <w:sz w:val="18"/>
                <w:szCs w:val="18"/>
              </w:rPr>
            </w:pPr>
          </w:p>
        </w:tc>
      </w:tr>
      <w:tr w:rsidR="00615493" w:rsidRPr="00084AFB" w14:paraId="2599B5FE" w14:textId="7E0EF7F3" w:rsidTr="00615493">
        <w:tc>
          <w:tcPr>
            <w:tcW w:w="4460" w:type="dxa"/>
            <w:shd w:val="clear" w:color="auto" w:fill="auto"/>
          </w:tcPr>
          <w:p w14:paraId="16D9600E" w14:textId="77777777" w:rsidR="00615493" w:rsidRPr="00B2594D" w:rsidRDefault="00615493" w:rsidP="005B0BEC">
            <w:pPr>
              <w:pStyle w:val="ListParagraph"/>
              <w:ind w:left="0"/>
              <w:rPr>
                <w:rFonts w:cs="Arial"/>
                <w:b/>
                <w:sz w:val="18"/>
                <w:szCs w:val="18"/>
              </w:rPr>
            </w:pPr>
            <w:r w:rsidRPr="00B2594D">
              <w:rPr>
                <w:rFonts w:cs="Arial"/>
                <w:b/>
                <w:sz w:val="18"/>
                <w:szCs w:val="18"/>
              </w:rPr>
              <w:t>PO</w:t>
            </w:r>
            <w:r>
              <w:rPr>
                <w:rFonts w:cs="Arial"/>
                <w:b/>
                <w:sz w:val="18"/>
                <w:szCs w:val="18"/>
              </w:rPr>
              <w:t>8</w:t>
            </w:r>
          </w:p>
          <w:p w14:paraId="2C46B6C1" w14:textId="77777777" w:rsidR="00615493" w:rsidRPr="00084AFB" w:rsidRDefault="00615493" w:rsidP="005B0BEC">
            <w:pPr>
              <w:pStyle w:val="ListParagraph"/>
              <w:ind w:left="0"/>
              <w:rPr>
                <w:rFonts w:cs="Arial"/>
                <w:b/>
                <w:sz w:val="18"/>
                <w:szCs w:val="18"/>
              </w:rPr>
            </w:pPr>
            <w:r>
              <w:rPr>
                <w:rFonts w:cs="Arial"/>
                <w:sz w:val="18"/>
                <w:szCs w:val="18"/>
              </w:rPr>
              <w:t>D</w:t>
            </w:r>
            <w:r w:rsidRPr="00262303">
              <w:rPr>
                <w:rFonts w:cs="Arial"/>
                <w:sz w:val="18"/>
                <w:szCs w:val="18"/>
              </w:rPr>
              <w:t>evelopment is provided with urban services to support the needs of the community, including parks, reticulated water, sewerage, stormwater drainage, sealed roads, pathways, electricity and telecommunication infrastructure</w:t>
            </w:r>
            <w:r>
              <w:rPr>
                <w:rFonts w:cs="Arial"/>
                <w:sz w:val="18"/>
                <w:szCs w:val="18"/>
              </w:rPr>
              <w:t>.</w:t>
            </w:r>
          </w:p>
        </w:tc>
        <w:tc>
          <w:tcPr>
            <w:tcW w:w="4045" w:type="dxa"/>
            <w:shd w:val="clear" w:color="auto" w:fill="auto"/>
          </w:tcPr>
          <w:p w14:paraId="2FDDD066" w14:textId="77777777" w:rsidR="00615493" w:rsidRPr="00B2594D" w:rsidRDefault="00615493" w:rsidP="005B0BEC">
            <w:pPr>
              <w:pStyle w:val="ListParagraph"/>
              <w:ind w:left="0"/>
              <w:rPr>
                <w:rFonts w:cs="Arial"/>
                <w:b/>
                <w:sz w:val="18"/>
                <w:szCs w:val="18"/>
              </w:rPr>
            </w:pPr>
            <w:r>
              <w:rPr>
                <w:rFonts w:cs="Arial"/>
                <w:b/>
                <w:sz w:val="18"/>
                <w:szCs w:val="18"/>
              </w:rPr>
              <w:t>AO8</w:t>
            </w:r>
          </w:p>
          <w:p w14:paraId="6B909B10" w14:textId="77777777" w:rsidR="00615493" w:rsidRPr="00084AFB" w:rsidRDefault="00615493"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045" w:type="dxa"/>
          </w:tcPr>
          <w:p w14:paraId="1F4B2B67" w14:textId="5E8CB9A8" w:rsidR="00615493"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615493" w:rsidRPr="00084AFB" w14:paraId="4780DF7E" w14:textId="21CCC74A" w:rsidTr="00615493">
        <w:tc>
          <w:tcPr>
            <w:tcW w:w="4460" w:type="dxa"/>
            <w:shd w:val="clear" w:color="auto" w:fill="auto"/>
          </w:tcPr>
          <w:p w14:paraId="14E78A72" w14:textId="77777777" w:rsidR="00615493" w:rsidRPr="00B2594D" w:rsidRDefault="00615493" w:rsidP="005B0BEC">
            <w:pPr>
              <w:pStyle w:val="ListParagraph"/>
              <w:ind w:left="0"/>
              <w:rPr>
                <w:rFonts w:cs="Arial"/>
                <w:b/>
                <w:sz w:val="18"/>
                <w:szCs w:val="18"/>
              </w:rPr>
            </w:pPr>
            <w:r w:rsidRPr="00B2594D">
              <w:rPr>
                <w:rFonts w:cs="Arial"/>
                <w:b/>
                <w:sz w:val="18"/>
                <w:szCs w:val="18"/>
              </w:rPr>
              <w:t>PO</w:t>
            </w:r>
            <w:r>
              <w:rPr>
                <w:rFonts w:cs="Arial"/>
                <w:b/>
                <w:sz w:val="18"/>
                <w:szCs w:val="18"/>
              </w:rPr>
              <w:t>9</w:t>
            </w:r>
          </w:p>
          <w:p w14:paraId="11B70199" w14:textId="77777777" w:rsidR="00615493" w:rsidRPr="00262303" w:rsidRDefault="00615493" w:rsidP="005B0BEC">
            <w:pPr>
              <w:pStyle w:val="ListParagraph"/>
              <w:ind w:left="0"/>
              <w:rPr>
                <w:rFonts w:cs="Arial"/>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or compromise the future provision of planned infrastructure</w:t>
            </w:r>
            <w:r>
              <w:rPr>
                <w:rFonts w:cs="Arial"/>
                <w:sz w:val="18"/>
                <w:szCs w:val="18"/>
              </w:rPr>
              <w:t>.</w:t>
            </w:r>
          </w:p>
        </w:tc>
        <w:tc>
          <w:tcPr>
            <w:tcW w:w="4045" w:type="dxa"/>
            <w:shd w:val="clear" w:color="auto" w:fill="auto"/>
          </w:tcPr>
          <w:p w14:paraId="34C4F751" w14:textId="77777777" w:rsidR="00615493" w:rsidRPr="00B2594D" w:rsidRDefault="00615493" w:rsidP="005B0BEC">
            <w:pPr>
              <w:pStyle w:val="ListParagraph"/>
              <w:ind w:left="0"/>
              <w:rPr>
                <w:rFonts w:cs="Arial"/>
                <w:b/>
                <w:sz w:val="18"/>
                <w:szCs w:val="18"/>
              </w:rPr>
            </w:pPr>
            <w:r w:rsidRPr="00B2594D">
              <w:rPr>
                <w:rFonts w:cs="Arial"/>
                <w:b/>
                <w:sz w:val="18"/>
                <w:szCs w:val="18"/>
              </w:rPr>
              <w:t>AO</w:t>
            </w:r>
            <w:r>
              <w:rPr>
                <w:rFonts w:cs="Arial"/>
                <w:b/>
                <w:sz w:val="18"/>
                <w:szCs w:val="18"/>
              </w:rPr>
              <w:t>9</w:t>
            </w:r>
          </w:p>
          <w:p w14:paraId="0350A2C4" w14:textId="77777777" w:rsidR="00615493" w:rsidRPr="00084AFB" w:rsidRDefault="00615493"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045" w:type="dxa"/>
          </w:tcPr>
          <w:p w14:paraId="4806368D" w14:textId="71460AE2" w:rsidR="00615493" w:rsidRPr="00B2594D" w:rsidRDefault="00097B2F"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35FA5">
      <w:pPr>
        <w:ind w:right="5951"/>
      </w:pPr>
    </w:p>
    <w:sectPr w:rsidR="00315005" w:rsidRPr="00887F91"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3BA6" w14:textId="77777777" w:rsidR="00A868DF" w:rsidRDefault="00A868DF">
      <w:r>
        <w:separator/>
      </w:r>
    </w:p>
  </w:endnote>
  <w:endnote w:type="continuationSeparator" w:id="0">
    <w:p w14:paraId="7D87B32F" w14:textId="77777777" w:rsidR="00A868DF" w:rsidRDefault="00A8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05AE0805"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615493">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48715FAD"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615493">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3E26" w14:textId="77777777" w:rsidR="00A868DF" w:rsidRDefault="00A868DF">
      <w:r>
        <w:separator/>
      </w:r>
    </w:p>
  </w:footnote>
  <w:footnote w:type="continuationSeparator" w:id="0">
    <w:p w14:paraId="6FD95649" w14:textId="77777777" w:rsidR="00A868DF" w:rsidRDefault="00A8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7C96AB6A"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097B2F">
      <w:rPr>
        <w:b/>
        <w:noProof/>
        <w:sz w:val="14"/>
        <w:szCs w:val="14"/>
      </w:rPr>
      <w:t>6.2.20</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097B2F">
      <w:rPr>
        <w:b/>
        <w:noProof/>
        <w:sz w:val="14"/>
        <w:szCs w:val="14"/>
      </w:rPr>
      <w:t>Specialised centre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3C028161"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097B2F">
      <w:rPr>
        <w:b/>
        <w:noProof/>
        <w:sz w:val="14"/>
        <w:szCs w:val="14"/>
      </w:rPr>
      <w:t>6.2.20</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097B2F">
      <w:rPr>
        <w:b/>
        <w:noProof/>
        <w:sz w:val="14"/>
        <w:szCs w:val="14"/>
      </w:rPr>
      <w:t>Specialised centre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097B2F">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202"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77697406">
    <w:abstractNumId w:val="115"/>
  </w:num>
  <w:num w:numId="2" w16cid:durableId="1626082601">
    <w:abstractNumId w:val="9"/>
  </w:num>
  <w:num w:numId="3" w16cid:durableId="1474325123">
    <w:abstractNumId w:val="101"/>
  </w:num>
  <w:num w:numId="4" w16cid:durableId="2127694560">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784815939">
    <w:abstractNumId w:val="98"/>
  </w:num>
  <w:num w:numId="6" w16cid:durableId="1149785145">
    <w:abstractNumId w:val="112"/>
  </w:num>
  <w:num w:numId="7" w16cid:durableId="819005480">
    <w:abstractNumId w:val="90"/>
  </w:num>
  <w:num w:numId="8" w16cid:durableId="517814988">
    <w:abstractNumId w:val="66"/>
  </w:num>
  <w:num w:numId="9" w16cid:durableId="1253704160">
    <w:abstractNumId w:val="110"/>
  </w:num>
  <w:num w:numId="10" w16cid:durableId="721442746">
    <w:abstractNumId w:val="79"/>
  </w:num>
  <w:num w:numId="11" w16cid:durableId="678430549">
    <w:abstractNumId w:val="142"/>
  </w:num>
  <w:num w:numId="12" w16cid:durableId="2096707089">
    <w:abstractNumId w:val="59"/>
  </w:num>
  <w:num w:numId="13" w16cid:durableId="1967852266">
    <w:abstractNumId w:val="53"/>
  </w:num>
  <w:num w:numId="14" w16cid:durableId="1661538486">
    <w:abstractNumId w:val="74"/>
  </w:num>
  <w:num w:numId="15" w16cid:durableId="377050598">
    <w:abstractNumId w:val="43"/>
  </w:num>
  <w:num w:numId="16" w16cid:durableId="1773823148">
    <w:abstractNumId w:val="40"/>
  </w:num>
  <w:num w:numId="17" w16cid:durableId="1261454004">
    <w:abstractNumId w:val="140"/>
  </w:num>
  <w:num w:numId="18" w16cid:durableId="1018702704">
    <w:abstractNumId w:val="87"/>
  </w:num>
  <w:num w:numId="19" w16cid:durableId="1553691666">
    <w:abstractNumId w:val="80"/>
  </w:num>
  <w:num w:numId="20" w16cid:durableId="874999146">
    <w:abstractNumId w:val="21"/>
  </w:num>
  <w:num w:numId="21" w16cid:durableId="559831330">
    <w:abstractNumId w:val="35"/>
  </w:num>
  <w:num w:numId="22" w16cid:durableId="760217839">
    <w:abstractNumId w:val="29"/>
  </w:num>
  <w:num w:numId="23" w16cid:durableId="1900896876">
    <w:abstractNumId w:val="23"/>
  </w:num>
  <w:num w:numId="24" w16cid:durableId="1856379801">
    <w:abstractNumId w:val="28"/>
  </w:num>
  <w:num w:numId="25" w16cid:durableId="699429779">
    <w:abstractNumId w:val="14"/>
  </w:num>
  <w:num w:numId="26" w16cid:durableId="1908346813">
    <w:abstractNumId w:val="94"/>
  </w:num>
  <w:num w:numId="27" w16cid:durableId="590743049">
    <w:abstractNumId w:val="96"/>
  </w:num>
  <w:num w:numId="28" w16cid:durableId="644160087">
    <w:abstractNumId w:val="95"/>
  </w:num>
  <w:num w:numId="29" w16cid:durableId="1691646032">
    <w:abstractNumId w:val="22"/>
  </w:num>
  <w:num w:numId="30" w16cid:durableId="1932394929">
    <w:abstractNumId w:val="68"/>
  </w:num>
  <w:num w:numId="31" w16cid:durableId="1605074788">
    <w:abstractNumId w:val="55"/>
  </w:num>
  <w:num w:numId="32" w16cid:durableId="1949465351">
    <w:abstractNumId w:val="91"/>
  </w:num>
  <w:num w:numId="33" w16cid:durableId="1520848566">
    <w:abstractNumId w:val="84"/>
  </w:num>
  <w:num w:numId="34" w16cid:durableId="1098064736">
    <w:abstractNumId w:val="26"/>
  </w:num>
  <w:num w:numId="35" w16cid:durableId="976842431">
    <w:abstractNumId w:val="46"/>
  </w:num>
  <w:num w:numId="36" w16cid:durableId="500193508">
    <w:abstractNumId w:val="109"/>
  </w:num>
  <w:num w:numId="37" w16cid:durableId="1823690263">
    <w:abstractNumId w:val="24"/>
  </w:num>
  <w:num w:numId="38" w16cid:durableId="1141390411">
    <w:abstractNumId w:val="139"/>
  </w:num>
  <w:num w:numId="39" w16cid:durableId="1207913984">
    <w:abstractNumId w:val="105"/>
  </w:num>
  <w:num w:numId="40" w16cid:durableId="1367874371">
    <w:abstractNumId w:val="42"/>
  </w:num>
  <w:num w:numId="41" w16cid:durableId="573273010">
    <w:abstractNumId w:val="7"/>
  </w:num>
  <w:num w:numId="42" w16cid:durableId="2089616293">
    <w:abstractNumId w:val="76"/>
  </w:num>
  <w:num w:numId="43" w16cid:durableId="767192228">
    <w:abstractNumId w:val="135"/>
  </w:num>
  <w:num w:numId="44" w16cid:durableId="1520312311">
    <w:abstractNumId w:val="132"/>
  </w:num>
  <w:num w:numId="45" w16cid:durableId="1744834182">
    <w:abstractNumId w:val="104"/>
  </w:num>
  <w:num w:numId="46" w16cid:durableId="1042249529">
    <w:abstractNumId w:val="129"/>
  </w:num>
  <w:num w:numId="47" w16cid:durableId="979502414">
    <w:abstractNumId w:val="60"/>
  </w:num>
  <w:num w:numId="48" w16cid:durableId="1589383978">
    <w:abstractNumId w:val="70"/>
  </w:num>
  <w:num w:numId="49" w16cid:durableId="1830755921">
    <w:abstractNumId w:val="133"/>
  </w:num>
  <w:num w:numId="50" w16cid:durableId="1809399423">
    <w:abstractNumId w:val="37"/>
  </w:num>
  <w:num w:numId="51" w16cid:durableId="1703020141">
    <w:abstractNumId w:val="72"/>
  </w:num>
  <w:num w:numId="52" w16cid:durableId="1440680656">
    <w:abstractNumId w:val="134"/>
  </w:num>
  <w:num w:numId="53" w16cid:durableId="104693101">
    <w:abstractNumId w:val="99"/>
  </w:num>
  <w:num w:numId="54" w16cid:durableId="1645159848">
    <w:abstractNumId w:val="17"/>
  </w:num>
  <w:num w:numId="55" w16cid:durableId="1222328226">
    <w:abstractNumId w:val="25"/>
  </w:num>
  <w:num w:numId="56" w16cid:durableId="1699699869">
    <w:abstractNumId w:val="106"/>
  </w:num>
  <w:num w:numId="57" w16cid:durableId="23752107">
    <w:abstractNumId w:val="69"/>
  </w:num>
  <w:num w:numId="58" w16cid:durableId="1965385713">
    <w:abstractNumId w:val="73"/>
  </w:num>
  <w:num w:numId="59" w16cid:durableId="1053845452">
    <w:abstractNumId w:val="54"/>
  </w:num>
  <w:num w:numId="60" w16cid:durableId="1972204675">
    <w:abstractNumId w:val="4"/>
  </w:num>
  <w:num w:numId="61" w16cid:durableId="183715256">
    <w:abstractNumId w:val="83"/>
  </w:num>
  <w:num w:numId="62" w16cid:durableId="2016375508">
    <w:abstractNumId w:val="51"/>
  </w:num>
  <w:num w:numId="63" w16cid:durableId="149106688">
    <w:abstractNumId w:val="10"/>
  </w:num>
  <w:num w:numId="64" w16cid:durableId="805052898">
    <w:abstractNumId w:val="121"/>
  </w:num>
  <w:num w:numId="65" w16cid:durableId="47150780">
    <w:abstractNumId w:val="114"/>
  </w:num>
  <w:num w:numId="66" w16cid:durableId="1117023670">
    <w:abstractNumId w:val="67"/>
  </w:num>
  <w:num w:numId="67" w16cid:durableId="1190679926">
    <w:abstractNumId w:val="122"/>
  </w:num>
  <w:num w:numId="68" w16cid:durableId="1309826634">
    <w:abstractNumId w:val="61"/>
  </w:num>
  <w:num w:numId="69" w16cid:durableId="1724252961">
    <w:abstractNumId w:val="50"/>
  </w:num>
  <w:num w:numId="70" w16cid:durableId="2059624328">
    <w:abstractNumId w:val="77"/>
  </w:num>
  <w:num w:numId="71" w16cid:durableId="1296834877">
    <w:abstractNumId w:val="49"/>
  </w:num>
  <w:num w:numId="72" w16cid:durableId="1253776295">
    <w:abstractNumId w:val="125"/>
  </w:num>
  <w:num w:numId="73" w16cid:durableId="962689857">
    <w:abstractNumId w:val="93"/>
  </w:num>
  <w:num w:numId="74" w16cid:durableId="253049242">
    <w:abstractNumId w:val="130"/>
  </w:num>
  <w:num w:numId="75" w16cid:durableId="629942897">
    <w:abstractNumId w:val="16"/>
  </w:num>
  <w:num w:numId="76" w16cid:durableId="1792824254">
    <w:abstractNumId w:val="45"/>
  </w:num>
  <w:num w:numId="77" w16cid:durableId="1286765882">
    <w:abstractNumId w:val="102"/>
  </w:num>
  <w:num w:numId="78" w16cid:durableId="2026250132">
    <w:abstractNumId w:val="136"/>
  </w:num>
  <w:num w:numId="79" w16cid:durableId="1667972229">
    <w:abstractNumId w:val="11"/>
  </w:num>
  <w:num w:numId="80" w16cid:durableId="607271656">
    <w:abstractNumId w:val="117"/>
  </w:num>
  <w:num w:numId="81" w16cid:durableId="1538666984">
    <w:abstractNumId w:val="119"/>
  </w:num>
  <w:num w:numId="82" w16cid:durableId="1538927319">
    <w:abstractNumId w:val="65"/>
  </w:num>
  <w:num w:numId="83" w16cid:durableId="1174999004">
    <w:abstractNumId w:val="12"/>
  </w:num>
  <w:num w:numId="84" w16cid:durableId="500049796">
    <w:abstractNumId w:val="128"/>
  </w:num>
  <w:num w:numId="85" w16cid:durableId="1060321185">
    <w:abstractNumId w:val="144"/>
  </w:num>
  <w:num w:numId="86" w16cid:durableId="1448693889">
    <w:abstractNumId w:val="137"/>
  </w:num>
  <w:num w:numId="87" w16cid:durableId="992486993">
    <w:abstractNumId w:val="32"/>
  </w:num>
  <w:num w:numId="88" w16cid:durableId="2023583814">
    <w:abstractNumId w:val="33"/>
  </w:num>
  <w:num w:numId="89" w16cid:durableId="2096972776">
    <w:abstractNumId w:val="62"/>
  </w:num>
  <w:num w:numId="90" w16cid:durableId="1003824422">
    <w:abstractNumId w:val="64"/>
  </w:num>
  <w:num w:numId="91" w16cid:durableId="918950777">
    <w:abstractNumId w:val="44"/>
  </w:num>
  <w:num w:numId="92" w16cid:durableId="2038120275">
    <w:abstractNumId w:val="58"/>
  </w:num>
  <w:num w:numId="93" w16cid:durableId="1616212023">
    <w:abstractNumId w:val="92"/>
  </w:num>
  <w:num w:numId="94" w16cid:durableId="491945868">
    <w:abstractNumId w:val="113"/>
  </w:num>
  <w:num w:numId="95" w16cid:durableId="808321097">
    <w:abstractNumId w:val="111"/>
  </w:num>
  <w:num w:numId="96" w16cid:durableId="1128430794">
    <w:abstractNumId w:val="63"/>
  </w:num>
  <w:num w:numId="97" w16cid:durableId="1448045800">
    <w:abstractNumId w:val="13"/>
  </w:num>
  <w:num w:numId="98" w16cid:durableId="55327298">
    <w:abstractNumId w:val="120"/>
  </w:num>
  <w:num w:numId="99" w16cid:durableId="715009630">
    <w:abstractNumId w:val="36"/>
  </w:num>
  <w:num w:numId="100" w16cid:durableId="17437630">
    <w:abstractNumId w:val="56"/>
  </w:num>
  <w:num w:numId="101" w16cid:durableId="946305004">
    <w:abstractNumId w:val="141"/>
  </w:num>
  <w:num w:numId="102" w16cid:durableId="822545731">
    <w:abstractNumId w:val="100"/>
  </w:num>
  <w:num w:numId="103" w16cid:durableId="1598751383">
    <w:abstractNumId w:val="38"/>
  </w:num>
  <w:num w:numId="104" w16cid:durableId="809246826">
    <w:abstractNumId w:val="126"/>
  </w:num>
  <w:num w:numId="105" w16cid:durableId="1680690944">
    <w:abstractNumId w:val="39"/>
  </w:num>
  <w:num w:numId="106" w16cid:durableId="554893590">
    <w:abstractNumId w:val="52"/>
  </w:num>
  <w:num w:numId="107" w16cid:durableId="2037273262">
    <w:abstractNumId w:val="145"/>
  </w:num>
  <w:num w:numId="108" w16cid:durableId="2019116184">
    <w:abstractNumId w:val="131"/>
  </w:num>
  <w:num w:numId="109" w16cid:durableId="2022580489">
    <w:abstractNumId w:val="34"/>
  </w:num>
  <w:num w:numId="110" w16cid:durableId="621427048">
    <w:abstractNumId w:val="0"/>
  </w:num>
  <w:num w:numId="111" w16cid:durableId="960234272">
    <w:abstractNumId w:val="78"/>
  </w:num>
  <w:num w:numId="112" w16cid:durableId="204758851">
    <w:abstractNumId w:val="88"/>
  </w:num>
  <w:num w:numId="113" w16cid:durableId="1294016908">
    <w:abstractNumId w:val="47"/>
  </w:num>
  <w:num w:numId="114" w16cid:durableId="1082680961">
    <w:abstractNumId w:val="27"/>
  </w:num>
  <w:num w:numId="115" w16cid:durableId="771820369">
    <w:abstractNumId w:val="97"/>
  </w:num>
  <w:num w:numId="116" w16cid:durableId="1465345861">
    <w:abstractNumId w:val="85"/>
  </w:num>
  <w:num w:numId="117" w16cid:durableId="2132240559">
    <w:abstractNumId w:val="81"/>
  </w:num>
  <w:num w:numId="118" w16cid:durableId="916551116">
    <w:abstractNumId w:val="138"/>
  </w:num>
  <w:num w:numId="119" w16cid:durableId="2000770108">
    <w:abstractNumId w:val="3"/>
  </w:num>
  <w:num w:numId="120" w16cid:durableId="520124836">
    <w:abstractNumId w:val="107"/>
  </w:num>
  <w:num w:numId="121" w16cid:durableId="93787873">
    <w:abstractNumId w:val="123"/>
  </w:num>
  <w:num w:numId="122" w16cid:durableId="1601839802">
    <w:abstractNumId w:val="103"/>
  </w:num>
  <w:num w:numId="123" w16cid:durableId="1018459773">
    <w:abstractNumId w:val="5"/>
  </w:num>
  <w:num w:numId="124" w16cid:durableId="1206527123">
    <w:abstractNumId w:val="71"/>
  </w:num>
  <w:num w:numId="125" w16cid:durableId="672604744">
    <w:abstractNumId w:val="82"/>
  </w:num>
  <w:num w:numId="126" w16cid:durableId="55050893">
    <w:abstractNumId w:val="116"/>
  </w:num>
  <w:num w:numId="127" w16cid:durableId="1058741710">
    <w:abstractNumId w:val="108"/>
  </w:num>
  <w:num w:numId="128" w16cid:durableId="1854412188">
    <w:abstractNumId w:val="2"/>
  </w:num>
  <w:num w:numId="129" w16cid:durableId="490290709">
    <w:abstractNumId w:val="57"/>
  </w:num>
  <w:num w:numId="130" w16cid:durableId="402887">
    <w:abstractNumId w:val="1"/>
  </w:num>
  <w:num w:numId="131" w16cid:durableId="683944337">
    <w:abstractNumId w:val="143"/>
  </w:num>
  <w:num w:numId="132" w16cid:durableId="717627229">
    <w:abstractNumId w:val="146"/>
  </w:num>
  <w:num w:numId="133" w16cid:durableId="754399144">
    <w:abstractNumId w:val="20"/>
  </w:num>
  <w:num w:numId="134" w16cid:durableId="649753443">
    <w:abstractNumId w:val="30"/>
  </w:num>
  <w:num w:numId="135" w16cid:durableId="1855656206">
    <w:abstractNumId w:val="118"/>
  </w:num>
  <w:num w:numId="136" w16cid:durableId="1798791114">
    <w:abstractNumId w:val="6"/>
  </w:num>
  <w:num w:numId="137" w16cid:durableId="1872649753">
    <w:abstractNumId w:val="127"/>
  </w:num>
  <w:num w:numId="138" w16cid:durableId="177235842">
    <w:abstractNumId w:val="15"/>
  </w:num>
  <w:num w:numId="139" w16cid:durableId="197132390">
    <w:abstractNumId w:val="48"/>
  </w:num>
  <w:num w:numId="140" w16cid:durableId="928465722">
    <w:abstractNumId w:val="75"/>
  </w:num>
  <w:num w:numId="141" w16cid:durableId="1839037368">
    <w:abstractNumId w:val="31"/>
  </w:num>
  <w:num w:numId="142" w16cid:durableId="906837188">
    <w:abstractNumId w:val="8"/>
  </w:num>
  <w:num w:numId="143" w16cid:durableId="863634301">
    <w:abstractNumId w:val="124"/>
  </w:num>
  <w:num w:numId="144" w16cid:durableId="620219">
    <w:abstractNumId w:val="86"/>
  </w:num>
  <w:num w:numId="145" w16cid:durableId="290982036">
    <w:abstractNumId w:val="89"/>
  </w:num>
  <w:num w:numId="146" w16cid:durableId="1581018598">
    <w:abstractNumId w:val="18"/>
  </w:num>
  <w:num w:numId="147" w16cid:durableId="1914504934">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B2F"/>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4E01"/>
    <w:rsid w:val="002D628F"/>
    <w:rsid w:val="002D63E9"/>
    <w:rsid w:val="002E1D54"/>
    <w:rsid w:val="002E2503"/>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449"/>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5493"/>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1245"/>
    <w:rsid w:val="00833626"/>
    <w:rsid w:val="00833EE8"/>
    <w:rsid w:val="00833F9C"/>
    <w:rsid w:val="008346B0"/>
    <w:rsid w:val="00835330"/>
    <w:rsid w:val="0083552D"/>
    <w:rsid w:val="00835FA5"/>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8DF"/>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143C"/>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89F576E4-1D7E-4042-91B8-C08AF9A7832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3</cp:revision>
  <cp:lastPrinted>2020-01-20T01:12:00Z</cp:lastPrinted>
  <dcterms:created xsi:type="dcterms:W3CDTF">2023-03-15T03:08:00Z</dcterms:created>
  <dcterms:modified xsi:type="dcterms:W3CDTF">2023-03-15T04:29:00Z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