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41B9" w14:textId="77777777" w:rsidR="00D6143C" w:rsidRPr="00D6143C" w:rsidRDefault="00D6143C" w:rsidP="00D6143C">
      <w:pPr>
        <w:pStyle w:val="ListParagraph"/>
        <w:keepNext/>
        <w:numPr>
          <w:ilvl w:val="0"/>
          <w:numId w:val="2"/>
        </w:numPr>
        <w:spacing w:before="100" w:after="200"/>
        <w:outlineLvl w:val="0"/>
        <w:rPr>
          <w:rFonts w:cs="Arial"/>
          <w:b/>
          <w:bCs/>
          <w:vanish/>
          <w:kern w:val="32"/>
          <w:sz w:val="32"/>
          <w:szCs w:val="32"/>
        </w:rPr>
      </w:pPr>
      <w:bookmarkStart w:id="0" w:name="_Toc321921958"/>
      <w:bookmarkStart w:id="1" w:name="_Toc332985334"/>
      <w:bookmarkStart w:id="2" w:name="_Toc29993469"/>
      <w:bookmarkStart w:id="3" w:name="_Toc29993504"/>
    </w:p>
    <w:p w14:paraId="5CB1695A" w14:textId="77777777" w:rsidR="00D6143C" w:rsidRPr="00D6143C" w:rsidRDefault="00D6143C" w:rsidP="00D6143C">
      <w:pPr>
        <w:pStyle w:val="ListParagraph"/>
        <w:keepNext/>
        <w:numPr>
          <w:ilvl w:val="1"/>
          <w:numId w:val="2"/>
        </w:numPr>
        <w:spacing w:before="100" w:after="200"/>
        <w:outlineLvl w:val="1"/>
        <w:rPr>
          <w:rFonts w:cs="Arial"/>
          <w:b/>
          <w:bCs/>
          <w:iCs/>
          <w:vanish/>
          <w:sz w:val="28"/>
          <w:szCs w:val="28"/>
        </w:rPr>
      </w:pPr>
    </w:p>
    <w:p w14:paraId="78B3C0FE" w14:textId="77777777" w:rsidR="00D6143C" w:rsidRPr="00D6143C" w:rsidRDefault="00D6143C" w:rsidP="00D6143C">
      <w:pPr>
        <w:pStyle w:val="ListParagraph"/>
        <w:keepNext/>
        <w:numPr>
          <w:ilvl w:val="1"/>
          <w:numId w:val="2"/>
        </w:numPr>
        <w:spacing w:before="100" w:after="200"/>
        <w:outlineLvl w:val="1"/>
        <w:rPr>
          <w:rFonts w:cs="Arial"/>
          <w:b/>
          <w:bCs/>
          <w:iCs/>
          <w:vanish/>
          <w:sz w:val="28"/>
          <w:szCs w:val="28"/>
        </w:rPr>
      </w:pPr>
    </w:p>
    <w:p w14:paraId="52B25BBC"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111865C0"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6CAC2F88"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69F67FCD"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64078BA7"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67C7AEBB"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493A7AF7"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12F01263"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17338595"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29299A57"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361DEFEB"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0671F861"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39FEC85C"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437DD171"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31003AEA"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01652D1D"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54850336" w14:textId="77777777" w:rsidR="00D6143C" w:rsidRPr="00D6143C" w:rsidRDefault="00D6143C" w:rsidP="00D6143C">
      <w:pPr>
        <w:pStyle w:val="ListParagraph"/>
        <w:keepNext/>
        <w:numPr>
          <w:ilvl w:val="2"/>
          <w:numId w:val="2"/>
        </w:numPr>
        <w:spacing w:before="100" w:after="200"/>
        <w:outlineLvl w:val="2"/>
        <w:rPr>
          <w:rFonts w:cs="Arial"/>
          <w:b/>
          <w:bCs/>
          <w:vanish/>
          <w:sz w:val="24"/>
          <w:szCs w:val="26"/>
        </w:rPr>
      </w:pPr>
    </w:p>
    <w:p w14:paraId="4340ECA3" w14:textId="21805D38" w:rsidR="00D6143C" w:rsidRDefault="00D6143C" w:rsidP="00D6143C">
      <w:pPr>
        <w:pStyle w:val="Heading3"/>
        <w:ind w:right="5951"/>
      </w:pPr>
      <w:r>
        <w:t>Rural residential zone code</w:t>
      </w:r>
      <w:bookmarkEnd w:id="0"/>
      <w:bookmarkEnd w:id="1"/>
      <w:bookmarkEnd w:id="2"/>
      <w:bookmarkEnd w:id="3"/>
    </w:p>
    <w:p w14:paraId="2CC2F545" w14:textId="77777777" w:rsidR="00D6143C" w:rsidRDefault="00D6143C" w:rsidP="00D6143C">
      <w:pPr>
        <w:pStyle w:val="Heading4"/>
        <w:spacing w:before="100" w:after="200"/>
        <w:ind w:right="5951"/>
      </w:pPr>
      <w:bookmarkStart w:id="4" w:name="_Toc332985335"/>
      <w:r>
        <w:t>Application</w:t>
      </w:r>
      <w:bookmarkEnd w:id="4"/>
    </w:p>
    <w:p w14:paraId="5A96ED91" w14:textId="77777777" w:rsidR="00A83CCD" w:rsidRPr="00482FA6" w:rsidRDefault="00A83CCD" w:rsidP="00A83CCD">
      <w:pPr>
        <w:rPr>
          <w:rFonts w:cs="Arial"/>
          <w:sz w:val="18"/>
          <w:szCs w:val="18"/>
        </w:rPr>
      </w:pPr>
      <w:r w:rsidRPr="00482FA6">
        <w:rPr>
          <w:rFonts w:cs="Arial"/>
          <w:sz w:val="18"/>
          <w:szCs w:val="18"/>
        </w:rPr>
        <w:t xml:space="preserve">This code applies to </w:t>
      </w:r>
      <w:proofErr w:type="gramStart"/>
      <w:r w:rsidRPr="00482FA6">
        <w:rPr>
          <w:rFonts w:cs="Arial"/>
          <w:sz w:val="18"/>
          <w:szCs w:val="18"/>
        </w:rPr>
        <w:t>development:-</w:t>
      </w:r>
      <w:proofErr w:type="gramEnd"/>
    </w:p>
    <w:p w14:paraId="6B24C9D6" w14:textId="77777777" w:rsidR="00A83CCD" w:rsidRPr="00482FA6" w:rsidRDefault="00A83CCD" w:rsidP="00A83CCD">
      <w:pPr>
        <w:rPr>
          <w:rFonts w:cs="Arial"/>
          <w:sz w:val="18"/>
          <w:szCs w:val="18"/>
        </w:rPr>
      </w:pPr>
    </w:p>
    <w:p w14:paraId="7D6001BD" w14:textId="77777777" w:rsidR="00A83CCD" w:rsidRPr="00482FA6" w:rsidRDefault="00A83CCD" w:rsidP="00A83CCD">
      <w:pPr>
        <w:numPr>
          <w:ilvl w:val="0"/>
          <w:numId w:val="117"/>
        </w:numPr>
        <w:rPr>
          <w:rFonts w:cs="Arial"/>
          <w:sz w:val="18"/>
          <w:szCs w:val="18"/>
        </w:rPr>
      </w:pPr>
      <w:r w:rsidRPr="00482FA6">
        <w:rPr>
          <w:rFonts w:cs="Arial"/>
          <w:sz w:val="18"/>
          <w:szCs w:val="18"/>
        </w:rPr>
        <w:t>within the Rural residential zone as identified on the zone maps</w:t>
      </w:r>
      <w:r w:rsidRPr="007222E9">
        <w:rPr>
          <w:rFonts w:cs="Arial"/>
          <w:sz w:val="18"/>
          <w:szCs w:val="18"/>
        </w:rPr>
        <w:t xml:space="preserve"> contained in </w:t>
      </w:r>
      <w:r w:rsidRPr="00482FA6">
        <w:rPr>
          <w:rFonts w:cs="Arial"/>
          <w:b/>
          <w:sz w:val="18"/>
          <w:szCs w:val="18"/>
        </w:rPr>
        <w:t>Schedule 2 (Mapping)</w:t>
      </w:r>
      <w:r w:rsidRPr="007222E9">
        <w:rPr>
          <w:rFonts w:cs="Arial"/>
          <w:sz w:val="18"/>
          <w:szCs w:val="18"/>
        </w:rPr>
        <w:t>; and</w:t>
      </w:r>
    </w:p>
    <w:p w14:paraId="672F982F" w14:textId="77777777" w:rsidR="00A83CCD" w:rsidRPr="007222E9" w:rsidRDefault="00A83CCD" w:rsidP="00A83CCD">
      <w:pPr>
        <w:tabs>
          <w:tab w:val="num" w:pos="540"/>
        </w:tabs>
        <w:rPr>
          <w:sz w:val="18"/>
          <w:szCs w:val="18"/>
        </w:rPr>
      </w:pPr>
    </w:p>
    <w:p w14:paraId="27EE2BE7" w14:textId="77777777" w:rsidR="00A83CCD" w:rsidRPr="007222E9" w:rsidRDefault="00A83CCD" w:rsidP="00A83CCD">
      <w:pPr>
        <w:numPr>
          <w:ilvl w:val="0"/>
          <w:numId w:val="117"/>
        </w:numPr>
        <w:rPr>
          <w:sz w:val="18"/>
          <w:szCs w:val="18"/>
        </w:rPr>
      </w:pPr>
      <w:r w:rsidRPr="007222E9">
        <w:rPr>
          <w:sz w:val="18"/>
          <w:szCs w:val="18"/>
        </w:rPr>
        <w:t xml:space="preserve">identified as requiring assessment against the Rural residential zone code by the tables of assessment in </w:t>
      </w:r>
      <w:r w:rsidRPr="007222E9">
        <w:rPr>
          <w:b/>
          <w:sz w:val="18"/>
          <w:szCs w:val="18"/>
        </w:rPr>
        <w:t>Part 5 (Tables of assessment)</w:t>
      </w:r>
      <w:r w:rsidRPr="007222E9">
        <w:rPr>
          <w:sz w:val="18"/>
          <w:szCs w:val="18"/>
        </w:rPr>
        <w:t>.</w:t>
      </w:r>
    </w:p>
    <w:p w14:paraId="44B59831" w14:textId="77777777" w:rsidR="00D6143C" w:rsidRPr="007222E9" w:rsidRDefault="00D6143C" w:rsidP="00D6143C">
      <w:pPr>
        <w:tabs>
          <w:tab w:val="num" w:pos="540"/>
        </w:tabs>
        <w:ind w:right="5951"/>
        <w:rPr>
          <w:sz w:val="18"/>
          <w:szCs w:val="18"/>
        </w:rPr>
      </w:pPr>
    </w:p>
    <w:p w14:paraId="059C75B5" w14:textId="77777777" w:rsidR="00D6143C" w:rsidRDefault="00D6143C" w:rsidP="00D6143C">
      <w:pPr>
        <w:pStyle w:val="Heading4"/>
        <w:spacing w:before="100" w:after="200"/>
        <w:ind w:right="5951"/>
      </w:pPr>
      <w:bookmarkStart w:id="5" w:name="_Toc332985336"/>
      <w:r>
        <w:t>Purpose and overall outcomes</w:t>
      </w:r>
      <w:bookmarkEnd w:id="5"/>
    </w:p>
    <w:p w14:paraId="26F74277" w14:textId="77777777" w:rsidR="00A83CCD" w:rsidRDefault="00A83CCD" w:rsidP="00A83CCD">
      <w:pPr>
        <w:numPr>
          <w:ilvl w:val="0"/>
          <w:numId w:val="76"/>
        </w:numPr>
        <w:rPr>
          <w:rFonts w:cs="Arial"/>
          <w:sz w:val="18"/>
          <w:szCs w:val="18"/>
        </w:rPr>
      </w:pPr>
      <w:r w:rsidRPr="005665A6">
        <w:rPr>
          <w:rFonts w:cs="Arial"/>
          <w:sz w:val="18"/>
          <w:szCs w:val="18"/>
        </w:rPr>
        <w:t xml:space="preserve">The purpose of the </w:t>
      </w:r>
      <w:r>
        <w:rPr>
          <w:rFonts w:cs="Arial"/>
          <w:sz w:val="18"/>
          <w:szCs w:val="18"/>
        </w:rPr>
        <w:t>R</w:t>
      </w:r>
      <w:r w:rsidRPr="005665A6">
        <w:rPr>
          <w:rFonts w:cs="Arial"/>
          <w:sz w:val="18"/>
          <w:szCs w:val="18"/>
        </w:rPr>
        <w:t>ural residential zone is to</w:t>
      </w:r>
      <w:r>
        <w:rPr>
          <w:rFonts w:cs="Arial"/>
          <w:sz w:val="18"/>
          <w:szCs w:val="18"/>
        </w:rPr>
        <w:t xml:space="preserve"> </w:t>
      </w:r>
      <w:r w:rsidRPr="005665A6">
        <w:rPr>
          <w:rFonts w:cs="Arial"/>
          <w:sz w:val="18"/>
          <w:szCs w:val="18"/>
        </w:rPr>
        <w:t>provide for residential uses and activities on large lots, including lots for which the local government</w:t>
      </w:r>
      <w:r>
        <w:rPr>
          <w:rFonts w:cs="Arial"/>
          <w:sz w:val="18"/>
          <w:szCs w:val="18"/>
        </w:rPr>
        <w:t xml:space="preserve"> has not provided </w:t>
      </w:r>
      <w:r w:rsidRPr="005665A6">
        <w:rPr>
          <w:rFonts w:cs="Arial"/>
          <w:sz w:val="18"/>
          <w:szCs w:val="18"/>
        </w:rPr>
        <w:t>infrastructure</w:t>
      </w:r>
      <w:r>
        <w:rPr>
          <w:rFonts w:cs="Arial"/>
          <w:sz w:val="18"/>
          <w:szCs w:val="18"/>
        </w:rPr>
        <w:t xml:space="preserve"> </w:t>
      </w:r>
      <w:r w:rsidRPr="005665A6">
        <w:rPr>
          <w:rFonts w:cs="Arial"/>
          <w:sz w:val="18"/>
          <w:szCs w:val="18"/>
        </w:rPr>
        <w:t>and services.</w:t>
      </w:r>
    </w:p>
    <w:p w14:paraId="76BD8B52" w14:textId="77777777" w:rsidR="00A83CCD" w:rsidRPr="007222E9" w:rsidRDefault="00A83CCD" w:rsidP="00A83CCD">
      <w:pPr>
        <w:rPr>
          <w:rFonts w:cs="Arial"/>
          <w:sz w:val="18"/>
          <w:szCs w:val="18"/>
        </w:rPr>
      </w:pPr>
    </w:p>
    <w:p w14:paraId="6096BC8D" w14:textId="77777777" w:rsidR="00A83CCD" w:rsidRPr="007222E9" w:rsidRDefault="00A83CCD" w:rsidP="00A83CCD">
      <w:pPr>
        <w:numPr>
          <w:ilvl w:val="0"/>
          <w:numId w:val="76"/>
        </w:numPr>
        <w:rPr>
          <w:rFonts w:cs="Arial"/>
          <w:sz w:val="18"/>
          <w:szCs w:val="18"/>
        </w:rPr>
      </w:pPr>
      <w:r w:rsidRPr="007222E9">
        <w:rPr>
          <w:rFonts w:cs="Arial"/>
          <w:sz w:val="18"/>
          <w:szCs w:val="18"/>
        </w:rPr>
        <w:t xml:space="preserve">The purpose of the Rural residential zone code will be achieved through the following overall </w:t>
      </w:r>
      <w:proofErr w:type="gramStart"/>
      <w:r w:rsidRPr="007222E9">
        <w:rPr>
          <w:rFonts w:cs="Arial"/>
          <w:sz w:val="18"/>
          <w:szCs w:val="18"/>
        </w:rPr>
        <w:t>outcomes:-</w:t>
      </w:r>
      <w:proofErr w:type="gramEnd"/>
    </w:p>
    <w:p w14:paraId="11CC5F7E" w14:textId="77777777" w:rsidR="00A83CCD" w:rsidRPr="007222E9" w:rsidRDefault="00A83CCD" w:rsidP="00A83CCD">
      <w:pPr>
        <w:rPr>
          <w:rFonts w:cs="Arial"/>
          <w:sz w:val="18"/>
          <w:szCs w:val="18"/>
        </w:rPr>
      </w:pPr>
    </w:p>
    <w:p w14:paraId="68781852" w14:textId="77777777" w:rsidR="00A83CCD" w:rsidRDefault="00A83CCD" w:rsidP="00A83CCD">
      <w:pPr>
        <w:numPr>
          <w:ilvl w:val="1"/>
          <w:numId w:val="22"/>
        </w:numPr>
        <w:tabs>
          <w:tab w:val="clear" w:pos="1440"/>
        </w:tabs>
        <w:ind w:left="1134" w:hanging="567"/>
        <w:rPr>
          <w:rFonts w:cs="Arial"/>
          <w:sz w:val="18"/>
          <w:szCs w:val="18"/>
        </w:rPr>
      </w:pPr>
      <w:r w:rsidRPr="007222E9">
        <w:rPr>
          <w:rFonts w:cs="Arial"/>
          <w:sz w:val="18"/>
          <w:szCs w:val="18"/>
        </w:rPr>
        <w:t xml:space="preserve">development provides for low density residential </w:t>
      </w:r>
      <w:r>
        <w:rPr>
          <w:rFonts w:cs="Arial"/>
          <w:sz w:val="18"/>
          <w:szCs w:val="18"/>
        </w:rPr>
        <w:t>activities and a range of relatively large residential lot sizes</w:t>
      </w:r>
      <w:r w:rsidRPr="007222E9">
        <w:rPr>
          <w:rFonts w:cs="Arial"/>
          <w:sz w:val="18"/>
          <w:szCs w:val="18"/>
        </w:rPr>
        <w:t>;</w:t>
      </w:r>
    </w:p>
    <w:p w14:paraId="624A00CA" w14:textId="77777777" w:rsidR="00A83CCD" w:rsidRDefault="00A83CCD" w:rsidP="00A83CCD">
      <w:pPr>
        <w:ind w:left="1134"/>
        <w:rPr>
          <w:rFonts w:cs="Arial"/>
          <w:sz w:val="18"/>
          <w:szCs w:val="18"/>
        </w:rPr>
      </w:pPr>
    </w:p>
    <w:p w14:paraId="4C0D4104" w14:textId="77777777" w:rsidR="00A83CCD" w:rsidRPr="00FC1C32" w:rsidRDefault="00A83CCD" w:rsidP="00A83CCD">
      <w:pPr>
        <w:numPr>
          <w:ilvl w:val="1"/>
          <w:numId w:val="22"/>
        </w:numPr>
        <w:tabs>
          <w:tab w:val="clear" w:pos="1440"/>
        </w:tabs>
        <w:ind w:left="1134" w:hanging="567"/>
        <w:rPr>
          <w:rFonts w:cs="Arial"/>
          <w:sz w:val="18"/>
          <w:szCs w:val="18"/>
        </w:rPr>
      </w:pPr>
      <w:r>
        <w:rPr>
          <w:rFonts w:cs="Arial"/>
          <w:sz w:val="18"/>
          <w:szCs w:val="18"/>
        </w:rPr>
        <w:t xml:space="preserve">limited other residential activities and non-residential uses </w:t>
      </w:r>
      <w:r w:rsidRPr="007222E9">
        <w:rPr>
          <w:rFonts w:cs="Arial"/>
          <w:sz w:val="18"/>
          <w:szCs w:val="18"/>
        </w:rPr>
        <w:t>may be established in the zone where the</w:t>
      </w:r>
      <w:r>
        <w:rPr>
          <w:rFonts w:cs="Arial"/>
          <w:sz w:val="18"/>
          <w:szCs w:val="18"/>
        </w:rPr>
        <w:t>y are small in</w:t>
      </w:r>
      <w:r w:rsidRPr="007222E9">
        <w:rPr>
          <w:rFonts w:cs="Arial"/>
          <w:sz w:val="18"/>
          <w:szCs w:val="18"/>
        </w:rPr>
        <w:t xml:space="preserve"> scale, </w:t>
      </w:r>
      <w:r>
        <w:rPr>
          <w:rFonts w:cs="Arial"/>
          <w:sz w:val="18"/>
          <w:szCs w:val="18"/>
        </w:rPr>
        <w:t xml:space="preserve">and the </w:t>
      </w:r>
      <w:r w:rsidRPr="007222E9">
        <w:rPr>
          <w:rFonts w:cs="Arial"/>
          <w:sz w:val="18"/>
          <w:szCs w:val="18"/>
        </w:rPr>
        <w:t xml:space="preserve">intensity and nature of the activity does not disturb </w:t>
      </w:r>
      <w:r w:rsidRPr="00FC1C32">
        <w:rPr>
          <w:rFonts w:cs="Arial"/>
          <w:sz w:val="18"/>
          <w:szCs w:val="18"/>
        </w:rPr>
        <w:t>the rural residential character and amenity of the surrounding locality, and if for a shop, services the daily needs of residents;</w:t>
      </w:r>
    </w:p>
    <w:p w14:paraId="3384050E" w14:textId="77777777" w:rsidR="00A83CCD" w:rsidRPr="00FC1C32" w:rsidRDefault="00A83CCD" w:rsidP="00A83CCD">
      <w:pPr>
        <w:pStyle w:val="ListParagraph"/>
        <w:ind w:left="0"/>
        <w:rPr>
          <w:rFonts w:cs="Arial"/>
          <w:sz w:val="18"/>
          <w:szCs w:val="18"/>
        </w:rPr>
      </w:pPr>
    </w:p>
    <w:p w14:paraId="6AC2B251" w14:textId="77777777" w:rsidR="00A83CCD" w:rsidRPr="00CC3C8E" w:rsidRDefault="00A83CCD" w:rsidP="00A83CCD">
      <w:pPr>
        <w:numPr>
          <w:ilvl w:val="1"/>
          <w:numId w:val="22"/>
        </w:numPr>
        <w:tabs>
          <w:tab w:val="clear" w:pos="1440"/>
        </w:tabs>
        <w:ind w:left="1134" w:hanging="567"/>
        <w:rPr>
          <w:rFonts w:cs="Arial"/>
          <w:sz w:val="18"/>
          <w:szCs w:val="18"/>
        </w:rPr>
      </w:pPr>
      <w:r w:rsidRPr="00FC1C32">
        <w:rPr>
          <w:sz w:val="18"/>
          <w:szCs w:val="18"/>
        </w:rPr>
        <w:t xml:space="preserve">development </w:t>
      </w:r>
      <w:r>
        <w:rPr>
          <w:sz w:val="18"/>
          <w:szCs w:val="18"/>
        </w:rPr>
        <w:t xml:space="preserve">has a low-rise built form that </w:t>
      </w:r>
      <w:r w:rsidRPr="00CC3C8E">
        <w:rPr>
          <w:sz w:val="18"/>
          <w:szCs w:val="18"/>
        </w:rPr>
        <w:t>maintains the low intensity character and rural residential amenity of the zone;</w:t>
      </w:r>
    </w:p>
    <w:p w14:paraId="4A3FAB29" w14:textId="77777777" w:rsidR="00A83CCD" w:rsidRPr="00FC1C32" w:rsidRDefault="00A83CCD" w:rsidP="00A83CCD">
      <w:pPr>
        <w:pStyle w:val="ListParagraph"/>
        <w:rPr>
          <w:sz w:val="18"/>
          <w:szCs w:val="18"/>
        </w:rPr>
      </w:pPr>
    </w:p>
    <w:p w14:paraId="079626A7" w14:textId="77777777" w:rsidR="00A83CCD" w:rsidRPr="00FC1C32" w:rsidRDefault="00A83CCD" w:rsidP="00A83CCD">
      <w:pPr>
        <w:numPr>
          <w:ilvl w:val="1"/>
          <w:numId w:val="22"/>
        </w:numPr>
        <w:tabs>
          <w:tab w:val="clear" w:pos="1440"/>
          <w:tab w:val="num" w:pos="1134"/>
        </w:tabs>
        <w:ind w:left="1134" w:hanging="567"/>
        <w:rPr>
          <w:rFonts w:cs="Arial"/>
          <w:sz w:val="18"/>
          <w:szCs w:val="18"/>
        </w:rPr>
      </w:pPr>
      <w:r w:rsidRPr="00FC1C32">
        <w:rPr>
          <w:sz w:val="18"/>
          <w:szCs w:val="18"/>
        </w:rPr>
        <w:t>development for residential uses adjacent to rural land does not interfere with the existing or ongoing use of the rural land for rural purposes;</w:t>
      </w:r>
    </w:p>
    <w:p w14:paraId="26559795" w14:textId="77777777" w:rsidR="00A83CCD" w:rsidRPr="00FC1C32" w:rsidRDefault="00A83CCD" w:rsidP="00A83CCD">
      <w:pPr>
        <w:pStyle w:val="ListParagraph"/>
        <w:rPr>
          <w:sz w:val="18"/>
          <w:szCs w:val="18"/>
        </w:rPr>
      </w:pPr>
    </w:p>
    <w:p w14:paraId="3CA4EA79" w14:textId="77777777" w:rsidR="00A83CCD" w:rsidRDefault="00A83CCD" w:rsidP="00A83CCD">
      <w:pPr>
        <w:numPr>
          <w:ilvl w:val="1"/>
          <w:numId w:val="22"/>
        </w:numPr>
        <w:tabs>
          <w:tab w:val="clear" w:pos="1440"/>
          <w:tab w:val="num" w:pos="1134"/>
        </w:tabs>
        <w:ind w:left="1134" w:hanging="567"/>
        <w:rPr>
          <w:sz w:val="18"/>
          <w:szCs w:val="18"/>
        </w:rPr>
      </w:pPr>
      <w:r w:rsidRPr="00FC1C32">
        <w:rPr>
          <w:sz w:val="18"/>
          <w:szCs w:val="18"/>
        </w:rPr>
        <w:t xml:space="preserve">development ensures each identified rural residential precinct maintains the particular lifestyle option, local character, topography and constraints of the precinct, and generally maintain the following lot </w:t>
      </w:r>
      <w:proofErr w:type="gramStart"/>
      <w:r w:rsidRPr="00FC1C32">
        <w:rPr>
          <w:sz w:val="18"/>
          <w:szCs w:val="18"/>
        </w:rPr>
        <w:t>sizes:-</w:t>
      </w:r>
      <w:proofErr w:type="gramEnd"/>
    </w:p>
    <w:p w14:paraId="1DC3F867" w14:textId="77777777" w:rsidR="00A83CCD" w:rsidRPr="0067382B" w:rsidRDefault="00A83CCD" w:rsidP="00A83CCD">
      <w:pPr>
        <w:ind w:left="1134"/>
        <w:rPr>
          <w:sz w:val="18"/>
          <w:szCs w:val="18"/>
        </w:rPr>
      </w:pPr>
    </w:p>
    <w:p w14:paraId="021D5619" w14:textId="77777777" w:rsidR="00A83CCD" w:rsidRPr="00051029" w:rsidRDefault="00A83CCD" w:rsidP="00A83CCD">
      <w:pPr>
        <w:pStyle w:val="ListParagraph"/>
        <w:numPr>
          <w:ilvl w:val="0"/>
          <w:numId w:val="122"/>
        </w:numPr>
        <w:ind w:left="1701" w:hanging="567"/>
        <w:rPr>
          <w:sz w:val="18"/>
          <w:szCs w:val="18"/>
        </w:rPr>
      </w:pPr>
      <w:r w:rsidRPr="00FC1C32">
        <w:rPr>
          <w:sz w:val="18"/>
          <w:szCs w:val="18"/>
        </w:rPr>
        <w:t xml:space="preserve">precinct RRZ1 </w:t>
      </w:r>
      <w:r>
        <w:rPr>
          <w:sz w:val="18"/>
          <w:szCs w:val="18"/>
        </w:rPr>
        <w:t>–</w:t>
      </w:r>
      <w:r w:rsidRPr="00051029">
        <w:rPr>
          <w:sz w:val="18"/>
          <w:szCs w:val="18"/>
        </w:rPr>
        <w:t xml:space="preserve"> 2,000m</w:t>
      </w:r>
      <w:r w:rsidRPr="00051029">
        <w:rPr>
          <w:sz w:val="18"/>
          <w:szCs w:val="18"/>
          <w:vertAlign w:val="superscript"/>
        </w:rPr>
        <w:t>2</w:t>
      </w:r>
      <w:r w:rsidRPr="00051029">
        <w:rPr>
          <w:sz w:val="18"/>
          <w:szCs w:val="18"/>
        </w:rPr>
        <w:t xml:space="preserve"> lot size; </w:t>
      </w:r>
    </w:p>
    <w:p w14:paraId="3A7CA5EB" w14:textId="77777777" w:rsidR="00A83CCD" w:rsidRPr="00051029" w:rsidRDefault="00A83CCD" w:rsidP="00A83CCD">
      <w:pPr>
        <w:pStyle w:val="ListParagraph"/>
        <w:numPr>
          <w:ilvl w:val="0"/>
          <w:numId w:val="122"/>
        </w:numPr>
        <w:ind w:left="1701" w:hanging="567"/>
        <w:rPr>
          <w:sz w:val="18"/>
          <w:szCs w:val="18"/>
        </w:rPr>
      </w:pPr>
      <w:r w:rsidRPr="00FC1C32">
        <w:rPr>
          <w:sz w:val="18"/>
          <w:szCs w:val="18"/>
        </w:rPr>
        <w:t xml:space="preserve">precinct RRZ2 </w:t>
      </w:r>
      <w:r>
        <w:rPr>
          <w:sz w:val="18"/>
          <w:szCs w:val="18"/>
        </w:rPr>
        <w:t>–</w:t>
      </w:r>
      <w:r w:rsidRPr="00051029">
        <w:rPr>
          <w:sz w:val="18"/>
          <w:szCs w:val="18"/>
        </w:rPr>
        <w:t xml:space="preserve"> 4,000m</w:t>
      </w:r>
      <w:r w:rsidRPr="00051029">
        <w:rPr>
          <w:sz w:val="18"/>
          <w:szCs w:val="18"/>
          <w:vertAlign w:val="superscript"/>
        </w:rPr>
        <w:t>2</w:t>
      </w:r>
      <w:r w:rsidRPr="00051029">
        <w:rPr>
          <w:sz w:val="18"/>
          <w:szCs w:val="18"/>
        </w:rPr>
        <w:t xml:space="preserve"> lot size; and</w:t>
      </w:r>
    </w:p>
    <w:p w14:paraId="5AF601FD" w14:textId="77777777" w:rsidR="00A83CCD" w:rsidRPr="00051029" w:rsidRDefault="00A83CCD" w:rsidP="00A83CCD">
      <w:pPr>
        <w:pStyle w:val="ListParagraph"/>
        <w:numPr>
          <w:ilvl w:val="0"/>
          <w:numId w:val="122"/>
        </w:numPr>
        <w:ind w:left="1701" w:hanging="567"/>
        <w:rPr>
          <w:sz w:val="18"/>
          <w:szCs w:val="18"/>
        </w:rPr>
      </w:pPr>
      <w:r w:rsidRPr="0067382B">
        <w:rPr>
          <w:sz w:val="18"/>
          <w:szCs w:val="18"/>
        </w:rPr>
        <w:t xml:space="preserve">precinct RRZ3 </w:t>
      </w:r>
      <w:r>
        <w:rPr>
          <w:sz w:val="18"/>
          <w:szCs w:val="18"/>
        </w:rPr>
        <w:t>–</w:t>
      </w:r>
      <w:r w:rsidRPr="00051029">
        <w:rPr>
          <w:sz w:val="18"/>
          <w:szCs w:val="18"/>
        </w:rPr>
        <w:t xml:space="preserve"> 4ha lot size;</w:t>
      </w:r>
    </w:p>
    <w:p w14:paraId="2AB71AAE" w14:textId="77777777" w:rsidR="00A83CCD" w:rsidRPr="0067382B" w:rsidRDefault="00A83CCD" w:rsidP="00A83CCD">
      <w:pPr>
        <w:ind w:left="1134"/>
        <w:rPr>
          <w:sz w:val="18"/>
          <w:szCs w:val="18"/>
        </w:rPr>
      </w:pPr>
    </w:p>
    <w:p w14:paraId="4D8761E6" w14:textId="77777777" w:rsidR="00A83CCD" w:rsidRPr="00FC1C32" w:rsidRDefault="00A83CCD" w:rsidP="00A83CCD">
      <w:pPr>
        <w:numPr>
          <w:ilvl w:val="1"/>
          <w:numId w:val="22"/>
        </w:numPr>
        <w:tabs>
          <w:tab w:val="clear" w:pos="1440"/>
          <w:tab w:val="num" w:pos="1134"/>
        </w:tabs>
        <w:ind w:left="1134" w:hanging="567"/>
        <w:rPr>
          <w:rFonts w:cs="Arial"/>
          <w:sz w:val="18"/>
          <w:szCs w:val="18"/>
        </w:rPr>
      </w:pPr>
      <w:r w:rsidRPr="00FC1C32">
        <w:rPr>
          <w:sz w:val="18"/>
          <w:szCs w:val="18"/>
        </w:rPr>
        <w:t>where not in a precinct, development maintains the existing residential density of the rural residential neighbourhood; and</w:t>
      </w:r>
    </w:p>
    <w:p w14:paraId="5DC3827B" w14:textId="77777777" w:rsidR="00A83CCD" w:rsidRPr="00A820B6" w:rsidRDefault="00A83CCD" w:rsidP="00A83CCD">
      <w:pPr>
        <w:ind w:left="1134"/>
        <w:rPr>
          <w:rFonts w:cs="Arial"/>
          <w:sz w:val="18"/>
          <w:szCs w:val="18"/>
        </w:rPr>
      </w:pPr>
    </w:p>
    <w:p w14:paraId="30717EED" w14:textId="77777777" w:rsidR="00A83CCD" w:rsidRPr="007222E9" w:rsidRDefault="00A83CCD" w:rsidP="00A83CCD">
      <w:pPr>
        <w:numPr>
          <w:ilvl w:val="1"/>
          <w:numId w:val="22"/>
        </w:numPr>
        <w:tabs>
          <w:tab w:val="clear" w:pos="1440"/>
          <w:tab w:val="num" w:pos="1134"/>
        </w:tabs>
        <w:ind w:left="1134" w:hanging="567"/>
        <w:rPr>
          <w:rFonts w:cs="Arial"/>
          <w:sz w:val="18"/>
          <w:szCs w:val="18"/>
        </w:rPr>
      </w:pPr>
      <w:r w:rsidRPr="007222E9">
        <w:rPr>
          <w:rFonts w:eastAsia="Calibri"/>
          <w:sz w:val="18"/>
          <w:szCs w:val="18"/>
        </w:rPr>
        <w:t xml:space="preserve">development </w:t>
      </w:r>
      <w:r>
        <w:rPr>
          <w:sz w:val="18"/>
          <w:szCs w:val="18"/>
        </w:rPr>
        <w:t xml:space="preserve">encourages and facilitates </w:t>
      </w:r>
      <w:r w:rsidRPr="007222E9">
        <w:rPr>
          <w:sz w:val="18"/>
          <w:szCs w:val="18"/>
        </w:rPr>
        <w:t xml:space="preserve">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sz w:val="18"/>
          <w:szCs w:val="18"/>
        </w:rPr>
        <w:t>.</w:t>
      </w:r>
    </w:p>
    <w:p w14:paraId="30173333" w14:textId="77777777" w:rsidR="00A83CCD" w:rsidRPr="007222E9" w:rsidRDefault="00A83CCD" w:rsidP="00D6143C">
      <w:pPr>
        <w:tabs>
          <w:tab w:val="num" w:pos="1134"/>
        </w:tabs>
        <w:ind w:left="1134" w:right="5951" w:hanging="567"/>
        <w:rPr>
          <w:rFonts w:cs="Arial"/>
          <w:sz w:val="18"/>
          <w:szCs w:val="18"/>
        </w:rPr>
      </w:pPr>
    </w:p>
    <w:p w14:paraId="1A22FCDB" w14:textId="77777777" w:rsidR="00D6143C" w:rsidRDefault="00D6143C" w:rsidP="00D6143C">
      <w:pPr>
        <w:pStyle w:val="Heading4"/>
        <w:spacing w:before="100" w:after="200"/>
        <w:ind w:right="5951"/>
      </w:pPr>
      <w:r>
        <w:t>Specific benchmarks for assessment</w:t>
      </w:r>
    </w:p>
    <w:p w14:paraId="4B4B1A53" w14:textId="77777777" w:rsidR="00D6143C" w:rsidRPr="004E4893" w:rsidRDefault="00D6143C" w:rsidP="00D6143C">
      <w:pPr>
        <w:spacing w:before="100" w:after="200"/>
        <w:ind w:left="1701" w:right="5951" w:hanging="1701"/>
        <w:outlineLvl w:val="6"/>
        <w:rPr>
          <w:b/>
          <w:bCs/>
          <w:iCs/>
        </w:rPr>
      </w:pPr>
      <w:bookmarkStart w:id="6" w:name="_Toc422825365"/>
      <w:bookmarkStart w:id="7" w:name="_Toc422826658"/>
      <w:r w:rsidRPr="004E4893">
        <w:rPr>
          <w:b/>
          <w:bCs/>
          <w:iCs/>
        </w:rPr>
        <w:t>Table 6.2.</w:t>
      </w:r>
      <w:r>
        <w:rPr>
          <w:b/>
          <w:bCs/>
          <w:iCs/>
        </w:rPr>
        <w:t>18</w:t>
      </w:r>
      <w:r w:rsidRPr="004E4893">
        <w:rPr>
          <w:b/>
          <w:bCs/>
          <w:iCs/>
        </w:rPr>
        <w:t>.3.1</w:t>
      </w:r>
      <w:r w:rsidRPr="004E4893">
        <w:rPr>
          <w:b/>
          <w:bCs/>
          <w:iCs/>
        </w:rPr>
        <w:tab/>
      </w:r>
      <w:r>
        <w:rPr>
          <w:b/>
          <w:bCs/>
          <w:iCs/>
        </w:rPr>
        <w:t>Benchmarks</w:t>
      </w:r>
      <w:r w:rsidRPr="004E4893">
        <w:rPr>
          <w:b/>
          <w:bCs/>
          <w:iCs/>
        </w:rPr>
        <w:t xml:space="preserve"> for assessable development</w:t>
      </w:r>
      <w:bookmarkEnd w:id="6"/>
      <w:bookmarkEnd w:id="7"/>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600"/>
        <w:gridCol w:w="4601"/>
        <w:gridCol w:w="4601"/>
      </w:tblGrid>
      <w:tr w:rsidR="00A83CCD" w:rsidRPr="00084AFB" w14:paraId="5EEB3A8C" w14:textId="72F066C2" w:rsidTr="00A83CCD">
        <w:trPr>
          <w:tblHeader/>
        </w:trPr>
        <w:tc>
          <w:tcPr>
            <w:tcW w:w="4600" w:type="dxa"/>
            <w:shd w:val="solid" w:color="auto" w:fill="auto"/>
          </w:tcPr>
          <w:p w14:paraId="7AF495E9" w14:textId="77777777" w:rsidR="00A83CCD" w:rsidRPr="00084AFB" w:rsidRDefault="00A83CCD" w:rsidP="005B0BEC">
            <w:pPr>
              <w:pStyle w:val="ListParagraph"/>
              <w:ind w:left="0"/>
              <w:rPr>
                <w:rFonts w:cs="Arial"/>
                <w:b/>
                <w:sz w:val="18"/>
                <w:szCs w:val="18"/>
              </w:rPr>
            </w:pPr>
            <w:r w:rsidRPr="00084AFB">
              <w:rPr>
                <w:rFonts w:cs="Arial"/>
                <w:b/>
                <w:sz w:val="18"/>
                <w:szCs w:val="18"/>
              </w:rPr>
              <w:t>Performance outcomes</w:t>
            </w:r>
          </w:p>
        </w:tc>
        <w:tc>
          <w:tcPr>
            <w:tcW w:w="4601" w:type="dxa"/>
            <w:shd w:val="solid" w:color="auto" w:fill="auto"/>
          </w:tcPr>
          <w:p w14:paraId="142808ED" w14:textId="77777777" w:rsidR="00A83CCD" w:rsidRPr="00084AFB" w:rsidRDefault="00A83CCD" w:rsidP="005B0BEC">
            <w:pPr>
              <w:pStyle w:val="ListParagraph"/>
              <w:ind w:left="0"/>
              <w:rPr>
                <w:rFonts w:cs="Arial"/>
                <w:b/>
                <w:sz w:val="18"/>
                <w:szCs w:val="18"/>
              </w:rPr>
            </w:pPr>
            <w:r w:rsidRPr="00084AFB">
              <w:rPr>
                <w:rFonts w:cs="Arial"/>
                <w:b/>
                <w:sz w:val="18"/>
                <w:szCs w:val="18"/>
              </w:rPr>
              <w:t>Acceptable outcomes</w:t>
            </w:r>
          </w:p>
        </w:tc>
        <w:tc>
          <w:tcPr>
            <w:tcW w:w="4601" w:type="dxa"/>
            <w:shd w:val="solid" w:color="auto" w:fill="auto"/>
          </w:tcPr>
          <w:p w14:paraId="0BA31033" w14:textId="59B824E7" w:rsidR="00A83CCD" w:rsidRPr="00084AFB" w:rsidRDefault="00A83CCD" w:rsidP="005B0BEC">
            <w:pPr>
              <w:pStyle w:val="ListParagraph"/>
              <w:ind w:left="0"/>
              <w:rPr>
                <w:rFonts w:cs="Arial"/>
                <w:b/>
                <w:sz w:val="18"/>
                <w:szCs w:val="18"/>
              </w:rPr>
            </w:pPr>
            <w:r>
              <w:rPr>
                <w:rFonts w:cs="Arial"/>
                <w:b/>
                <w:sz w:val="18"/>
                <w:szCs w:val="18"/>
              </w:rPr>
              <w:t xml:space="preserve">Compliance / Representations </w:t>
            </w:r>
          </w:p>
        </w:tc>
      </w:tr>
      <w:tr w:rsidR="00A83CCD" w:rsidRPr="00084AFB" w14:paraId="7371C6ED" w14:textId="09B1216A" w:rsidTr="002D5A91">
        <w:tc>
          <w:tcPr>
            <w:tcW w:w="13802" w:type="dxa"/>
            <w:gridSpan w:val="3"/>
            <w:shd w:val="clear" w:color="auto" w:fill="D9D9D9"/>
          </w:tcPr>
          <w:p w14:paraId="6B5B8B6A" w14:textId="47845113" w:rsidR="00A83CCD" w:rsidRDefault="00A83CCD" w:rsidP="005B0BEC">
            <w:pPr>
              <w:pStyle w:val="ListParagraph"/>
              <w:ind w:left="0"/>
              <w:rPr>
                <w:rFonts w:cs="Arial"/>
                <w:b/>
                <w:i/>
                <w:sz w:val="18"/>
                <w:szCs w:val="18"/>
              </w:rPr>
            </w:pPr>
            <w:r>
              <w:rPr>
                <w:rFonts w:cs="Arial"/>
                <w:b/>
                <w:i/>
                <w:sz w:val="18"/>
                <w:szCs w:val="18"/>
              </w:rPr>
              <w:t>Land use composition</w:t>
            </w:r>
          </w:p>
        </w:tc>
      </w:tr>
      <w:tr w:rsidR="00A83CCD" w:rsidRPr="00084AFB" w14:paraId="0C59C520" w14:textId="32004C48" w:rsidTr="00A83CCD">
        <w:trPr>
          <w:trHeight w:val="900"/>
        </w:trPr>
        <w:tc>
          <w:tcPr>
            <w:tcW w:w="4600" w:type="dxa"/>
            <w:shd w:val="clear" w:color="auto" w:fill="auto"/>
          </w:tcPr>
          <w:p w14:paraId="6EE97A77" w14:textId="77777777" w:rsidR="00A83CCD" w:rsidRPr="00DD61F4" w:rsidRDefault="00A83CCD" w:rsidP="005B0BEC">
            <w:pPr>
              <w:pStyle w:val="ListParagraph"/>
              <w:ind w:left="0"/>
              <w:rPr>
                <w:rFonts w:cs="Arial"/>
                <w:b/>
                <w:sz w:val="18"/>
                <w:szCs w:val="18"/>
              </w:rPr>
            </w:pPr>
            <w:r w:rsidRPr="00DD61F4">
              <w:rPr>
                <w:rFonts w:cs="Arial"/>
                <w:b/>
                <w:sz w:val="18"/>
                <w:szCs w:val="18"/>
              </w:rPr>
              <w:lastRenderedPageBreak/>
              <w:t>PO</w:t>
            </w:r>
            <w:r>
              <w:rPr>
                <w:rFonts w:cs="Arial"/>
                <w:b/>
                <w:sz w:val="18"/>
                <w:szCs w:val="18"/>
              </w:rPr>
              <w:t>1</w:t>
            </w:r>
          </w:p>
          <w:p w14:paraId="02AAE693" w14:textId="47F19BE6" w:rsidR="00A83CCD" w:rsidRPr="00E46B94" w:rsidRDefault="00A83CCD" w:rsidP="005B0BEC">
            <w:pPr>
              <w:rPr>
                <w:rFonts w:cs="Arial"/>
                <w:sz w:val="18"/>
                <w:szCs w:val="18"/>
              </w:rPr>
            </w:pPr>
            <w:r>
              <w:rPr>
                <w:rFonts w:cs="Arial"/>
                <w:sz w:val="18"/>
                <w:szCs w:val="18"/>
              </w:rPr>
              <w:t>D</w:t>
            </w:r>
            <w:r w:rsidRPr="007222E9">
              <w:rPr>
                <w:rFonts w:cs="Arial"/>
                <w:sz w:val="18"/>
                <w:szCs w:val="18"/>
              </w:rPr>
              <w:t>evelopment provid</w:t>
            </w:r>
            <w:r>
              <w:rPr>
                <w:rFonts w:cs="Arial"/>
                <w:sz w:val="18"/>
                <w:szCs w:val="18"/>
              </w:rPr>
              <w:t>es for low density residential activities</w:t>
            </w:r>
            <w:r w:rsidRPr="007222E9">
              <w:rPr>
                <w:rFonts w:cs="Arial"/>
                <w:sz w:val="18"/>
                <w:szCs w:val="18"/>
              </w:rPr>
              <w:t xml:space="preserve">, primarily in the form of dwelling houses </w:t>
            </w:r>
            <w:r>
              <w:rPr>
                <w:rFonts w:cs="Arial"/>
                <w:sz w:val="18"/>
                <w:szCs w:val="18"/>
              </w:rPr>
              <w:t>w</w:t>
            </w:r>
            <w:r w:rsidRPr="007222E9">
              <w:rPr>
                <w:rFonts w:cs="Arial"/>
                <w:sz w:val="18"/>
                <w:szCs w:val="18"/>
              </w:rPr>
              <w:t>ithin a semi-rural setting</w:t>
            </w:r>
            <w:r>
              <w:rPr>
                <w:rFonts w:cs="Arial"/>
                <w:sz w:val="18"/>
                <w:szCs w:val="18"/>
              </w:rPr>
              <w:t xml:space="preserve">. </w:t>
            </w:r>
          </w:p>
        </w:tc>
        <w:tc>
          <w:tcPr>
            <w:tcW w:w="4601" w:type="dxa"/>
            <w:shd w:val="clear" w:color="auto" w:fill="auto"/>
          </w:tcPr>
          <w:p w14:paraId="715C583C"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1</w:t>
            </w:r>
          </w:p>
          <w:p w14:paraId="7EB1F6E6" w14:textId="77777777" w:rsidR="00A83CC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507B39DA" w14:textId="71E4CF58" w:rsidR="00A83CCD" w:rsidRPr="00B2594D" w:rsidRDefault="00A83CCD" w:rsidP="005B0BEC">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A83CCD" w:rsidRPr="00084AFB" w14:paraId="7EBE92B2" w14:textId="226735EA" w:rsidTr="00A83CCD">
        <w:tc>
          <w:tcPr>
            <w:tcW w:w="4600" w:type="dxa"/>
            <w:shd w:val="clear" w:color="auto" w:fill="auto"/>
          </w:tcPr>
          <w:p w14:paraId="6AEC21EE" w14:textId="77777777" w:rsidR="00A83CCD" w:rsidRPr="00E46B94" w:rsidRDefault="00A83CCD" w:rsidP="005B0BEC">
            <w:pPr>
              <w:pStyle w:val="ListParagraph"/>
              <w:ind w:left="0"/>
              <w:rPr>
                <w:rFonts w:cs="Arial"/>
                <w:b/>
                <w:sz w:val="18"/>
                <w:szCs w:val="18"/>
              </w:rPr>
            </w:pPr>
            <w:r>
              <w:rPr>
                <w:rFonts w:cs="Arial"/>
                <w:b/>
                <w:sz w:val="18"/>
                <w:szCs w:val="18"/>
              </w:rPr>
              <w:t>PO2</w:t>
            </w:r>
          </w:p>
          <w:p w14:paraId="1BECD545" w14:textId="76B105D4" w:rsidR="00A83CCD" w:rsidRPr="000D141C" w:rsidRDefault="00A83CCD" w:rsidP="005B0BEC">
            <w:pPr>
              <w:pStyle w:val="ListParagraph"/>
              <w:ind w:left="0"/>
              <w:rPr>
                <w:rFonts w:cs="Arial"/>
                <w:sz w:val="18"/>
                <w:szCs w:val="18"/>
              </w:rPr>
            </w:pPr>
            <w:r>
              <w:rPr>
                <w:rFonts w:cs="Arial"/>
                <w:sz w:val="18"/>
                <w:szCs w:val="18"/>
              </w:rPr>
              <w:t>H</w:t>
            </w:r>
            <w:r w:rsidRPr="007222E9">
              <w:rPr>
                <w:rFonts w:cs="Arial"/>
                <w:sz w:val="18"/>
                <w:szCs w:val="18"/>
              </w:rPr>
              <w:t>ome based businesses and nature-based tourism may be established in the zone where the scale, intensity and nature of the activity do not disturb the rural residential character and amenity of the surrounding locality</w:t>
            </w:r>
            <w:r>
              <w:rPr>
                <w:rFonts w:cs="Arial"/>
                <w:sz w:val="18"/>
                <w:szCs w:val="18"/>
              </w:rPr>
              <w:t>.</w:t>
            </w:r>
          </w:p>
        </w:tc>
        <w:tc>
          <w:tcPr>
            <w:tcW w:w="4601" w:type="dxa"/>
            <w:shd w:val="clear" w:color="auto" w:fill="auto"/>
          </w:tcPr>
          <w:p w14:paraId="67BE6C70"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2</w:t>
            </w:r>
          </w:p>
          <w:p w14:paraId="0F53039F"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009FD9A2"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C8C240D" w14:textId="77777777" w:rsidR="00A83CCD" w:rsidRPr="00B2594D" w:rsidRDefault="00A83CCD" w:rsidP="005B0BEC">
            <w:pPr>
              <w:pStyle w:val="ListParagraph"/>
              <w:ind w:left="0"/>
              <w:rPr>
                <w:rFonts w:cs="Arial"/>
                <w:b/>
                <w:sz w:val="18"/>
                <w:szCs w:val="18"/>
              </w:rPr>
            </w:pPr>
          </w:p>
        </w:tc>
      </w:tr>
      <w:tr w:rsidR="00A83CCD" w:rsidRPr="00084AFB" w14:paraId="586CDC90" w14:textId="575002F4" w:rsidTr="00A83CCD">
        <w:tc>
          <w:tcPr>
            <w:tcW w:w="4600" w:type="dxa"/>
            <w:shd w:val="clear" w:color="auto" w:fill="auto"/>
          </w:tcPr>
          <w:p w14:paraId="700EAFBF" w14:textId="77777777" w:rsidR="00A83CCD" w:rsidRDefault="00A83CCD" w:rsidP="005B0BEC">
            <w:pPr>
              <w:pStyle w:val="ListParagraph"/>
              <w:ind w:left="0"/>
              <w:rPr>
                <w:rFonts w:cs="Arial"/>
                <w:b/>
                <w:sz w:val="18"/>
                <w:szCs w:val="18"/>
              </w:rPr>
            </w:pPr>
            <w:r w:rsidRPr="00FC1C32">
              <w:rPr>
                <w:rFonts w:cs="Arial"/>
                <w:b/>
                <w:sz w:val="18"/>
                <w:szCs w:val="18"/>
              </w:rPr>
              <w:t>PO3</w:t>
            </w:r>
          </w:p>
          <w:p w14:paraId="7E79209A" w14:textId="77777777" w:rsidR="00A83CCD" w:rsidRPr="000D141C" w:rsidRDefault="00A83CCD" w:rsidP="005B0BEC">
            <w:pPr>
              <w:pStyle w:val="ListParagraph"/>
              <w:ind w:left="0"/>
              <w:rPr>
                <w:rFonts w:cs="Arial"/>
                <w:b/>
                <w:sz w:val="18"/>
                <w:szCs w:val="18"/>
              </w:rPr>
            </w:pPr>
            <w:r w:rsidRPr="00FC1C32">
              <w:rPr>
                <w:rFonts w:cs="Arial"/>
                <w:sz w:val="18"/>
                <w:szCs w:val="18"/>
              </w:rPr>
              <w:t>Non-residential uses are limited to small-scale and low intensity rural activities and other uses that are compatible with the prevailing rural residential character and amenity of the zone. Shops are limited to those that service the daily needs of residents.</w:t>
            </w:r>
          </w:p>
          <w:p w14:paraId="07E4BBA5" w14:textId="77777777" w:rsidR="00A83CCD" w:rsidRPr="00FC1C32" w:rsidRDefault="00A83CCD" w:rsidP="005B0BEC">
            <w:pPr>
              <w:pStyle w:val="ListParagraph"/>
              <w:ind w:left="0"/>
              <w:rPr>
                <w:rFonts w:cs="Arial"/>
                <w:sz w:val="18"/>
                <w:szCs w:val="18"/>
              </w:rPr>
            </w:pPr>
          </w:p>
          <w:p w14:paraId="6CFF5A9E" w14:textId="77777777" w:rsidR="00A83CCD" w:rsidRPr="00FC1C32" w:rsidRDefault="00A83CCD" w:rsidP="005B0BEC">
            <w:pPr>
              <w:pStyle w:val="ListParagraph"/>
              <w:ind w:left="0"/>
              <w:rPr>
                <w:rFonts w:cs="Arial"/>
                <w:sz w:val="18"/>
                <w:szCs w:val="18"/>
              </w:rPr>
            </w:pPr>
            <w:r w:rsidRPr="00FC1C32">
              <w:rPr>
                <w:rFonts w:cs="Arial"/>
                <w:sz w:val="18"/>
                <w:szCs w:val="18"/>
              </w:rPr>
              <w:t xml:space="preserve">Note—such uses include sales office, community uses, emergency services and utility installation. </w:t>
            </w:r>
          </w:p>
        </w:tc>
        <w:tc>
          <w:tcPr>
            <w:tcW w:w="4601" w:type="dxa"/>
            <w:shd w:val="clear" w:color="auto" w:fill="auto"/>
          </w:tcPr>
          <w:p w14:paraId="1B4449A6"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3</w:t>
            </w:r>
          </w:p>
          <w:p w14:paraId="25CA2EA9"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1FD84198"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338E2AC6" w14:textId="77777777" w:rsidR="00A83CCD" w:rsidRPr="00B2594D" w:rsidRDefault="00A83CCD" w:rsidP="005B0BEC">
            <w:pPr>
              <w:pStyle w:val="ListParagraph"/>
              <w:ind w:left="0"/>
              <w:rPr>
                <w:rFonts w:cs="Arial"/>
                <w:b/>
                <w:sz w:val="18"/>
                <w:szCs w:val="18"/>
              </w:rPr>
            </w:pPr>
          </w:p>
        </w:tc>
      </w:tr>
      <w:tr w:rsidR="00A83CCD" w:rsidRPr="00084AFB" w14:paraId="065F72B8" w14:textId="700BC97D" w:rsidTr="00883A02">
        <w:tc>
          <w:tcPr>
            <w:tcW w:w="13802" w:type="dxa"/>
            <w:gridSpan w:val="3"/>
            <w:shd w:val="clear" w:color="auto" w:fill="D9D9D9"/>
          </w:tcPr>
          <w:p w14:paraId="0F3DBF44" w14:textId="285AD096" w:rsidR="00A83CCD" w:rsidRPr="00FC1C32" w:rsidRDefault="00A83CCD" w:rsidP="005B0BEC">
            <w:pPr>
              <w:pStyle w:val="ListParagraph"/>
              <w:ind w:left="0"/>
              <w:rPr>
                <w:rFonts w:cs="Arial"/>
                <w:b/>
                <w:i/>
                <w:sz w:val="18"/>
                <w:szCs w:val="18"/>
              </w:rPr>
            </w:pPr>
            <w:r w:rsidRPr="00FC1C32">
              <w:rPr>
                <w:rFonts w:cs="Arial"/>
                <w:b/>
                <w:i/>
                <w:sz w:val="18"/>
                <w:szCs w:val="18"/>
              </w:rPr>
              <w:t>Reconfiguring a lot</w:t>
            </w:r>
          </w:p>
        </w:tc>
      </w:tr>
      <w:tr w:rsidR="00A83CCD" w:rsidRPr="00084AFB" w14:paraId="74F81CB0" w14:textId="4EDF5B1C" w:rsidTr="00A83CCD">
        <w:tc>
          <w:tcPr>
            <w:tcW w:w="4600" w:type="dxa"/>
            <w:shd w:val="clear" w:color="auto" w:fill="auto"/>
          </w:tcPr>
          <w:p w14:paraId="16C0A9BB" w14:textId="77777777" w:rsidR="00A83CCD" w:rsidRPr="00FC1C32" w:rsidRDefault="00A83CCD" w:rsidP="005B0BEC">
            <w:pPr>
              <w:pStyle w:val="ListParagraph"/>
              <w:ind w:left="0"/>
              <w:rPr>
                <w:rFonts w:cs="Arial"/>
                <w:b/>
                <w:sz w:val="18"/>
                <w:szCs w:val="18"/>
              </w:rPr>
            </w:pPr>
            <w:r w:rsidRPr="00FC1C32">
              <w:rPr>
                <w:rFonts w:cs="Arial"/>
                <w:b/>
                <w:sz w:val="18"/>
                <w:szCs w:val="18"/>
              </w:rPr>
              <w:t>PO4</w:t>
            </w:r>
          </w:p>
          <w:p w14:paraId="783C16D7" w14:textId="77777777" w:rsidR="00A83CCD" w:rsidRPr="00FC1C32" w:rsidRDefault="00A83CCD" w:rsidP="005B0BEC">
            <w:pPr>
              <w:pStyle w:val="ListParagraph"/>
              <w:ind w:left="0"/>
              <w:rPr>
                <w:rFonts w:cs="Arial"/>
                <w:sz w:val="18"/>
                <w:szCs w:val="18"/>
              </w:rPr>
            </w:pPr>
            <w:r w:rsidRPr="00FC1C32">
              <w:rPr>
                <w:rFonts w:cs="Arial"/>
                <w:sz w:val="18"/>
                <w:szCs w:val="18"/>
              </w:rPr>
              <w:t xml:space="preserve">Development provides for large residential lot sizes to maintain the lower residential density of the zone, cater for the different lifestyle options and localised character, topography and other site constraints. Lot size is generally in accordance with: </w:t>
            </w:r>
          </w:p>
          <w:p w14:paraId="344520E1" w14:textId="77777777" w:rsidR="00A83CCD" w:rsidRPr="00051029" w:rsidRDefault="00A83CCD" w:rsidP="00A83CCD">
            <w:pPr>
              <w:pStyle w:val="FootnoteText"/>
              <w:numPr>
                <w:ilvl w:val="0"/>
                <w:numId w:val="30"/>
              </w:numPr>
              <w:ind w:left="426" w:hanging="426"/>
              <w:rPr>
                <w:sz w:val="18"/>
                <w:szCs w:val="18"/>
              </w:rPr>
            </w:pPr>
            <w:r w:rsidRPr="00051029">
              <w:rPr>
                <w:sz w:val="18"/>
                <w:szCs w:val="18"/>
              </w:rPr>
              <w:t>Precinct RRZ1 – 2,000m</w:t>
            </w:r>
            <w:r w:rsidRPr="00051029">
              <w:rPr>
                <w:sz w:val="18"/>
                <w:szCs w:val="18"/>
                <w:vertAlign w:val="superscript"/>
              </w:rPr>
              <w:t>2</w:t>
            </w:r>
            <w:r w:rsidRPr="00051029">
              <w:rPr>
                <w:sz w:val="18"/>
                <w:szCs w:val="18"/>
              </w:rPr>
              <w:t xml:space="preserve"> minimum lot size area;</w:t>
            </w:r>
          </w:p>
          <w:p w14:paraId="5B0B2B6F" w14:textId="77777777" w:rsidR="00A83CCD" w:rsidRPr="00051029" w:rsidRDefault="00A83CCD" w:rsidP="00A83CCD">
            <w:pPr>
              <w:pStyle w:val="FootnoteText"/>
              <w:numPr>
                <w:ilvl w:val="0"/>
                <w:numId w:val="30"/>
              </w:numPr>
              <w:ind w:left="426" w:hanging="426"/>
              <w:rPr>
                <w:sz w:val="18"/>
                <w:szCs w:val="18"/>
              </w:rPr>
            </w:pPr>
            <w:r w:rsidRPr="00051029">
              <w:rPr>
                <w:sz w:val="18"/>
                <w:szCs w:val="18"/>
              </w:rPr>
              <w:t>Precinct RRZ2 – 4,000m</w:t>
            </w:r>
            <w:r w:rsidRPr="00051029">
              <w:rPr>
                <w:sz w:val="18"/>
                <w:szCs w:val="18"/>
                <w:vertAlign w:val="superscript"/>
              </w:rPr>
              <w:t>2</w:t>
            </w:r>
            <w:r w:rsidRPr="00051029">
              <w:rPr>
                <w:sz w:val="18"/>
                <w:szCs w:val="18"/>
              </w:rPr>
              <w:t xml:space="preserve"> minimum lot size area;</w:t>
            </w:r>
          </w:p>
          <w:p w14:paraId="568E170B" w14:textId="77777777" w:rsidR="00A83CCD" w:rsidRPr="00051029" w:rsidRDefault="00A83CCD" w:rsidP="00A83CCD">
            <w:pPr>
              <w:pStyle w:val="FootnoteText"/>
              <w:numPr>
                <w:ilvl w:val="0"/>
                <w:numId w:val="30"/>
              </w:numPr>
              <w:ind w:left="426" w:hanging="426"/>
              <w:rPr>
                <w:sz w:val="16"/>
                <w:szCs w:val="16"/>
              </w:rPr>
            </w:pPr>
            <w:r w:rsidRPr="00051029">
              <w:rPr>
                <w:sz w:val="18"/>
                <w:szCs w:val="18"/>
              </w:rPr>
              <w:t>Precinct RRZ3 – 4ha minimum lot size area; and</w:t>
            </w:r>
          </w:p>
          <w:p w14:paraId="2416D30B" w14:textId="77777777" w:rsidR="00A83CCD" w:rsidRPr="00FC1C32" w:rsidRDefault="00A83CCD" w:rsidP="00A83CCD">
            <w:pPr>
              <w:pStyle w:val="FootnoteText"/>
              <w:numPr>
                <w:ilvl w:val="0"/>
                <w:numId w:val="30"/>
              </w:numPr>
              <w:ind w:left="426" w:hanging="426"/>
              <w:rPr>
                <w:sz w:val="16"/>
                <w:szCs w:val="16"/>
              </w:rPr>
            </w:pPr>
            <w:r w:rsidRPr="00FC1C32">
              <w:rPr>
                <w:sz w:val="18"/>
                <w:szCs w:val="18"/>
              </w:rPr>
              <w:t>where not in a precinct – 2ha minimum lot size.</w:t>
            </w:r>
          </w:p>
        </w:tc>
        <w:tc>
          <w:tcPr>
            <w:tcW w:w="4601" w:type="dxa"/>
            <w:shd w:val="clear" w:color="auto" w:fill="auto"/>
          </w:tcPr>
          <w:p w14:paraId="1AAB22DE"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4</w:t>
            </w:r>
          </w:p>
          <w:p w14:paraId="32655845"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576E6A13"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9B71EFB" w14:textId="77777777" w:rsidR="00A83CCD" w:rsidRPr="00B2594D" w:rsidRDefault="00A83CCD" w:rsidP="005B0BEC">
            <w:pPr>
              <w:pStyle w:val="ListParagraph"/>
              <w:ind w:left="0"/>
              <w:rPr>
                <w:rFonts w:cs="Arial"/>
                <w:b/>
                <w:sz w:val="18"/>
                <w:szCs w:val="18"/>
              </w:rPr>
            </w:pPr>
          </w:p>
        </w:tc>
      </w:tr>
      <w:tr w:rsidR="00A83CCD" w:rsidRPr="00084AFB" w14:paraId="392286ED" w14:textId="312C6CE9" w:rsidTr="006F2C17">
        <w:tc>
          <w:tcPr>
            <w:tcW w:w="13802" w:type="dxa"/>
            <w:gridSpan w:val="3"/>
            <w:shd w:val="clear" w:color="auto" w:fill="D9D9D9"/>
          </w:tcPr>
          <w:p w14:paraId="105AE570" w14:textId="2C0B487D" w:rsidR="00A83CCD" w:rsidRDefault="00A83CCD" w:rsidP="005B0BEC">
            <w:pPr>
              <w:pStyle w:val="ListParagraph"/>
              <w:ind w:left="0"/>
              <w:rPr>
                <w:rFonts w:cs="Arial"/>
                <w:b/>
                <w:i/>
                <w:sz w:val="18"/>
                <w:szCs w:val="18"/>
              </w:rPr>
            </w:pPr>
            <w:r>
              <w:rPr>
                <w:rFonts w:cs="Arial"/>
                <w:b/>
                <w:i/>
                <w:sz w:val="18"/>
                <w:szCs w:val="18"/>
              </w:rPr>
              <w:t>Effects of development</w:t>
            </w:r>
          </w:p>
        </w:tc>
      </w:tr>
      <w:tr w:rsidR="00A83CCD" w:rsidRPr="00084AFB" w14:paraId="0386D3FA" w14:textId="0A20B569" w:rsidTr="00A83CCD">
        <w:tc>
          <w:tcPr>
            <w:tcW w:w="4600" w:type="dxa"/>
            <w:shd w:val="clear" w:color="auto" w:fill="auto"/>
          </w:tcPr>
          <w:p w14:paraId="7C9F1706" w14:textId="77777777" w:rsidR="00A83CCD" w:rsidRDefault="00A83CCD" w:rsidP="005B0BEC">
            <w:pPr>
              <w:pStyle w:val="ListParagraph"/>
              <w:ind w:left="0"/>
              <w:rPr>
                <w:rFonts w:cs="Arial"/>
                <w:b/>
                <w:sz w:val="18"/>
                <w:szCs w:val="18"/>
              </w:rPr>
            </w:pPr>
            <w:r>
              <w:rPr>
                <w:rFonts w:cs="Arial"/>
                <w:b/>
                <w:sz w:val="18"/>
                <w:szCs w:val="18"/>
              </w:rPr>
              <w:t>PO5</w:t>
            </w:r>
          </w:p>
          <w:p w14:paraId="7E4334B7" w14:textId="77777777" w:rsidR="00A83CCD" w:rsidRPr="00661511" w:rsidRDefault="00A83CCD" w:rsidP="005B0BEC">
            <w:pPr>
              <w:rPr>
                <w:rFonts w:cs="Arial"/>
                <w:sz w:val="18"/>
                <w:szCs w:val="18"/>
              </w:rPr>
            </w:pPr>
            <w:r>
              <w:rPr>
                <w:rFonts w:cs="Arial"/>
                <w:sz w:val="18"/>
                <w:szCs w:val="18"/>
              </w:rPr>
              <w:t>D</w:t>
            </w:r>
            <w:r w:rsidRPr="007222E9">
              <w:rPr>
                <w:rFonts w:cs="Arial"/>
                <w:sz w:val="18"/>
                <w:szCs w:val="18"/>
              </w:rPr>
              <w:t>evelopment for residential uses adjacent to rural land does not interfere with the existing or ongoing use of the rural land for productive agricultural purposes</w:t>
            </w:r>
            <w:r>
              <w:rPr>
                <w:rFonts w:cs="Arial"/>
                <w:sz w:val="18"/>
                <w:szCs w:val="18"/>
              </w:rPr>
              <w:t>.</w:t>
            </w:r>
          </w:p>
        </w:tc>
        <w:tc>
          <w:tcPr>
            <w:tcW w:w="4601" w:type="dxa"/>
            <w:shd w:val="clear" w:color="auto" w:fill="auto"/>
          </w:tcPr>
          <w:p w14:paraId="734A5447"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5</w:t>
            </w:r>
          </w:p>
          <w:p w14:paraId="0590151E"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0F770C1B"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3DC27B5" w14:textId="77777777" w:rsidR="00A83CCD" w:rsidRPr="00B2594D" w:rsidRDefault="00A83CCD" w:rsidP="005B0BEC">
            <w:pPr>
              <w:pStyle w:val="ListParagraph"/>
              <w:ind w:left="0"/>
              <w:rPr>
                <w:rFonts w:cs="Arial"/>
                <w:b/>
                <w:sz w:val="18"/>
                <w:szCs w:val="18"/>
              </w:rPr>
            </w:pPr>
          </w:p>
        </w:tc>
      </w:tr>
      <w:tr w:rsidR="00A83CCD" w:rsidRPr="00084AFB" w14:paraId="72DA3C21" w14:textId="4FEC04D3" w:rsidTr="00A83CCD">
        <w:tc>
          <w:tcPr>
            <w:tcW w:w="4600" w:type="dxa"/>
            <w:shd w:val="clear" w:color="auto" w:fill="auto"/>
          </w:tcPr>
          <w:p w14:paraId="667EDA83" w14:textId="77777777" w:rsidR="00A83CCD" w:rsidRPr="00661511" w:rsidRDefault="00A83CCD" w:rsidP="005B0BEC">
            <w:pPr>
              <w:pStyle w:val="ListParagraph"/>
              <w:ind w:left="0"/>
              <w:rPr>
                <w:b/>
                <w:sz w:val="18"/>
                <w:szCs w:val="18"/>
              </w:rPr>
            </w:pPr>
            <w:r w:rsidRPr="00661511">
              <w:rPr>
                <w:b/>
                <w:sz w:val="18"/>
                <w:szCs w:val="18"/>
              </w:rPr>
              <w:t>PO</w:t>
            </w:r>
            <w:r>
              <w:rPr>
                <w:b/>
                <w:sz w:val="18"/>
                <w:szCs w:val="18"/>
              </w:rPr>
              <w:t>6</w:t>
            </w:r>
          </w:p>
          <w:p w14:paraId="2B91B260" w14:textId="77777777" w:rsidR="00A83CCD" w:rsidRPr="00661511" w:rsidRDefault="00A83CCD" w:rsidP="005B0BEC">
            <w:pPr>
              <w:pStyle w:val="ListParagraph"/>
              <w:ind w:left="0"/>
              <w:rPr>
                <w:rFonts w:cs="Arial"/>
                <w:sz w:val="18"/>
                <w:szCs w:val="18"/>
              </w:rPr>
            </w:pPr>
            <w:r>
              <w:rPr>
                <w:sz w:val="18"/>
                <w:szCs w:val="18"/>
              </w:rPr>
              <w:t>D</w:t>
            </w:r>
            <w:r w:rsidRPr="007222E9">
              <w:rPr>
                <w:sz w:val="18"/>
                <w:szCs w:val="18"/>
              </w:rPr>
              <w:t>evelopment incorporates a high level of rural residential amenity, personal health and safety and protection for property</w:t>
            </w:r>
            <w:r>
              <w:rPr>
                <w:sz w:val="18"/>
                <w:szCs w:val="18"/>
              </w:rPr>
              <w:t>.</w:t>
            </w:r>
          </w:p>
        </w:tc>
        <w:tc>
          <w:tcPr>
            <w:tcW w:w="4601" w:type="dxa"/>
            <w:shd w:val="clear" w:color="auto" w:fill="auto"/>
          </w:tcPr>
          <w:p w14:paraId="0F74DE1A"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6</w:t>
            </w:r>
          </w:p>
          <w:p w14:paraId="11793B07"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585B55E4"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C81E3BA" w14:textId="77777777" w:rsidR="00A83CCD" w:rsidRPr="00B2594D" w:rsidRDefault="00A83CCD" w:rsidP="005B0BEC">
            <w:pPr>
              <w:pStyle w:val="ListParagraph"/>
              <w:ind w:left="0"/>
              <w:rPr>
                <w:rFonts w:cs="Arial"/>
                <w:b/>
                <w:sz w:val="18"/>
                <w:szCs w:val="18"/>
              </w:rPr>
            </w:pPr>
          </w:p>
        </w:tc>
      </w:tr>
      <w:tr w:rsidR="00A83CCD" w:rsidRPr="00084AFB" w14:paraId="27B78BBE" w14:textId="0E0A1E94" w:rsidTr="0063407D">
        <w:tc>
          <w:tcPr>
            <w:tcW w:w="13802" w:type="dxa"/>
            <w:gridSpan w:val="3"/>
            <w:shd w:val="clear" w:color="auto" w:fill="D9D9D9"/>
          </w:tcPr>
          <w:p w14:paraId="3543DC99" w14:textId="3C991C10" w:rsidR="00A83CCD" w:rsidRDefault="00A83CCD" w:rsidP="005B0BEC">
            <w:pPr>
              <w:pStyle w:val="ListParagraph"/>
              <w:ind w:left="0"/>
              <w:rPr>
                <w:rFonts w:cs="Arial"/>
                <w:b/>
                <w:i/>
                <w:sz w:val="18"/>
                <w:szCs w:val="18"/>
              </w:rPr>
            </w:pPr>
            <w:r>
              <w:rPr>
                <w:rFonts w:cs="Arial"/>
                <w:b/>
                <w:i/>
                <w:sz w:val="18"/>
                <w:szCs w:val="18"/>
              </w:rPr>
              <w:t>Building height and built form</w:t>
            </w:r>
          </w:p>
        </w:tc>
      </w:tr>
      <w:tr w:rsidR="00A83CCD" w:rsidRPr="00084AFB" w14:paraId="01FBCC03" w14:textId="0772A257" w:rsidTr="00A83CCD">
        <w:tc>
          <w:tcPr>
            <w:tcW w:w="4600" w:type="dxa"/>
            <w:shd w:val="clear" w:color="auto" w:fill="auto"/>
          </w:tcPr>
          <w:p w14:paraId="4778C20D" w14:textId="77777777" w:rsidR="00A83CCD" w:rsidRPr="00DD61F4" w:rsidRDefault="00A83CCD" w:rsidP="005B0BEC">
            <w:pPr>
              <w:pStyle w:val="ListParagraph"/>
              <w:ind w:left="0"/>
              <w:rPr>
                <w:rFonts w:cs="Arial"/>
                <w:b/>
                <w:sz w:val="18"/>
                <w:szCs w:val="18"/>
              </w:rPr>
            </w:pPr>
            <w:r w:rsidRPr="00DD61F4">
              <w:rPr>
                <w:rFonts w:cs="Arial"/>
                <w:b/>
                <w:sz w:val="18"/>
                <w:szCs w:val="18"/>
              </w:rPr>
              <w:t>PO</w:t>
            </w:r>
            <w:r>
              <w:rPr>
                <w:rFonts w:cs="Arial"/>
                <w:b/>
                <w:sz w:val="18"/>
                <w:szCs w:val="18"/>
              </w:rPr>
              <w:t>7</w:t>
            </w:r>
          </w:p>
          <w:p w14:paraId="7D64D22A" w14:textId="77777777" w:rsidR="00A83CCD" w:rsidRDefault="00A83CCD" w:rsidP="005B0BEC">
            <w:pPr>
              <w:rPr>
                <w:sz w:val="18"/>
                <w:szCs w:val="18"/>
              </w:rPr>
            </w:pPr>
            <w:r>
              <w:rPr>
                <w:sz w:val="18"/>
                <w:szCs w:val="18"/>
              </w:rPr>
              <w:t>Development has a maximum</w:t>
            </w:r>
            <w:r w:rsidRPr="007222E9">
              <w:rPr>
                <w:sz w:val="18"/>
                <w:szCs w:val="18"/>
              </w:rPr>
              <w:t xml:space="preserve"> building height </w:t>
            </w:r>
            <w:r>
              <w:rPr>
                <w:sz w:val="18"/>
                <w:szCs w:val="18"/>
              </w:rPr>
              <w:t>of 2</w:t>
            </w:r>
            <w:r w:rsidRPr="007222E9">
              <w:rPr>
                <w:sz w:val="18"/>
                <w:szCs w:val="18"/>
              </w:rPr>
              <w:t xml:space="preserve"> storeys and </w:t>
            </w:r>
            <w:r>
              <w:rPr>
                <w:sz w:val="18"/>
                <w:szCs w:val="18"/>
              </w:rPr>
              <w:t>8.5m.</w:t>
            </w:r>
          </w:p>
          <w:p w14:paraId="7EB9583E" w14:textId="4E646ADF" w:rsidR="00A83CCD" w:rsidRPr="00DD61F4" w:rsidRDefault="00A83CCD" w:rsidP="005B0BEC">
            <w:pPr>
              <w:rPr>
                <w:rFonts w:cs="Arial"/>
                <w:sz w:val="18"/>
                <w:szCs w:val="18"/>
              </w:rPr>
            </w:pPr>
          </w:p>
        </w:tc>
        <w:tc>
          <w:tcPr>
            <w:tcW w:w="4601" w:type="dxa"/>
            <w:shd w:val="clear" w:color="auto" w:fill="auto"/>
          </w:tcPr>
          <w:p w14:paraId="277B3577"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7</w:t>
            </w:r>
          </w:p>
          <w:p w14:paraId="3CBEE249" w14:textId="77777777" w:rsidR="00A83CCD" w:rsidRPr="009461F5" w:rsidRDefault="00A83CCD" w:rsidP="005B0BEC">
            <w:pPr>
              <w:rPr>
                <w:rFonts w:cs="Arial"/>
                <w:sz w:val="18"/>
                <w:szCs w:val="18"/>
              </w:rPr>
            </w:pPr>
            <w:r>
              <w:rPr>
                <w:sz w:val="18"/>
                <w:szCs w:val="18"/>
              </w:rPr>
              <w:t>No acceptable outcome provided.</w:t>
            </w:r>
          </w:p>
        </w:tc>
        <w:tc>
          <w:tcPr>
            <w:tcW w:w="4601" w:type="dxa"/>
          </w:tcPr>
          <w:p w14:paraId="3AA408C4"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3CAA564" w14:textId="77777777" w:rsidR="00A83CCD" w:rsidRPr="00B2594D" w:rsidRDefault="00A83CCD" w:rsidP="005B0BEC">
            <w:pPr>
              <w:pStyle w:val="ListParagraph"/>
              <w:ind w:left="0"/>
              <w:rPr>
                <w:rFonts w:cs="Arial"/>
                <w:b/>
                <w:sz w:val="18"/>
                <w:szCs w:val="18"/>
              </w:rPr>
            </w:pPr>
          </w:p>
        </w:tc>
      </w:tr>
      <w:tr w:rsidR="00A83CCD" w:rsidRPr="00084AFB" w14:paraId="5480278C" w14:textId="2037D99A" w:rsidTr="00A83CCD">
        <w:tc>
          <w:tcPr>
            <w:tcW w:w="4600" w:type="dxa"/>
            <w:shd w:val="clear" w:color="auto" w:fill="auto"/>
          </w:tcPr>
          <w:p w14:paraId="33CE3920" w14:textId="77777777" w:rsidR="00A83CCD" w:rsidRPr="00F659BC" w:rsidRDefault="00A83CCD" w:rsidP="005B0BEC">
            <w:pPr>
              <w:pStyle w:val="ListParagraph"/>
              <w:ind w:left="0"/>
              <w:rPr>
                <w:rFonts w:cs="Arial"/>
                <w:b/>
                <w:sz w:val="18"/>
                <w:szCs w:val="18"/>
              </w:rPr>
            </w:pPr>
            <w:r w:rsidRPr="00F659BC">
              <w:rPr>
                <w:rFonts w:cs="Arial"/>
                <w:b/>
                <w:sz w:val="18"/>
                <w:szCs w:val="18"/>
              </w:rPr>
              <w:lastRenderedPageBreak/>
              <w:t>PO</w:t>
            </w:r>
            <w:r>
              <w:rPr>
                <w:rFonts w:cs="Arial"/>
                <w:b/>
                <w:sz w:val="18"/>
                <w:szCs w:val="18"/>
              </w:rPr>
              <w:t>8</w:t>
            </w:r>
          </w:p>
          <w:p w14:paraId="097256A6" w14:textId="77777777" w:rsidR="00A83CCD" w:rsidRDefault="00A83CCD" w:rsidP="005B0BEC">
            <w:pPr>
              <w:pStyle w:val="ListParagraph"/>
              <w:ind w:left="0"/>
              <w:rPr>
                <w:rFonts w:cs="Arial"/>
                <w:sz w:val="18"/>
                <w:szCs w:val="18"/>
              </w:rPr>
            </w:pPr>
            <w:r>
              <w:rPr>
                <w:rFonts w:cs="Arial"/>
                <w:sz w:val="18"/>
                <w:szCs w:val="18"/>
              </w:rPr>
              <w:t>T</w:t>
            </w:r>
            <w:r w:rsidRPr="007222E9">
              <w:rPr>
                <w:rFonts w:cs="Arial"/>
                <w:sz w:val="18"/>
                <w:szCs w:val="18"/>
              </w:rPr>
              <w:t xml:space="preserve">he built form of </w:t>
            </w:r>
            <w:proofErr w:type="gramStart"/>
            <w:r w:rsidRPr="007222E9">
              <w:rPr>
                <w:rFonts w:cs="Arial"/>
                <w:sz w:val="18"/>
                <w:szCs w:val="18"/>
              </w:rPr>
              <w:t>development</w:t>
            </w:r>
            <w:r>
              <w:rPr>
                <w:rFonts w:cs="Arial"/>
                <w:sz w:val="18"/>
                <w:szCs w:val="18"/>
              </w:rPr>
              <w:t>:-</w:t>
            </w:r>
            <w:proofErr w:type="gramEnd"/>
          </w:p>
          <w:p w14:paraId="0272D681" w14:textId="77777777" w:rsidR="00A83CCD" w:rsidRPr="00F659BC" w:rsidRDefault="00A83CCD" w:rsidP="00A83CCD">
            <w:pPr>
              <w:pStyle w:val="ListParagraph"/>
              <w:numPr>
                <w:ilvl w:val="0"/>
                <w:numId w:val="97"/>
              </w:numPr>
              <w:ind w:left="426" w:hanging="426"/>
              <w:rPr>
                <w:rFonts w:cs="Arial"/>
                <w:b/>
                <w:sz w:val="18"/>
                <w:szCs w:val="18"/>
              </w:rPr>
            </w:pPr>
            <w:r w:rsidRPr="007222E9">
              <w:rPr>
                <w:rFonts w:cs="Arial"/>
                <w:sz w:val="18"/>
                <w:szCs w:val="18"/>
              </w:rPr>
              <w:t>integrates with and complements the predominant rural residential character and scale of the zone</w:t>
            </w:r>
            <w:r>
              <w:rPr>
                <w:rFonts w:cs="Arial"/>
                <w:sz w:val="18"/>
                <w:szCs w:val="18"/>
              </w:rPr>
              <w:t>;</w:t>
            </w:r>
            <w:r w:rsidRPr="007222E9">
              <w:rPr>
                <w:rFonts w:cs="Arial"/>
                <w:sz w:val="18"/>
                <w:szCs w:val="18"/>
              </w:rPr>
              <w:t xml:space="preserve"> and</w:t>
            </w:r>
          </w:p>
          <w:p w14:paraId="0A9BCF2F" w14:textId="77777777" w:rsidR="00A83CCD" w:rsidRPr="008B5F8E" w:rsidRDefault="00A83CCD" w:rsidP="00A83CCD">
            <w:pPr>
              <w:pStyle w:val="ListParagraph"/>
              <w:numPr>
                <w:ilvl w:val="0"/>
                <w:numId w:val="97"/>
              </w:numPr>
              <w:ind w:left="426" w:hanging="426"/>
              <w:rPr>
                <w:rFonts w:cs="Arial"/>
                <w:b/>
                <w:sz w:val="18"/>
                <w:szCs w:val="18"/>
              </w:rPr>
            </w:pPr>
            <w:r>
              <w:rPr>
                <w:rFonts w:cs="Arial"/>
                <w:sz w:val="18"/>
                <w:szCs w:val="18"/>
              </w:rPr>
              <w:t>is sympathetic</w:t>
            </w:r>
            <w:r w:rsidRPr="007222E9">
              <w:rPr>
                <w:rFonts w:cs="Arial"/>
                <w:sz w:val="18"/>
                <w:szCs w:val="18"/>
              </w:rPr>
              <w:t xml:space="preserve"> to the environmental and topographical features of the landscape</w:t>
            </w:r>
            <w:r>
              <w:rPr>
                <w:rFonts w:cs="Arial"/>
                <w:sz w:val="18"/>
                <w:szCs w:val="18"/>
              </w:rPr>
              <w:t>.</w:t>
            </w:r>
          </w:p>
        </w:tc>
        <w:tc>
          <w:tcPr>
            <w:tcW w:w="4601" w:type="dxa"/>
            <w:shd w:val="clear" w:color="auto" w:fill="auto"/>
          </w:tcPr>
          <w:p w14:paraId="1667FA06"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8</w:t>
            </w:r>
          </w:p>
          <w:p w14:paraId="2DEF6847"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675BBCDF"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9A3AE7B" w14:textId="77777777" w:rsidR="00A83CCD" w:rsidRPr="00B2594D" w:rsidRDefault="00A83CCD" w:rsidP="005B0BEC">
            <w:pPr>
              <w:pStyle w:val="ListParagraph"/>
              <w:ind w:left="0"/>
              <w:rPr>
                <w:rFonts w:cs="Arial"/>
                <w:b/>
                <w:sz w:val="18"/>
                <w:szCs w:val="18"/>
              </w:rPr>
            </w:pPr>
          </w:p>
        </w:tc>
      </w:tr>
      <w:tr w:rsidR="00A83CCD" w:rsidRPr="00084AFB" w14:paraId="0C62C002" w14:textId="37696DBD" w:rsidTr="00503D38">
        <w:tc>
          <w:tcPr>
            <w:tcW w:w="13802" w:type="dxa"/>
            <w:gridSpan w:val="3"/>
            <w:shd w:val="clear" w:color="auto" w:fill="D9D9D9"/>
          </w:tcPr>
          <w:p w14:paraId="62A3C952" w14:textId="44400A64" w:rsidR="00A83CCD" w:rsidRDefault="00A83CCD" w:rsidP="005B0BEC">
            <w:pPr>
              <w:pStyle w:val="ListParagraph"/>
              <w:ind w:left="0"/>
              <w:rPr>
                <w:rFonts w:cs="Arial"/>
                <w:b/>
                <w:i/>
                <w:sz w:val="18"/>
                <w:szCs w:val="18"/>
              </w:rPr>
            </w:pPr>
            <w:r>
              <w:rPr>
                <w:rFonts w:cs="Arial"/>
                <w:b/>
                <w:i/>
                <w:sz w:val="18"/>
                <w:szCs w:val="18"/>
              </w:rPr>
              <w:t>Amenity</w:t>
            </w:r>
          </w:p>
        </w:tc>
      </w:tr>
      <w:tr w:rsidR="00A83CCD" w:rsidRPr="00084AFB" w14:paraId="4C104E86" w14:textId="406F2A94" w:rsidTr="00A83CCD">
        <w:tc>
          <w:tcPr>
            <w:tcW w:w="4600" w:type="dxa"/>
            <w:shd w:val="clear" w:color="auto" w:fill="auto"/>
          </w:tcPr>
          <w:p w14:paraId="436CCE4A" w14:textId="77777777" w:rsidR="00A83CCD" w:rsidRPr="00084AFB" w:rsidRDefault="00A83CCD" w:rsidP="005B0BEC">
            <w:pPr>
              <w:pStyle w:val="ListParagraph"/>
              <w:ind w:left="0"/>
              <w:rPr>
                <w:rFonts w:cs="Arial"/>
                <w:b/>
                <w:sz w:val="18"/>
                <w:szCs w:val="18"/>
              </w:rPr>
            </w:pPr>
            <w:r w:rsidRPr="00084AFB">
              <w:rPr>
                <w:rFonts w:cs="Arial"/>
                <w:b/>
                <w:sz w:val="18"/>
                <w:szCs w:val="18"/>
              </w:rPr>
              <w:t>PO</w:t>
            </w:r>
            <w:r>
              <w:rPr>
                <w:rFonts w:cs="Arial"/>
                <w:b/>
                <w:sz w:val="18"/>
                <w:szCs w:val="18"/>
              </w:rPr>
              <w:t>9</w:t>
            </w:r>
          </w:p>
          <w:p w14:paraId="4032C440" w14:textId="77777777" w:rsidR="00A83CCD" w:rsidRPr="00F659BC" w:rsidRDefault="00A83CCD" w:rsidP="005B0BEC">
            <w:pPr>
              <w:pStyle w:val="ListParagraph"/>
              <w:ind w:left="0"/>
              <w:rPr>
                <w:rFonts w:cs="Arial"/>
                <w:b/>
                <w:sz w:val="18"/>
                <w:szCs w:val="18"/>
              </w:rPr>
            </w:pPr>
            <w:r w:rsidRPr="00084AFB">
              <w:rPr>
                <w:sz w:val="18"/>
                <w:szCs w:val="18"/>
              </w:rPr>
              <w:t>Development maintains a high level of residential amenity and avoids or mitigates potential adverse impacts having regard to such matters as hours of operation, generation of odours, noise, waste products, dust, traffic, electrical interference, lighting, visual and privacy impacts.</w:t>
            </w:r>
          </w:p>
        </w:tc>
        <w:tc>
          <w:tcPr>
            <w:tcW w:w="4601" w:type="dxa"/>
            <w:shd w:val="clear" w:color="auto" w:fill="auto"/>
          </w:tcPr>
          <w:p w14:paraId="769F9D25"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9</w:t>
            </w:r>
          </w:p>
          <w:p w14:paraId="645C82BC"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561221CA"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03C136CD" w14:textId="77777777" w:rsidR="00A83CCD" w:rsidRPr="00B2594D" w:rsidRDefault="00A83CCD" w:rsidP="005B0BEC">
            <w:pPr>
              <w:pStyle w:val="ListParagraph"/>
              <w:ind w:left="0"/>
              <w:rPr>
                <w:rFonts w:cs="Arial"/>
                <w:b/>
                <w:sz w:val="18"/>
                <w:szCs w:val="18"/>
              </w:rPr>
            </w:pPr>
          </w:p>
        </w:tc>
      </w:tr>
      <w:tr w:rsidR="00A83CCD" w:rsidRPr="00084AFB" w14:paraId="4BDD2A5C" w14:textId="26601171" w:rsidTr="00411322">
        <w:tc>
          <w:tcPr>
            <w:tcW w:w="13802" w:type="dxa"/>
            <w:gridSpan w:val="3"/>
            <w:shd w:val="clear" w:color="auto" w:fill="D9D9D9"/>
          </w:tcPr>
          <w:p w14:paraId="4E89F404" w14:textId="370E1405" w:rsidR="00A83CCD" w:rsidRDefault="00A83CCD" w:rsidP="005B0BEC">
            <w:pPr>
              <w:pStyle w:val="ListParagraph"/>
              <w:ind w:left="0"/>
              <w:rPr>
                <w:rFonts w:cs="Arial"/>
                <w:b/>
                <w:i/>
                <w:sz w:val="18"/>
                <w:szCs w:val="18"/>
              </w:rPr>
            </w:pPr>
            <w:r>
              <w:rPr>
                <w:rFonts w:cs="Arial"/>
                <w:b/>
                <w:i/>
                <w:sz w:val="18"/>
                <w:szCs w:val="18"/>
              </w:rPr>
              <w:t>Infrastructure and services</w:t>
            </w:r>
          </w:p>
        </w:tc>
      </w:tr>
      <w:tr w:rsidR="00A83CCD" w:rsidRPr="00084AFB" w14:paraId="0198588F" w14:textId="1D6320BC" w:rsidTr="00A83CCD">
        <w:tc>
          <w:tcPr>
            <w:tcW w:w="4600" w:type="dxa"/>
            <w:shd w:val="clear" w:color="auto" w:fill="auto"/>
          </w:tcPr>
          <w:p w14:paraId="7EAEFB36" w14:textId="77777777" w:rsidR="00A83CCD" w:rsidRPr="00B2594D" w:rsidRDefault="00A83CCD" w:rsidP="005B0BEC">
            <w:pPr>
              <w:pStyle w:val="ListParagraph"/>
              <w:ind w:left="0"/>
              <w:rPr>
                <w:rFonts w:cs="Arial"/>
                <w:b/>
                <w:sz w:val="18"/>
                <w:szCs w:val="18"/>
              </w:rPr>
            </w:pPr>
            <w:r w:rsidRPr="00B2594D">
              <w:rPr>
                <w:rFonts w:cs="Arial"/>
                <w:b/>
                <w:sz w:val="18"/>
                <w:szCs w:val="18"/>
              </w:rPr>
              <w:t>PO</w:t>
            </w:r>
            <w:r>
              <w:rPr>
                <w:rFonts w:cs="Arial"/>
                <w:b/>
                <w:sz w:val="18"/>
                <w:szCs w:val="18"/>
              </w:rPr>
              <w:t>10</w:t>
            </w:r>
          </w:p>
          <w:p w14:paraId="19E8471F" w14:textId="77777777" w:rsidR="00A83CCD" w:rsidRPr="00DD61F4" w:rsidRDefault="00A83CCD" w:rsidP="005B0BEC">
            <w:pPr>
              <w:pStyle w:val="ListParagraph"/>
              <w:ind w:left="0"/>
              <w:rPr>
                <w:rFonts w:cs="Arial"/>
                <w:b/>
                <w:sz w:val="18"/>
                <w:szCs w:val="18"/>
              </w:rPr>
            </w:pPr>
            <w:r>
              <w:rPr>
                <w:rFonts w:cs="Arial"/>
                <w:sz w:val="18"/>
                <w:szCs w:val="18"/>
              </w:rPr>
              <w:t>D</w:t>
            </w:r>
            <w:r w:rsidRPr="007222E9">
              <w:rPr>
                <w:rFonts w:cs="Arial"/>
                <w:sz w:val="18"/>
                <w:szCs w:val="18"/>
              </w:rPr>
              <w:t>evelopment provides for infrastructure and services that are commensurate with a rural residential location and the nature and scale of development that is intended to occur in the zone</w:t>
            </w:r>
            <w:r>
              <w:rPr>
                <w:rFonts w:cs="Arial"/>
                <w:sz w:val="18"/>
                <w:szCs w:val="18"/>
              </w:rPr>
              <w:t>.</w:t>
            </w:r>
          </w:p>
        </w:tc>
        <w:tc>
          <w:tcPr>
            <w:tcW w:w="4601" w:type="dxa"/>
            <w:shd w:val="clear" w:color="auto" w:fill="auto"/>
          </w:tcPr>
          <w:p w14:paraId="7EFD3784"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10</w:t>
            </w:r>
          </w:p>
          <w:p w14:paraId="5347B930"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2DE256F5"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7EEB999F" w14:textId="77777777" w:rsidR="00A83CCD" w:rsidRPr="00B2594D" w:rsidRDefault="00A83CCD" w:rsidP="005B0BEC">
            <w:pPr>
              <w:pStyle w:val="ListParagraph"/>
              <w:ind w:left="0"/>
              <w:rPr>
                <w:rFonts w:cs="Arial"/>
                <w:b/>
                <w:sz w:val="18"/>
                <w:szCs w:val="18"/>
              </w:rPr>
            </w:pPr>
          </w:p>
        </w:tc>
      </w:tr>
      <w:tr w:rsidR="00A83CCD" w:rsidRPr="00084AFB" w14:paraId="674791B1" w14:textId="2F7153FC" w:rsidTr="00A83CCD">
        <w:trPr>
          <w:trHeight w:val="1330"/>
        </w:trPr>
        <w:tc>
          <w:tcPr>
            <w:tcW w:w="4600" w:type="dxa"/>
            <w:shd w:val="clear" w:color="auto" w:fill="auto"/>
          </w:tcPr>
          <w:p w14:paraId="4C8A0B90" w14:textId="77777777" w:rsidR="00A83CCD" w:rsidRPr="00614FAF" w:rsidRDefault="00A83CCD" w:rsidP="005B0BEC">
            <w:pPr>
              <w:pStyle w:val="ListParagraph"/>
              <w:ind w:left="0"/>
              <w:rPr>
                <w:rFonts w:cs="Arial"/>
                <w:b/>
                <w:sz w:val="18"/>
                <w:szCs w:val="18"/>
              </w:rPr>
            </w:pPr>
            <w:r w:rsidRPr="00614FAF">
              <w:rPr>
                <w:rFonts w:cs="Arial"/>
                <w:b/>
                <w:sz w:val="18"/>
                <w:szCs w:val="18"/>
              </w:rPr>
              <w:t>PO</w:t>
            </w:r>
            <w:r>
              <w:rPr>
                <w:rFonts w:cs="Arial"/>
                <w:b/>
                <w:sz w:val="18"/>
                <w:szCs w:val="18"/>
              </w:rPr>
              <w:t>11</w:t>
            </w:r>
          </w:p>
          <w:p w14:paraId="66EA7432" w14:textId="77777777" w:rsidR="00A83CCD" w:rsidRPr="00DD61F4" w:rsidRDefault="00A83CCD" w:rsidP="005B0BEC">
            <w:pPr>
              <w:pStyle w:val="ListParagraph"/>
              <w:ind w:left="0"/>
              <w:rPr>
                <w:rFonts w:cs="Arial"/>
                <w:b/>
                <w:sz w:val="18"/>
                <w:szCs w:val="18"/>
              </w:rPr>
            </w:pPr>
            <w:r>
              <w:rPr>
                <w:rFonts w:cs="Arial"/>
                <w:sz w:val="18"/>
                <w:szCs w:val="18"/>
              </w:rPr>
              <w:t>D</w:t>
            </w:r>
            <w:r w:rsidRPr="007222E9">
              <w:rPr>
                <w:rFonts w:cs="Arial"/>
                <w:sz w:val="18"/>
                <w:szCs w:val="18"/>
              </w:rPr>
              <w:t>evelopment does not adversely impact on the continued operation, viability and maintenance of existing infrastructure (including rural infrastructure) or compromise the future provision of planned infrastructure</w:t>
            </w:r>
            <w:r>
              <w:rPr>
                <w:rFonts w:cs="Arial"/>
                <w:sz w:val="18"/>
                <w:szCs w:val="18"/>
              </w:rPr>
              <w:t>.</w:t>
            </w:r>
          </w:p>
        </w:tc>
        <w:tc>
          <w:tcPr>
            <w:tcW w:w="4601" w:type="dxa"/>
            <w:shd w:val="clear" w:color="auto" w:fill="auto"/>
          </w:tcPr>
          <w:p w14:paraId="4B788226" w14:textId="77777777" w:rsidR="00A83CCD" w:rsidRPr="00B2594D" w:rsidRDefault="00A83CCD" w:rsidP="005B0BEC">
            <w:pPr>
              <w:pStyle w:val="ListParagraph"/>
              <w:ind w:left="0"/>
              <w:rPr>
                <w:rFonts w:cs="Arial"/>
                <w:b/>
                <w:sz w:val="18"/>
                <w:szCs w:val="18"/>
              </w:rPr>
            </w:pPr>
            <w:r w:rsidRPr="00B2594D">
              <w:rPr>
                <w:rFonts w:cs="Arial"/>
                <w:b/>
                <w:sz w:val="18"/>
                <w:szCs w:val="18"/>
              </w:rPr>
              <w:t>AO</w:t>
            </w:r>
            <w:r>
              <w:rPr>
                <w:rFonts w:cs="Arial"/>
                <w:b/>
                <w:sz w:val="18"/>
                <w:szCs w:val="18"/>
              </w:rPr>
              <w:t>11</w:t>
            </w:r>
          </w:p>
          <w:p w14:paraId="6925B96E" w14:textId="77777777" w:rsidR="00A83CCD" w:rsidRPr="00B2594D" w:rsidRDefault="00A83CCD"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6A4B87DA" w14:textId="77777777" w:rsidR="00A83CCD" w:rsidRDefault="00A83CCD" w:rsidP="00A83CC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9AFC1B1" w14:textId="77777777" w:rsidR="00A83CCD" w:rsidRPr="00B2594D" w:rsidRDefault="00A83CCD" w:rsidP="005B0BEC">
            <w:pPr>
              <w:pStyle w:val="ListParagraph"/>
              <w:ind w:left="0"/>
              <w:rPr>
                <w:rFonts w:cs="Arial"/>
                <w:b/>
                <w:sz w:val="18"/>
                <w:szCs w:val="18"/>
              </w:rPr>
            </w:pPr>
          </w:p>
        </w:tc>
      </w:tr>
    </w:tbl>
    <w:p w14:paraId="4398BD84" w14:textId="77777777" w:rsidR="00315005" w:rsidRPr="00887F91" w:rsidRDefault="00315005" w:rsidP="00887F91"/>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1A6247CA"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A83CCD">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039D0DD6"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w:t>
    </w:r>
    <w:r w:rsidR="00A83CCD">
      <w:rPr>
        <w:sz w:val="14"/>
        <w:szCs w:val="14"/>
      </w:rPr>
      <w:t xml:space="preserve"> 6.0 effective 10 March 2023 </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63480670"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7hwIAABw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A83CCD">
      <w:rPr>
        <w:b/>
        <w:noProof/>
        <w:sz w:val="14"/>
        <w:szCs w:val="14"/>
      </w:rPr>
      <w:t>6.2.18</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A83CCD">
      <w:rPr>
        <w:b/>
        <w:noProof/>
        <w:sz w:val="14"/>
        <w:szCs w:val="14"/>
      </w:rPr>
      <w:t>Rural residential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61AC8093"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A83CCD">
      <w:rPr>
        <w:b/>
        <w:noProof/>
        <w:sz w:val="14"/>
        <w:szCs w:val="14"/>
      </w:rPr>
      <w:t>6.2.18</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A83CCD">
      <w:rPr>
        <w:b/>
        <w:noProof/>
        <w:sz w:val="14"/>
        <w:szCs w:val="14"/>
      </w:rPr>
      <w:t>Rural residential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A83CCD">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72972962">
    <w:abstractNumId w:val="115"/>
  </w:num>
  <w:num w:numId="2" w16cid:durableId="426195271">
    <w:abstractNumId w:val="9"/>
  </w:num>
  <w:num w:numId="3" w16cid:durableId="479658240">
    <w:abstractNumId w:val="101"/>
  </w:num>
  <w:num w:numId="4" w16cid:durableId="2098554217">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1017198119">
    <w:abstractNumId w:val="98"/>
  </w:num>
  <w:num w:numId="6" w16cid:durableId="1673292175">
    <w:abstractNumId w:val="112"/>
  </w:num>
  <w:num w:numId="7" w16cid:durableId="2097240149">
    <w:abstractNumId w:val="90"/>
  </w:num>
  <w:num w:numId="8" w16cid:durableId="2095081442">
    <w:abstractNumId w:val="66"/>
  </w:num>
  <w:num w:numId="9" w16cid:durableId="1145467140">
    <w:abstractNumId w:val="110"/>
  </w:num>
  <w:num w:numId="10" w16cid:durableId="498690343">
    <w:abstractNumId w:val="79"/>
  </w:num>
  <w:num w:numId="11" w16cid:durableId="143279706">
    <w:abstractNumId w:val="142"/>
  </w:num>
  <w:num w:numId="12" w16cid:durableId="1362435653">
    <w:abstractNumId w:val="59"/>
  </w:num>
  <w:num w:numId="13" w16cid:durableId="350648478">
    <w:abstractNumId w:val="53"/>
  </w:num>
  <w:num w:numId="14" w16cid:durableId="1634169167">
    <w:abstractNumId w:val="74"/>
  </w:num>
  <w:num w:numId="15" w16cid:durableId="1717897449">
    <w:abstractNumId w:val="43"/>
  </w:num>
  <w:num w:numId="16" w16cid:durableId="895775858">
    <w:abstractNumId w:val="40"/>
  </w:num>
  <w:num w:numId="17" w16cid:durableId="1985767313">
    <w:abstractNumId w:val="140"/>
  </w:num>
  <w:num w:numId="18" w16cid:durableId="1137181452">
    <w:abstractNumId w:val="87"/>
  </w:num>
  <w:num w:numId="19" w16cid:durableId="1435051466">
    <w:abstractNumId w:val="80"/>
  </w:num>
  <w:num w:numId="20" w16cid:durableId="1802721768">
    <w:abstractNumId w:val="21"/>
  </w:num>
  <w:num w:numId="21" w16cid:durableId="1520394482">
    <w:abstractNumId w:val="35"/>
  </w:num>
  <w:num w:numId="22" w16cid:durableId="295641386">
    <w:abstractNumId w:val="29"/>
  </w:num>
  <w:num w:numId="23" w16cid:durableId="698437306">
    <w:abstractNumId w:val="23"/>
  </w:num>
  <w:num w:numId="24" w16cid:durableId="1658994682">
    <w:abstractNumId w:val="28"/>
  </w:num>
  <w:num w:numId="25" w16cid:durableId="198982591">
    <w:abstractNumId w:val="14"/>
  </w:num>
  <w:num w:numId="26" w16cid:durableId="1119841548">
    <w:abstractNumId w:val="94"/>
  </w:num>
  <w:num w:numId="27" w16cid:durableId="1274826386">
    <w:abstractNumId w:val="96"/>
  </w:num>
  <w:num w:numId="28" w16cid:durableId="1573655206">
    <w:abstractNumId w:val="95"/>
  </w:num>
  <w:num w:numId="29" w16cid:durableId="1254702921">
    <w:abstractNumId w:val="22"/>
  </w:num>
  <w:num w:numId="30" w16cid:durableId="661616455">
    <w:abstractNumId w:val="68"/>
  </w:num>
  <w:num w:numId="31" w16cid:durableId="242223821">
    <w:abstractNumId w:val="55"/>
  </w:num>
  <w:num w:numId="32" w16cid:durableId="872380415">
    <w:abstractNumId w:val="91"/>
  </w:num>
  <w:num w:numId="33" w16cid:durableId="1655572130">
    <w:abstractNumId w:val="84"/>
  </w:num>
  <w:num w:numId="34" w16cid:durableId="778913586">
    <w:abstractNumId w:val="26"/>
  </w:num>
  <w:num w:numId="35" w16cid:durableId="910196503">
    <w:abstractNumId w:val="46"/>
  </w:num>
  <w:num w:numId="36" w16cid:durableId="592055389">
    <w:abstractNumId w:val="109"/>
  </w:num>
  <w:num w:numId="37" w16cid:durableId="2070683385">
    <w:abstractNumId w:val="24"/>
  </w:num>
  <w:num w:numId="38" w16cid:durableId="421951871">
    <w:abstractNumId w:val="139"/>
  </w:num>
  <w:num w:numId="39" w16cid:durableId="483356564">
    <w:abstractNumId w:val="105"/>
  </w:num>
  <w:num w:numId="40" w16cid:durableId="1357466728">
    <w:abstractNumId w:val="42"/>
  </w:num>
  <w:num w:numId="41" w16cid:durableId="316423263">
    <w:abstractNumId w:val="7"/>
  </w:num>
  <w:num w:numId="42" w16cid:durableId="1125536810">
    <w:abstractNumId w:val="76"/>
  </w:num>
  <w:num w:numId="43" w16cid:durableId="941915984">
    <w:abstractNumId w:val="135"/>
  </w:num>
  <w:num w:numId="44" w16cid:durableId="2092047381">
    <w:abstractNumId w:val="132"/>
  </w:num>
  <w:num w:numId="45" w16cid:durableId="1460145278">
    <w:abstractNumId w:val="104"/>
  </w:num>
  <w:num w:numId="46" w16cid:durableId="1480807394">
    <w:abstractNumId w:val="129"/>
  </w:num>
  <w:num w:numId="47" w16cid:durableId="160507931">
    <w:abstractNumId w:val="60"/>
  </w:num>
  <w:num w:numId="48" w16cid:durableId="1057317491">
    <w:abstractNumId w:val="70"/>
  </w:num>
  <w:num w:numId="49" w16cid:durableId="1207985628">
    <w:abstractNumId w:val="133"/>
  </w:num>
  <w:num w:numId="50" w16cid:durableId="307323384">
    <w:abstractNumId w:val="37"/>
  </w:num>
  <w:num w:numId="51" w16cid:durableId="1571501096">
    <w:abstractNumId w:val="72"/>
  </w:num>
  <w:num w:numId="52" w16cid:durableId="1753963755">
    <w:abstractNumId w:val="134"/>
  </w:num>
  <w:num w:numId="53" w16cid:durableId="2021661218">
    <w:abstractNumId w:val="99"/>
  </w:num>
  <w:num w:numId="54" w16cid:durableId="2059893251">
    <w:abstractNumId w:val="17"/>
  </w:num>
  <w:num w:numId="55" w16cid:durableId="67465793">
    <w:abstractNumId w:val="25"/>
  </w:num>
  <w:num w:numId="56" w16cid:durableId="81873127">
    <w:abstractNumId w:val="106"/>
  </w:num>
  <w:num w:numId="57" w16cid:durableId="738595275">
    <w:abstractNumId w:val="69"/>
  </w:num>
  <w:num w:numId="58" w16cid:durableId="184054885">
    <w:abstractNumId w:val="73"/>
  </w:num>
  <w:num w:numId="59" w16cid:durableId="1214004893">
    <w:abstractNumId w:val="54"/>
  </w:num>
  <w:num w:numId="60" w16cid:durableId="1750885968">
    <w:abstractNumId w:val="4"/>
  </w:num>
  <w:num w:numId="61" w16cid:durableId="50466382">
    <w:abstractNumId w:val="83"/>
  </w:num>
  <w:num w:numId="62" w16cid:durableId="544025795">
    <w:abstractNumId w:val="51"/>
  </w:num>
  <w:num w:numId="63" w16cid:durableId="1770159139">
    <w:abstractNumId w:val="10"/>
  </w:num>
  <w:num w:numId="64" w16cid:durableId="1583755863">
    <w:abstractNumId w:val="121"/>
  </w:num>
  <w:num w:numId="65" w16cid:durableId="1684085562">
    <w:abstractNumId w:val="114"/>
  </w:num>
  <w:num w:numId="66" w16cid:durableId="582957880">
    <w:abstractNumId w:val="67"/>
  </w:num>
  <w:num w:numId="67" w16cid:durableId="1806191812">
    <w:abstractNumId w:val="122"/>
  </w:num>
  <w:num w:numId="68" w16cid:durableId="1161846166">
    <w:abstractNumId w:val="61"/>
  </w:num>
  <w:num w:numId="69" w16cid:durableId="883448838">
    <w:abstractNumId w:val="50"/>
  </w:num>
  <w:num w:numId="70" w16cid:durableId="1852448345">
    <w:abstractNumId w:val="77"/>
  </w:num>
  <w:num w:numId="71" w16cid:durableId="2003461729">
    <w:abstractNumId w:val="49"/>
  </w:num>
  <w:num w:numId="72" w16cid:durableId="1489516622">
    <w:abstractNumId w:val="125"/>
  </w:num>
  <w:num w:numId="73" w16cid:durableId="895580782">
    <w:abstractNumId w:val="93"/>
  </w:num>
  <w:num w:numId="74" w16cid:durableId="1575705392">
    <w:abstractNumId w:val="130"/>
  </w:num>
  <w:num w:numId="75" w16cid:durableId="1850093833">
    <w:abstractNumId w:val="16"/>
  </w:num>
  <w:num w:numId="76" w16cid:durableId="634020407">
    <w:abstractNumId w:val="45"/>
  </w:num>
  <w:num w:numId="77" w16cid:durableId="133303591">
    <w:abstractNumId w:val="102"/>
  </w:num>
  <w:num w:numId="78" w16cid:durableId="925304541">
    <w:abstractNumId w:val="136"/>
  </w:num>
  <w:num w:numId="79" w16cid:durableId="71435936">
    <w:abstractNumId w:val="11"/>
  </w:num>
  <w:num w:numId="80" w16cid:durableId="1919053447">
    <w:abstractNumId w:val="117"/>
  </w:num>
  <w:num w:numId="81" w16cid:durableId="534463554">
    <w:abstractNumId w:val="119"/>
  </w:num>
  <w:num w:numId="82" w16cid:durableId="1240211282">
    <w:abstractNumId w:val="65"/>
  </w:num>
  <w:num w:numId="83" w16cid:durableId="1328090743">
    <w:abstractNumId w:val="12"/>
  </w:num>
  <w:num w:numId="84" w16cid:durableId="383605489">
    <w:abstractNumId w:val="128"/>
  </w:num>
  <w:num w:numId="85" w16cid:durableId="433676304">
    <w:abstractNumId w:val="144"/>
  </w:num>
  <w:num w:numId="86" w16cid:durableId="1550532951">
    <w:abstractNumId w:val="137"/>
  </w:num>
  <w:num w:numId="87" w16cid:durableId="1212814016">
    <w:abstractNumId w:val="32"/>
  </w:num>
  <w:num w:numId="88" w16cid:durableId="769663119">
    <w:abstractNumId w:val="33"/>
  </w:num>
  <w:num w:numId="89" w16cid:durableId="1618365402">
    <w:abstractNumId w:val="62"/>
  </w:num>
  <w:num w:numId="90" w16cid:durableId="1190873739">
    <w:abstractNumId w:val="64"/>
  </w:num>
  <w:num w:numId="91" w16cid:durableId="2065442114">
    <w:abstractNumId w:val="44"/>
  </w:num>
  <w:num w:numId="92" w16cid:durableId="657732000">
    <w:abstractNumId w:val="58"/>
  </w:num>
  <w:num w:numId="93" w16cid:durableId="962885800">
    <w:abstractNumId w:val="92"/>
  </w:num>
  <w:num w:numId="94" w16cid:durableId="1289357844">
    <w:abstractNumId w:val="113"/>
  </w:num>
  <w:num w:numId="95" w16cid:durableId="1831747283">
    <w:abstractNumId w:val="111"/>
  </w:num>
  <w:num w:numId="96" w16cid:durableId="1331955608">
    <w:abstractNumId w:val="63"/>
  </w:num>
  <w:num w:numId="97" w16cid:durableId="389118523">
    <w:abstractNumId w:val="13"/>
  </w:num>
  <w:num w:numId="98" w16cid:durableId="654526643">
    <w:abstractNumId w:val="120"/>
  </w:num>
  <w:num w:numId="99" w16cid:durableId="1042097767">
    <w:abstractNumId w:val="36"/>
  </w:num>
  <w:num w:numId="100" w16cid:durableId="1553927144">
    <w:abstractNumId w:val="56"/>
  </w:num>
  <w:num w:numId="101" w16cid:durableId="133646215">
    <w:abstractNumId w:val="141"/>
  </w:num>
  <w:num w:numId="102" w16cid:durableId="1114865038">
    <w:abstractNumId w:val="100"/>
  </w:num>
  <w:num w:numId="103" w16cid:durableId="1014258918">
    <w:abstractNumId w:val="38"/>
  </w:num>
  <w:num w:numId="104" w16cid:durableId="757676431">
    <w:abstractNumId w:val="126"/>
  </w:num>
  <w:num w:numId="105" w16cid:durableId="1188369169">
    <w:abstractNumId w:val="39"/>
  </w:num>
  <w:num w:numId="106" w16cid:durableId="1476872917">
    <w:abstractNumId w:val="52"/>
  </w:num>
  <w:num w:numId="107" w16cid:durableId="531916248">
    <w:abstractNumId w:val="145"/>
  </w:num>
  <w:num w:numId="108" w16cid:durableId="22168127">
    <w:abstractNumId w:val="131"/>
  </w:num>
  <w:num w:numId="109" w16cid:durableId="355472579">
    <w:abstractNumId w:val="34"/>
  </w:num>
  <w:num w:numId="110" w16cid:durableId="1306936218">
    <w:abstractNumId w:val="0"/>
  </w:num>
  <w:num w:numId="111" w16cid:durableId="1736586201">
    <w:abstractNumId w:val="78"/>
  </w:num>
  <w:num w:numId="112" w16cid:durableId="676812190">
    <w:abstractNumId w:val="88"/>
  </w:num>
  <w:num w:numId="113" w16cid:durableId="755396052">
    <w:abstractNumId w:val="47"/>
  </w:num>
  <w:num w:numId="114" w16cid:durableId="684016802">
    <w:abstractNumId w:val="27"/>
  </w:num>
  <w:num w:numId="115" w16cid:durableId="15156200">
    <w:abstractNumId w:val="97"/>
  </w:num>
  <w:num w:numId="116" w16cid:durableId="1606575896">
    <w:abstractNumId w:val="85"/>
  </w:num>
  <w:num w:numId="117" w16cid:durableId="732655350">
    <w:abstractNumId w:val="81"/>
  </w:num>
  <w:num w:numId="118" w16cid:durableId="87163094">
    <w:abstractNumId w:val="138"/>
  </w:num>
  <w:num w:numId="119" w16cid:durableId="362487938">
    <w:abstractNumId w:val="3"/>
  </w:num>
  <w:num w:numId="120" w16cid:durableId="998657141">
    <w:abstractNumId w:val="107"/>
  </w:num>
  <w:num w:numId="121" w16cid:durableId="1790852456">
    <w:abstractNumId w:val="123"/>
  </w:num>
  <w:num w:numId="122" w16cid:durableId="1240598811">
    <w:abstractNumId w:val="103"/>
  </w:num>
  <w:num w:numId="123" w16cid:durableId="767313802">
    <w:abstractNumId w:val="5"/>
  </w:num>
  <w:num w:numId="124" w16cid:durableId="2112167503">
    <w:abstractNumId w:val="71"/>
  </w:num>
  <w:num w:numId="125" w16cid:durableId="1355300768">
    <w:abstractNumId w:val="82"/>
  </w:num>
  <w:num w:numId="126" w16cid:durableId="823476117">
    <w:abstractNumId w:val="116"/>
  </w:num>
  <w:num w:numId="127" w16cid:durableId="1341665507">
    <w:abstractNumId w:val="108"/>
  </w:num>
  <w:num w:numId="128" w16cid:durableId="1221137953">
    <w:abstractNumId w:val="2"/>
  </w:num>
  <w:num w:numId="129" w16cid:durableId="1785464871">
    <w:abstractNumId w:val="57"/>
  </w:num>
  <w:num w:numId="130" w16cid:durableId="944190113">
    <w:abstractNumId w:val="1"/>
  </w:num>
  <w:num w:numId="131" w16cid:durableId="1605723436">
    <w:abstractNumId w:val="143"/>
  </w:num>
  <w:num w:numId="132" w16cid:durableId="728766859">
    <w:abstractNumId w:val="146"/>
  </w:num>
  <w:num w:numId="133" w16cid:durableId="518159860">
    <w:abstractNumId w:val="20"/>
  </w:num>
  <w:num w:numId="134" w16cid:durableId="930820255">
    <w:abstractNumId w:val="30"/>
  </w:num>
  <w:num w:numId="135" w16cid:durableId="404685428">
    <w:abstractNumId w:val="118"/>
  </w:num>
  <w:num w:numId="136" w16cid:durableId="1161240483">
    <w:abstractNumId w:val="6"/>
  </w:num>
  <w:num w:numId="137" w16cid:durableId="1582910550">
    <w:abstractNumId w:val="127"/>
  </w:num>
  <w:num w:numId="138" w16cid:durableId="2023586948">
    <w:abstractNumId w:val="15"/>
  </w:num>
  <w:num w:numId="139" w16cid:durableId="657346560">
    <w:abstractNumId w:val="48"/>
  </w:num>
  <w:num w:numId="140" w16cid:durableId="1690989887">
    <w:abstractNumId w:val="75"/>
  </w:num>
  <w:num w:numId="141" w16cid:durableId="38283753">
    <w:abstractNumId w:val="31"/>
  </w:num>
  <w:num w:numId="142" w16cid:durableId="902523104">
    <w:abstractNumId w:val="8"/>
  </w:num>
  <w:num w:numId="143" w16cid:durableId="418718790">
    <w:abstractNumId w:val="124"/>
  </w:num>
  <w:num w:numId="144" w16cid:durableId="1956981167">
    <w:abstractNumId w:val="86"/>
  </w:num>
  <w:num w:numId="145" w16cid:durableId="1090931292">
    <w:abstractNumId w:val="89"/>
  </w:num>
  <w:num w:numId="146" w16cid:durableId="320282659">
    <w:abstractNumId w:val="18"/>
  </w:num>
  <w:num w:numId="147" w16cid:durableId="1790317699">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449"/>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05E8"/>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1CF7"/>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3835"/>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1245"/>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3CCD"/>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143C"/>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B9CBDB55-F026-4B99-8F5D-EB7FABA4E06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837</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2023-03-15T03:01:00Z</dcterms:created>
  <dcterms:modified xsi:type="dcterms:W3CDTF">2023-03-15T03:01:00Z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