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7554" w14:textId="77777777" w:rsidR="00344449" w:rsidRPr="00344449" w:rsidRDefault="00344449" w:rsidP="00344449">
      <w:pPr>
        <w:pStyle w:val="ListParagraph"/>
        <w:keepNext/>
        <w:numPr>
          <w:ilvl w:val="0"/>
          <w:numId w:val="2"/>
        </w:numPr>
        <w:spacing w:before="100" w:after="200"/>
        <w:outlineLvl w:val="0"/>
        <w:rPr>
          <w:rFonts w:cs="Arial"/>
          <w:b/>
          <w:bCs/>
          <w:vanish/>
          <w:kern w:val="32"/>
          <w:sz w:val="32"/>
          <w:szCs w:val="32"/>
        </w:rPr>
      </w:pPr>
      <w:bookmarkStart w:id="0" w:name="_Toc321921955"/>
      <w:bookmarkStart w:id="1" w:name="_Toc332985328"/>
      <w:bookmarkStart w:id="2" w:name="_Toc29993467"/>
      <w:bookmarkStart w:id="3" w:name="_Toc29993502"/>
    </w:p>
    <w:p w14:paraId="34634C5A" w14:textId="77777777" w:rsidR="00344449" w:rsidRPr="00344449" w:rsidRDefault="00344449" w:rsidP="00344449">
      <w:pPr>
        <w:pStyle w:val="ListParagraph"/>
        <w:keepNext/>
        <w:numPr>
          <w:ilvl w:val="1"/>
          <w:numId w:val="2"/>
        </w:numPr>
        <w:spacing w:before="100" w:after="200"/>
        <w:outlineLvl w:val="1"/>
        <w:rPr>
          <w:rFonts w:cs="Arial"/>
          <w:b/>
          <w:bCs/>
          <w:iCs/>
          <w:vanish/>
          <w:sz w:val="28"/>
          <w:szCs w:val="28"/>
        </w:rPr>
      </w:pPr>
    </w:p>
    <w:p w14:paraId="7E674785" w14:textId="77777777" w:rsidR="00344449" w:rsidRPr="00344449" w:rsidRDefault="00344449" w:rsidP="00344449">
      <w:pPr>
        <w:pStyle w:val="ListParagraph"/>
        <w:keepNext/>
        <w:numPr>
          <w:ilvl w:val="1"/>
          <w:numId w:val="2"/>
        </w:numPr>
        <w:spacing w:before="100" w:after="200"/>
        <w:outlineLvl w:val="1"/>
        <w:rPr>
          <w:rFonts w:cs="Arial"/>
          <w:b/>
          <w:bCs/>
          <w:iCs/>
          <w:vanish/>
          <w:sz w:val="28"/>
          <w:szCs w:val="28"/>
        </w:rPr>
      </w:pPr>
    </w:p>
    <w:p w14:paraId="3069F8CE"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3C542929"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5AC8ED35"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7C9A5A6F"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4B4B8883"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2393D11B"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704CEB5D"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3D0BA0A9"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03C380EA"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5E3D7E71"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4903FB39"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26344A4B"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554F59A6"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072E5E16"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4E3A996C" w14:textId="77777777" w:rsidR="00344449" w:rsidRPr="00344449" w:rsidRDefault="00344449" w:rsidP="00344449">
      <w:pPr>
        <w:pStyle w:val="ListParagraph"/>
        <w:keepNext/>
        <w:numPr>
          <w:ilvl w:val="2"/>
          <w:numId w:val="2"/>
        </w:numPr>
        <w:spacing w:before="100" w:after="200"/>
        <w:outlineLvl w:val="2"/>
        <w:rPr>
          <w:rFonts w:cs="Arial"/>
          <w:b/>
          <w:bCs/>
          <w:vanish/>
          <w:sz w:val="24"/>
          <w:szCs w:val="26"/>
        </w:rPr>
      </w:pPr>
    </w:p>
    <w:p w14:paraId="3386F4D3" w14:textId="18DC15BC" w:rsidR="00344449" w:rsidRDefault="00344449" w:rsidP="00344449">
      <w:pPr>
        <w:pStyle w:val="Heading3"/>
        <w:ind w:right="5951"/>
      </w:pPr>
      <w:r>
        <w:t>Limited development zone code</w:t>
      </w:r>
      <w:bookmarkEnd w:id="0"/>
      <w:bookmarkEnd w:id="1"/>
      <w:bookmarkEnd w:id="2"/>
      <w:bookmarkEnd w:id="3"/>
    </w:p>
    <w:p w14:paraId="5B6B2435" w14:textId="77777777" w:rsidR="00344449" w:rsidRDefault="00344449" w:rsidP="00344449">
      <w:pPr>
        <w:pStyle w:val="Heading4"/>
        <w:spacing w:before="100" w:after="200"/>
        <w:ind w:right="5951"/>
      </w:pPr>
      <w:bookmarkStart w:id="4" w:name="_Toc332985329"/>
      <w:r>
        <w:t>Application</w:t>
      </w:r>
      <w:bookmarkEnd w:id="4"/>
    </w:p>
    <w:p w14:paraId="025AC681" w14:textId="77777777" w:rsidR="00900827" w:rsidRPr="00482FA6" w:rsidRDefault="00900827" w:rsidP="00900827">
      <w:pPr>
        <w:rPr>
          <w:rFonts w:cs="Arial"/>
          <w:sz w:val="18"/>
          <w:szCs w:val="18"/>
        </w:rPr>
      </w:pPr>
      <w:r w:rsidRPr="00482FA6">
        <w:rPr>
          <w:rFonts w:cs="Arial"/>
          <w:sz w:val="18"/>
          <w:szCs w:val="18"/>
        </w:rPr>
        <w:t>This code applies to development:-</w:t>
      </w:r>
    </w:p>
    <w:p w14:paraId="6F7DF4C3" w14:textId="77777777" w:rsidR="00900827" w:rsidRPr="00482FA6" w:rsidRDefault="00900827" w:rsidP="00900827">
      <w:pPr>
        <w:rPr>
          <w:rFonts w:cs="Arial"/>
          <w:sz w:val="18"/>
          <w:szCs w:val="18"/>
        </w:rPr>
      </w:pPr>
    </w:p>
    <w:p w14:paraId="4E23DBFF" w14:textId="77777777" w:rsidR="00900827" w:rsidRPr="00482FA6" w:rsidRDefault="00900827" w:rsidP="00900827">
      <w:pPr>
        <w:numPr>
          <w:ilvl w:val="0"/>
          <w:numId w:val="115"/>
        </w:numPr>
        <w:rPr>
          <w:rFonts w:cs="Arial"/>
          <w:sz w:val="18"/>
          <w:szCs w:val="18"/>
        </w:rPr>
      </w:pPr>
      <w:r w:rsidRPr="00482FA6">
        <w:rPr>
          <w:rFonts w:cs="Arial"/>
          <w:sz w:val="18"/>
          <w:szCs w:val="18"/>
        </w:rPr>
        <w:t>within the Limited development zone as identified on the zone maps</w:t>
      </w:r>
      <w:r w:rsidRPr="007222E9">
        <w:rPr>
          <w:rFonts w:cs="Arial"/>
          <w:sz w:val="18"/>
          <w:szCs w:val="18"/>
        </w:rPr>
        <w:t xml:space="preserve"> contained in </w:t>
      </w:r>
      <w:r w:rsidRPr="00482FA6">
        <w:rPr>
          <w:rFonts w:cs="Arial"/>
          <w:b/>
          <w:sz w:val="18"/>
          <w:szCs w:val="18"/>
        </w:rPr>
        <w:t>Schedule 2 (Mapping)</w:t>
      </w:r>
      <w:r w:rsidRPr="007222E9">
        <w:rPr>
          <w:rFonts w:cs="Arial"/>
          <w:sz w:val="18"/>
          <w:szCs w:val="18"/>
        </w:rPr>
        <w:t>; and</w:t>
      </w:r>
    </w:p>
    <w:p w14:paraId="50BB997B" w14:textId="77777777" w:rsidR="00900827" w:rsidRPr="007222E9" w:rsidRDefault="00900827" w:rsidP="00900827">
      <w:pPr>
        <w:tabs>
          <w:tab w:val="num" w:pos="540"/>
        </w:tabs>
        <w:rPr>
          <w:sz w:val="18"/>
          <w:szCs w:val="18"/>
        </w:rPr>
      </w:pPr>
    </w:p>
    <w:p w14:paraId="47FBE757" w14:textId="77777777" w:rsidR="00900827" w:rsidRPr="007222E9" w:rsidRDefault="00900827" w:rsidP="00900827">
      <w:pPr>
        <w:numPr>
          <w:ilvl w:val="0"/>
          <w:numId w:val="115"/>
        </w:numPr>
        <w:rPr>
          <w:sz w:val="18"/>
          <w:szCs w:val="18"/>
        </w:rPr>
      </w:pPr>
      <w:r w:rsidRPr="007222E9">
        <w:rPr>
          <w:sz w:val="18"/>
          <w:szCs w:val="18"/>
        </w:rPr>
        <w:t xml:space="preserve">identified as requiring assessment against the Limited development zone code by the tables of assessment in </w:t>
      </w:r>
      <w:r w:rsidRPr="007222E9">
        <w:rPr>
          <w:b/>
          <w:sz w:val="18"/>
          <w:szCs w:val="18"/>
        </w:rPr>
        <w:t>Part 5 (Tables of assessment)</w:t>
      </w:r>
      <w:r w:rsidRPr="007222E9">
        <w:rPr>
          <w:sz w:val="18"/>
          <w:szCs w:val="18"/>
        </w:rPr>
        <w:t>.</w:t>
      </w:r>
    </w:p>
    <w:p w14:paraId="5B3E8075" w14:textId="77777777" w:rsidR="00344449" w:rsidRPr="007222E9" w:rsidRDefault="00344449" w:rsidP="00344449">
      <w:pPr>
        <w:ind w:right="5951"/>
        <w:rPr>
          <w:sz w:val="18"/>
          <w:szCs w:val="18"/>
        </w:rPr>
      </w:pPr>
    </w:p>
    <w:p w14:paraId="07D2F8D3" w14:textId="77777777" w:rsidR="00344449" w:rsidRDefault="00344449" w:rsidP="00344449">
      <w:pPr>
        <w:pStyle w:val="Heading4"/>
        <w:spacing w:before="100" w:after="200"/>
        <w:ind w:right="5951"/>
      </w:pPr>
      <w:bookmarkStart w:id="5" w:name="_Toc332985330"/>
      <w:r>
        <w:t>Purpose and overall outcomes</w:t>
      </w:r>
      <w:bookmarkEnd w:id="5"/>
    </w:p>
    <w:p w14:paraId="5BB3ED3A" w14:textId="77777777" w:rsidR="00900827" w:rsidRDefault="00900827" w:rsidP="00900827">
      <w:pPr>
        <w:numPr>
          <w:ilvl w:val="0"/>
          <w:numId w:val="74"/>
        </w:numPr>
        <w:rPr>
          <w:rFonts w:cs="Arial"/>
          <w:sz w:val="18"/>
          <w:szCs w:val="18"/>
        </w:rPr>
      </w:pPr>
      <w:r w:rsidRPr="00F73227">
        <w:rPr>
          <w:rFonts w:cs="Arial"/>
          <w:sz w:val="18"/>
          <w:szCs w:val="18"/>
        </w:rPr>
        <w:t xml:space="preserve">The purpose of the </w:t>
      </w:r>
      <w:r>
        <w:rPr>
          <w:rFonts w:cs="Arial"/>
          <w:sz w:val="18"/>
          <w:szCs w:val="18"/>
        </w:rPr>
        <w:t>L</w:t>
      </w:r>
      <w:r w:rsidRPr="00F73227">
        <w:rPr>
          <w:rFonts w:cs="Arial"/>
          <w:sz w:val="18"/>
          <w:szCs w:val="18"/>
        </w:rPr>
        <w:t>imited development zone</w:t>
      </w:r>
      <w:r>
        <w:rPr>
          <w:rFonts w:cs="Arial"/>
          <w:sz w:val="18"/>
          <w:szCs w:val="18"/>
        </w:rPr>
        <w:t xml:space="preserve"> code </w:t>
      </w:r>
      <w:r w:rsidRPr="00F73227">
        <w:rPr>
          <w:rFonts w:cs="Arial"/>
          <w:sz w:val="18"/>
          <w:szCs w:val="18"/>
        </w:rPr>
        <w:t>is to identify land tha</w:t>
      </w:r>
      <w:r>
        <w:rPr>
          <w:rFonts w:cs="Arial"/>
          <w:sz w:val="18"/>
          <w:szCs w:val="18"/>
        </w:rPr>
        <w:t xml:space="preserve">t is significantly affected by one or more development </w:t>
      </w:r>
      <w:r w:rsidRPr="00F73227">
        <w:rPr>
          <w:rFonts w:cs="Arial"/>
          <w:sz w:val="18"/>
          <w:szCs w:val="18"/>
        </w:rPr>
        <w:t>constraints,</w:t>
      </w:r>
      <w:r>
        <w:rPr>
          <w:rFonts w:cs="Arial"/>
          <w:sz w:val="18"/>
          <w:szCs w:val="18"/>
        </w:rPr>
        <w:t xml:space="preserve"> </w:t>
      </w:r>
      <w:r w:rsidRPr="00F73227">
        <w:rPr>
          <w:rFonts w:cs="Arial"/>
          <w:sz w:val="18"/>
          <w:szCs w:val="18"/>
        </w:rPr>
        <w:t xml:space="preserve">including, for example, constraints relating to defence requirements, flooding, historical </w:t>
      </w:r>
      <w:r>
        <w:rPr>
          <w:rFonts w:cs="Arial"/>
          <w:sz w:val="18"/>
          <w:szCs w:val="18"/>
        </w:rPr>
        <w:t xml:space="preserve">subdivisions, land contamination, past </w:t>
      </w:r>
      <w:r w:rsidRPr="00F73227">
        <w:rPr>
          <w:rFonts w:cs="Arial"/>
          <w:sz w:val="18"/>
          <w:szCs w:val="18"/>
        </w:rPr>
        <w:t>or</w:t>
      </w:r>
      <w:r>
        <w:rPr>
          <w:rFonts w:cs="Arial"/>
          <w:sz w:val="18"/>
          <w:szCs w:val="18"/>
        </w:rPr>
        <w:t xml:space="preserve"> </w:t>
      </w:r>
      <w:r w:rsidRPr="00F73227">
        <w:rPr>
          <w:rFonts w:cs="Arial"/>
          <w:sz w:val="18"/>
          <w:szCs w:val="18"/>
        </w:rPr>
        <w:t>future mining activities or topography.</w:t>
      </w:r>
    </w:p>
    <w:p w14:paraId="20A0A051" w14:textId="77777777" w:rsidR="00900827" w:rsidRPr="007222E9" w:rsidRDefault="00900827" w:rsidP="00900827">
      <w:pPr>
        <w:ind w:left="567"/>
        <w:rPr>
          <w:rFonts w:cs="Arial"/>
          <w:sz w:val="18"/>
          <w:szCs w:val="18"/>
        </w:rPr>
      </w:pPr>
    </w:p>
    <w:p w14:paraId="4D32F986" w14:textId="77777777" w:rsidR="00900827" w:rsidRPr="007222E9" w:rsidRDefault="00900827" w:rsidP="00900827">
      <w:pPr>
        <w:ind w:left="567"/>
        <w:rPr>
          <w:rFonts w:cs="Arial"/>
          <w:sz w:val="18"/>
          <w:szCs w:val="18"/>
        </w:rPr>
      </w:pPr>
      <w:r w:rsidRPr="007222E9">
        <w:rPr>
          <w:rFonts w:cs="Arial"/>
          <w:sz w:val="18"/>
          <w:szCs w:val="18"/>
        </w:rPr>
        <w:t>Such constraints pose severe restrictions on the ability of the land to be developed for urban purposes.</w:t>
      </w:r>
    </w:p>
    <w:p w14:paraId="379B6910" w14:textId="77777777" w:rsidR="00900827" w:rsidRPr="007222E9" w:rsidRDefault="00900827" w:rsidP="00900827">
      <w:pPr>
        <w:ind w:left="567"/>
        <w:rPr>
          <w:rFonts w:cs="Arial"/>
          <w:sz w:val="18"/>
          <w:szCs w:val="18"/>
        </w:rPr>
      </w:pPr>
    </w:p>
    <w:p w14:paraId="601A6D6B" w14:textId="77777777" w:rsidR="00900827" w:rsidRDefault="00900827" w:rsidP="00900827">
      <w:pPr>
        <w:ind w:left="567"/>
        <w:rPr>
          <w:iCs/>
          <w:sz w:val="18"/>
          <w:szCs w:val="18"/>
        </w:rPr>
      </w:pPr>
      <w:r w:rsidRPr="007222E9">
        <w:rPr>
          <w:rFonts w:cs="Arial"/>
          <w:sz w:val="18"/>
          <w:szCs w:val="18"/>
        </w:rPr>
        <w:t xml:space="preserve">More specifically, the purpose of the Limited development zone code is to </w:t>
      </w:r>
      <w:r w:rsidRPr="007222E9">
        <w:rPr>
          <w:iCs/>
          <w:sz w:val="18"/>
          <w:szCs w:val="18"/>
        </w:rPr>
        <w:t>limit development on land that is</w:t>
      </w:r>
      <w:r>
        <w:rPr>
          <w:iCs/>
          <w:sz w:val="18"/>
          <w:szCs w:val="18"/>
        </w:rPr>
        <w:t xml:space="preserve"> subject to the following circumstances:-</w:t>
      </w:r>
    </w:p>
    <w:p w14:paraId="70E47D35" w14:textId="77777777" w:rsidR="00900827" w:rsidRDefault="00900827" w:rsidP="00900827">
      <w:pPr>
        <w:ind w:left="567"/>
        <w:rPr>
          <w:iCs/>
          <w:sz w:val="18"/>
          <w:szCs w:val="18"/>
        </w:rPr>
      </w:pPr>
    </w:p>
    <w:p w14:paraId="08A44435" w14:textId="77777777" w:rsidR="00900827" w:rsidRPr="00DC4C29" w:rsidRDefault="00900827" w:rsidP="00900827">
      <w:pPr>
        <w:numPr>
          <w:ilvl w:val="1"/>
          <w:numId w:val="25"/>
        </w:numPr>
        <w:tabs>
          <w:tab w:val="clear" w:pos="1440"/>
        </w:tabs>
        <w:ind w:left="1134" w:hanging="567"/>
        <w:rPr>
          <w:rFonts w:cs="Arial"/>
          <w:sz w:val="18"/>
          <w:szCs w:val="18"/>
        </w:rPr>
      </w:pPr>
      <w:r>
        <w:rPr>
          <w:rFonts w:eastAsia="Calibri"/>
          <w:sz w:val="18"/>
          <w:szCs w:val="18"/>
        </w:rPr>
        <w:t xml:space="preserve">land </w:t>
      </w:r>
      <w:r w:rsidRPr="00DC4C29">
        <w:rPr>
          <w:rFonts w:eastAsia="Calibri"/>
          <w:sz w:val="18"/>
          <w:szCs w:val="18"/>
        </w:rPr>
        <w:t>located</w:t>
      </w:r>
      <w:r w:rsidRPr="007222E9">
        <w:rPr>
          <w:iCs/>
          <w:sz w:val="18"/>
          <w:szCs w:val="18"/>
        </w:rPr>
        <w:t xml:space="preserve"> in an urban setting but is unsuitable for such purposes due to s</w:t>
      </w:r>
      <w:r>
        <w:rPr>
          <w:iCs/>
          <w:sz w:val="18"/>
          <w:szCs w:val="18"/>
        </w:rPr>
        <w:t>ignificant flooding constraints, access limitations or exposure to adverse amenity impacts; or</w:t>
      </w:r>
    </w:p>
    <w:p w14:paraId="20D952BD" w14:textId="77777777" w:rsidR="00900827" w:rsidRPr="00DC4C29" w:rsidRDefault="00900827" w:rsidP="00900827">
      <w:pPr>
        <w:ind w:left="1134"/>
        <w:rPr>
          <w:rFonts w:cs="Arial"/>
          <w:sz w:val="18"/>
          <w:szCs w:val="18"/>
        </w:rPr>
      </w:pPr>
    </w:p>
    <w:p w14:paraId="4C47D9F3" w14:textId="77777777" w:rsidR="00900827" w:rsidRPr="00DB5AFF" w:rsidRDefault="00900827" w:rsidP="00900827">
      <w:pPr>
        <w:numPr>
          <w:ilvl w:val="1"/>
          <w:numId w:val="25"/>
        </w:numPr>
        <w:tabs>
          <w:tab w:val="clear" w:pos="1440"/>
        </w:tabs>
        <w:ind w:left="1134" w:hanging="567"/>
        <w:rPr>
          <w:rFonts w:cs="Arial"/>
          <w:sz w:val="18"/>
          <w:szCs w:val="18"/>
        </w:rPr>
      </w:pPr>
      <w:r>
        <w:rPr>
          <w:rFonts w:cs="Arial"/>
          <w:sz w:val="18"/>
          <w:szCs w:val="18"/>
        </w:rPr>
        <w:t>land subject to a historical subdivision that is unsuitable for residential purposes in its current configuration due to servicing, physical, environmental or other development constraints.</w:t>
      </w:r>
    </w:p>
    <w:p w14:paraId="7B812F71" w14:textId="77777777" w:rsidR="00900827" w:rsidRPr="007222E9" w:rsidRDefault="00900827" w:rsidP="00900827">
      <w:pPr>
        <w:rPr>
          <w:sz w:val="18"/>
          <w:szCs w:val="18"/>
        </w:rPr>
      </w:pPr>
    </w:p>
    <w:p w14:paraId="2605FF08" w14:textId="77777777" w:rsidR="00900827" w:rsidRPr="007222E9" w:rsidRDefault="00900827" w:rsidP="00900827">
      <w:pPr>
        <w:numPr>
          <w:ilvl w:val="0"/>
          <w:numId w:val="74"/>
        </w:numPr>
        <w:rPr>
          <w:sz w:val="18"/>
          <w:szCs w:val="18"/>
        </w:rPr>
      </w:pPr>
      <w:r w:rsidRPr="007222E9">
        <w:rPr>
          <w:sz w:val="18"/>
          <w:szCs w:val="18"/>
        </w:rPr>
        <w:t>The purpose of the Limited development zone code will be achieved through the following overall outcomes:-</w:t>
      </w:r>
    </w:p>
    <w:p w14:paraId="4F15AED8" w14:textId="77777777" w:rsidR="00900827" w:rsidRPr="007222E9" w:rsidRDefault="00900827" w:rsidP="00900827">
      <w:pPr>
        <w:rPr>
          <w:sz w:val="18"/>
          <w:szCs w:val="18"/>
        </w:rPr>
      </w:pPr>
    </w:p>
    <w:p w14:paraId="0DE1859D" w14:textId="77777777" w:rsidR="00900827" w:rsidRPr="007222E9" w:rsidRDefault="00900827" w:rsidP="00900827">
      <w:pPr>
        <w:numPr>
          <w:ilvl w:val="1"/>
          <w:numId w:val="31"/>
        </w:numPr>
        <w:tabs>
          <w:tab w:val="clear" w:pos="1440"/>
        </w:tabs>
        <w:ind w:left="1134" w:hanging="567"/>
        <w:rPr>
          <w:sz w:val="18"/>
          <w:szCs w:val="18"/>
        </w:rPr>
      </w:pPr>
      <w:r w:rsidRPr="007222E9">
        <w:rPr>
          <w:rFonts w:eastAsia="Calibri"/>
          <w:sz w:val="18"/>
          <w:szCs w:val="18"/>
        </w:rPr>
        <w:t>development is generally limited to pre-existing uses or new uses of a low-intensity,  non-urban or rural nature;</w:t>
      </w:r>
    </w:p>
    <w:p w14:paraId="1FCF9627" w14:textId="77777777" w:rsidR="00900827" w:rsidRPr="007222E9" w:rsidRDefault="00900827" w:rsidP="00900827">
      <w:pPr>
        <w:ind w:left="1134"/>
        <w:rPr>
          <w:sz w:val="18"/>
          <w:szCs w:val="18"/>
        </w:rPr>
      </w:pPr>
    </w:p>
    <w:p w14:paraId="79C01FE5" w14:textId="77777777" w:rsidR="00900827" w:rsidRPr="00152896" w:rsidRDefault="00900827" w:rsidP="00900827">
      <w:pPr>
        <w:numPr>
          <w:ilvl w:val="1"/>
          <w:numId w:val="31"/>
        </w:numPr>
        <w:tabs>
          <w:tab w:val="clear" w:pos="1440"/>
        </w:tabs>
        <w:ind w:left="1134" w:hanging="567"/>
        <w:rPr>
          <w:sz w:val="18"/>
          <w:szCs w:val="18"/>
        </w:rPr>
      </w:pPr>
      <w:r w:rsidRPr="00C01583">
        <w:rPr>
          <w:rFonts w:eastAsia="Calibri"/>
          <w:sz w:val="18"/>
          <w:szCs w:val="18"/>
        </w:rPr>
        <w:t xml:space="preserve">individual dwelling houses may only be established in the zone </w:t>
      </w:r>
      <w:r>
        <w:rPr>
          <w:rFonts w:eastAsia="Calibri"/>
          <w:sz w:val="18"/>
          <w:szCs w:val="18"/>
        </w:rPr>
        <w:t>under limited circumstances</w:t>
      </w:r>
      <w:r w:rsidRPr="00C01583">
        <w:rPr>
          <w:rFonts w:eastAsia="Calibri"/>
          <w:sz w:val="18"/>
          <w:szCs w:val="18"/>
        </w:rPr>
        <w:t>;</w:t>
      </w:r>
    </w:p>
    <w:p w14:paraId="5A948A34" w14:textId="77777777" w:rsidR="00900827" w:rsidRPr="007222E9" w:rsidRDefault="00900827" w:rsidP="00900827">
      <w:pPr>
        <w:rPr>
          <w:sz w:val="18"/>
          <w:szCs w:val="18"/>
        </w:rPr>
      </w:pPr>
    </w:p>
    <w:p w14:paraId="0F86CA08" w14:textId="77777777" w:rsidR="00900827" w:rsidRPr="007222E9" w:rsidRDefault="00900827" w:rsidP="00900827">
      <w:pPr>
        <w:numPr>
          <w:ilvl w:val="1"/>
          <w:numId w:val="31"/>
        </w:numPr>
        <w:tabs>
          <w:tab w:val="clear" w:pos="1440"/>
        </w:tabs>
        <w:ind w:left="1134" w:hanging="567"/>
        <w:rPr>
          <w:sz w:val="18"/>
          <w:szCs w:val="18"/>
        </w:rPr>
      </w:pPr>
      <w:r w:rsidRPr="007222E9">
        <w:rPr>
          <w:rFonts w:eastAsia="Calibri"/>
          <w:sz w:val="18"/>
          <w:szCs w:val="18"/>
        </w:rPr>
        <w:t xml:space="preserve">where development is proposed, it is of a low-intensity and scale and is compatible with the nature of the constraints present on the site; </w:t>
      </w:r>
    </w:p>
    <w:p w14:paraId="41013FEA" w14:textId="77777777" w:rsidR="00900827" w:rsidRPr="007222E9" w:rsidRDefault="00900827" w:rsidP="00900827">
      <w:pPr>
        <w:rPr>
          <w:sz w:val="18"/>
          <w:szCs w:val="18"/>
        </w:rPr>
      </w:pPr>
    </w:p>
    <w:p w14:paraId="67FDD7E3" w14:textId="77777777" w:rsidR="00900827" w:rsidRDefault="00900827" w:rsidP="00900827">
      <w:pPr>
        <w:numPr>
          <w:ilvl w:val="1"/>
          <w:numId w:val="31"/>
        </w:numPr>
        <w:tabs>
          <w:tab w:val="clear" w:pos="1440"/>
        </w:tabs>
        <w:ind w:left="1134" w:hanging="567"/>
        <w:rPr>
          <w:rFonts w:eastAsia="Calibri"/>
          <w:sz w:val="18"/>
          <w:szCs w:val="18"/>
        </w:rPr>
      </w:pPr>
      <w:r w:rsidRPr="00172CCA">
        <w:rPr>
          <w:rFonts w:eastAsia="Calibri"/>
          <w:sz w:val="18"/>
          <w:szCs w:val="18"/>
        </w:rPr>
        <w:t xml:space="preserve">no additional lots are created in the zone, unless for accommodating essential infrastructure, services </w:t>
      </w:r>
      <w:r>
        <w:rPr>
          <w:rFonts w:eastAsia="Calibri"/>
          <w:sz w:val="18"/>
          <w:szCs w:val="18"/>
        </w:rPr>
        <w:t xml:space="preserve">or </w:t>
      </w:r>
      <w:r w:rsidRPr="00172CCA">
        <w:rPr>
          <w:rFonts w:eastAsia="Calibri"/>
          <w:sz w:val="18"/>
          <w:szCs w:val="18"/>
        </w:rPr>
        <w:t xml:space="preserve">facilities; </w:t>
      </w:r>
    </w:p>
    <w:p w14:paraId="104FFE2D" w14:textId="77777777" w:rsidR="00900827" w:rsidRPr="00172CCA" w:rsidRDefault="00900827" w:rsidP="00900827">
      <w:pPr>
        <w:rPr>
          <w:rFonts w:eastAsia="Calibri"/>
          <w:sz w:val="18"/>
          <w:szCs w:val="18"/>
        </w:rPr>
      </w:pPr>
    </w:p>
    <w:p w14:paraId="67D6CE99" w14:textId="77777777" w:rsidR="00900827" w:rsidRPr="00172CCA" w:rsidRDefault="00900827" w:rsidP="00900827">
      <w:pPr>
        <w:numPr>
          <w:ilvl w:val="1"/>
          <w:numId w:val="31"/>
        </w:numPr>
        <w:tabs>
          <w:tab w:val="clear" w:pos="1440"/>
        </w:tabs>
        <w:ind w:left="1134" w:hanging="567"/>
        <w:rPr>
          <w:rFonts w:eastAsia="Calibri"/>
          <w:sz w:val="18"/>
          <w:szCs w:val="18"/>
        </w:rPr>
      </w:pPr>
      <w:r w:rsidRPr="00172CCA">
        <w:rPr>
          <w:rFonts w:eastAsia="Calibri"/>
          <w:sz w:val="18"/>
          <w:szCs w:val="18"/>
        </w:rPr>
        <w:t xml:space="preserve">historical subdivisions included in the zone may only be further developed for residential purposes subject to appropriate servicing arrangements and the provision of a more contemporary </w:t>
      </w:r>
      <w:r>
        <w:rPr>
          <w:rFonts w:eastAsia="Calibri"/>
          <w:sz w:val="18"/>
          <w:szCs w:val="18"/>
        </w:rPr>
        <w:t xml:space="preserve">and responsive </w:t>
      </w:r>
      <w:r w:rsidRPr="00172CCA">
        <w:rPr>
          <w:rFonts w:eastAsia="Calibri"/>
          <w:sz w:val="18"/>
          <w:szCs w:val="18"/>
        </w:rPr>
        <w:t xml:space="preserve">subdivision pattern and layout; </w:t>
      </w:r>
    </w:p>
    <w:p w14:paraId="36C0C403" w14:textId="77777777" w:rsidR="00900827" w:rsidRPr="007222E9" w:rsidRDefault="00900827" w:rsidP="00900827">
      <w:pPr>
        <w:ind w:left="1134"/>
        <w:rPr>
          <w:sz w:val="18"/>
          <w:szCs w:val="18"/>
        </w:rPr>
      </w:pPr>
    </w:p>
    <w:p w14:paraId="1C2C674E" w14:textId="77777777" w:rsidR="00900827" w:rsidRPr="004462FF" w:rsidRDefault="00900827" w:rsidP="00900827">
      <w:pPr>
        <w:numPr>
          <w:ilvl w:val="1"/>
          <w:numId w:val="31"/>
        </w:numPr>
        <w:tabs>
          <w:tab w:val="clear" w:pos="1440"/>
        </w:tabs>
        <w:ind w:left="1134" w:hanging="567"/>
        <w:rPr>
          <w:sz w:val="18"/>
          <w:szCs w:val="18"/>
        </w:rPr>
      </w:pPr>
      <w:r w:rsidRPr="007222E9">
        <w:rPr>
          <w:sz w:val="18"/>
          <w:szCs w:val="18"/>
        </w:rPr>
        <w:t xml:space="preserve">development </w:t>
      </w:r>
      <w:r>
        <w:rPr>
          <w:sz w:val="18"/>
          <w:szCs w:val="18"/>
        </w:rPr>
        <w:t xml:space="preserve">predominantly has a low-rise built form and maintains the low intensity character of the zone, </w:t>
      </w:r>
      <w:r w:rsidRPr="007222E9">
        <w:rPr>
          <w:sz w:val="18"/>
          <w:szCs w:val="18"/>
        </w:rPr>
        <w:t>incorporates a high level of residential amenity, and provides for the personal health of residents and safety and protection for property;</w:t>
      </w:r>
    </w:p>
    <w:p w14:paraId="6E83E85C" w14:textId="77777777" w:rsidR="00900827" w:rsidRPr="007222E9" w:rsidRDefault="00900827" w:rsidP="00900827">
      <w:pPr>
        <w:rPr>
          <w:sz w:val="18"/>
          <w:szCs w:val="18"/>
        </w:rPr>
      </w:pPr>
    </w:p>
    <w:p w14:paraId="55760722" w14:textId="77777777" w:rsidR="00900827" w:rsidRPr="007222E9" w:rsidRDefault="00900827" w:rsidP="00900827">
      <w:pPr>
        <w:numPr>
          <w:ilvl w:val="1"/>
          <w:numId w:val="31"/>
        </w:numPr>
        <w:tabs>
          <w:tab w:val="clear" w:pos="1440"/>
        </w:tabs>
        <w:ind w:left="1134" w:hanging="567"/>
        <w:rPr>
          <w:rFonts w:cs="Arial"/>
          <w:sz w:val="18"/>
          <w:szCs w:val="18"/>
        </w:rPr>
      </w:pPr>
      <w:r w:rsidRPr="007222E9">
        <w:rPr>
          <w:rFonts w:eastAsia="Calibri"/>
          <w:sz w:val="18"/>
          <w:szCs w:val="18"/>
        </w:rPr>
        <w:t xml:space="preserve">development </w:t>
      </w:r>
      <w:r>
        <w:rPr>
          <w:sz w:val="18"/>
          <w:szCs w:val="18"/>
        </w:rPr>
        <w:t xml:space="preserve">encourages and facilitates </w:t>
      </w:r>
      <w:r w:rsidRPr="007222E9">
        <w:rPr>
          <w:sz w:val="18"/>
          <w:szCs w:val="18"/>
        </w:rPr>
        <w:t xml:space="preserve">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sz w:val="18"/>
          <w:szCs w:val="18"/>
        </w:rPr>
        <w:t>;</w:t>
      </w:r>
      <w:r w:rsidRPr="007222E9">
        <w:rPr>
          <w:sz w:val="18"/>
          <w:szCs w:val="18"/>
        </w:rPr>
        <w:t xml:space="preserve"> </w:t>
      </w:r>
      <w:r>
        <w:rPr>
          <w:sz w:val="18"/>
          <w:szCs w:val="18"/>
        </w:rPr>
        <w:t>and</w:t>
      </w:r>
    </w:p>
    <w:p w14:paraId="2BFC8AFB" w14:textId="77777777" w:rsidR="00900827" w:rsidRPr="007222E9" w:rsidRDefault="00900827" w:rsidP="00900827">
      <w:pPr>
        <w:pStyle w:val="ListParagraph"/>
        <w:rPr>
          <w:rFonts w:cs="Arial"/>
          <w:sz w:val="18"/>
          <w:szCs w:val="18"/>
        </w:rPr>
      </w:pPr>
    </w:p>
    <w:p w14:paraId="126C7AAE" w14:textId="77777777" w:rsidR="00900827" w:rsidRPr="0067382B" w:rsidRDefault="00900827" w:rsidP="00900827">
      <w:pPr>
        <w:numPr>
          <w:ilvl w:val="1"/>
          <w:numId w:val="31"/>
        </w:numPr>
        <w:tabs>
          <w:tab w:val="clear" w:pos="1440"/>
        </w:tabs>
        <w:ind w:left="1134" w:hanging="567"/>
        <w:rPr>
          <w:rFonts w:cs="Arial"/>
          <w:sz w:val="18"/>
          <w:szCs w:val="18"/>
        </w:rPr>
      </w:pPr>
      <w:r w:rsidRPr="005C7660">
        <w:rPr>
          <w:rFonts w:cs="Arial"/>
          <w:sz w:val="18"/>
          <w:szCs w:val="18"/>
        </w:rPr>
        <w:lastRenderedPageBreak/>
        <w:t xml:space="preserve">in addition to the overall outcomes for the zone generally, </w:t>
      </w:r>
      <w:r w:rsidRPr="005C7660">
        <w:rPr>
          <w:sz w:val="18"/>
          <w:szCs w:val="18"/>
        </w:rPr>
        <w:t xml:space="preserve">development in </w:t>
      </w:r>
      <w:r w:rsidRPr="005C7660">
        <w:rPr>
          <w:b/>
          <w:sz w:val="18"/>
          <w:szCs w:val="18"/>
        </w:rPr>
        <w:t xml:space="preserve">Precinct LDZ1 (Limited residential precinct) </w:t>
      </w:r>
      <w:r w:rsidRPr="005C7660">
        <w:rPr>
          <w:sz w:val="18"/>
          <w:szCs w:val="18"/>
        </w:rPr>
        <w:t>does not materially intensify residential activities on premises located in high flood hazard areas.</w:t>
      </w:r>
    </w:p>
    <w:p w14:paraId="00E3480A" w14:textId="77777777" w:rsidR="00344449" w:rsidRPr="005C7660" w:rsidRDefault="00344449" w:rsidP="00344449">
      <w:pPr>
        <w:ind w:right="5951"/>
        <w:rPr>
          <w:rFonts w:cs="Arial"/>
          <w:sz w:val="18"/>
          <w:szCs w:val="18"/>
        </w:rPr>
      </w:pPr>
    </w:p>
    <w:p w14:paraId="2A4F5B43" w14:textId="77777777" w:rsidR="00344449" w:rsidRDefault="00344449" w:rsidP="00344449">
      <w:pPr>
        <w:pStyle w:val="Heading4"/>
        <w:spacing w:before="100" w:after="200"/>
        <w:ind w:right="5951"/>
      </w:pPr>
      <w:r>
        <w:t>Specific benchmarks for assessment</w:t>
      </w:r>
    </w:p>
    <w:p w14:paraId="416CD296" w14:textId="77777777" w:rsidR="00344449" w:rsidRPr="004E4893" w:rsidRDefault="00344449" w:rsidP="00344449">
      <w:pPr>
        <w:keepNext/>
        <w:spacing w:before="100" w:after="200"/>
        <w:ind w:left="1701" w:right="5951" w:hanging="1701"/>
        <w:outlineLvl w:val="6"/>
        <w:rPr>
          <w:b/>
          <w:bCs/>
          <w:iCs/>
        </w:rPr>
      </w:pPr>
      <w:bookmarkStart w:id="6" w:name="_Toc422825363"/>
      <w:bookmarkStart w:id="7" w:name="_Toc422826656"/>
      <w:r w:rsidRPr="004E4893">
        <w:rPr>
          <w:b/>
          <w:bCs/>
          <w:iCs/>
        </w:rPr>
        <w:t>Table 6.2.</w:t>
      </w:r>
      <w:r>
        <w:rPr>
          <w:b/>
          <w:bCs/>
          <w:iCs/>
        </w:rPr>
        <w:t>16</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00"/>
        <w:gridCol w:w="4601"/>
        <w:gridCol w:w="4601"/>
      </w:tblGrid>
      <w:tr w:rsidR="00900827" w:rsidRPr="00084AFB" w14:paraId="4A981BA4" w14:textId="5719533E" w:rsidTr="00900827">
        <w:trPr>
          <w:tblHeader/>
        </w:trPr>
        <w:tc>
          <w:tcPr>
            <w:tcW w:w="4600" w:type="dxa"/>
            <w:shd w:val="solid" w:color="auto" w:fill="auto"/>
          </w:tcPr>
          <w:p w14:paraId="7C07CFAB" w14:textId="77777777" w:rsidR="00900827" w:rsidRPr="00084AFB" w:rsidRDefault="00900827" w:rsidP="005B0BEC">
            <w:pPr>
              <w:pStyle w:val="ListParagraph"/>
              <w:keepNext/>
              <w:ind w:left="0"/>
              <w:rPr>
                <w:rFonts w:cs="Arial"/>
                <w:b/>
                <w:sz w:val="18"/>
                <w:szCs w:val="18"/>
              </w:rPr>
            </w:pPr>
            <w:r w:rsidRPr="00084AFB">
              <w:rPr>
                <w:rFonts w:cs="Arial"/>
                <w:b/>
                <w:sz w:val="18"/>
                <w:szCs w:val="18"/>
              </w:rPr>
              <w:t>Performance outcomes</w:t>
            </w:r>
          </w:p>
        </w:tc>
        <w:tc>
          <w:tcPr>
            <w:tcW w:w="4601" w:type="dxa"/>
            <w:shd w:val="solid" w:color="auto" w:fill="auto"/>
          </w:tcPr>
          <w:p w14:paraId="52B6D1B6" w14:textId="77777777" w:rsidR="00900827" w:rsidRPr="00084AFB" w:rsidRDefault="00900827" w:rsidP="005B0BEC">
            <w:pPr>
              <w:pStyle w:val="ListParagraph"/>
              <w:ind w:left="0"/>
              <w:rPr>
                <w:rFonts w:cs="Arial"/>
                <w:b/>
                <w:sz w:val="18"/>
                <w:szCs w:val="18"/>
              </w:rPr>
            </w:pPr>
            <w:r w:rsidRPr="00084AFB">
              <w:rPr>
                <w:rFonts w:cs="Arial"/>
                <w:b/>
                <w:sz w:val="18"/>
                <w:szCs w:val="18"/>
              </w:rPr>
              <w:t>Acceptable outcomes</w:t>
            </w:r>
          </w:p>
        </w:tc>
        <w:tc>
          <w:tcPr>
            <w:tcW w:w="4601" w:type="dxa"/>
            <w:shd w:val="solid" w:color="auto" w:fill="auto"/>
          </w:tcPr>
          <w:p w14:paraId="019B5089" w14:textId="4EA25247" w:rsidR="00900827" w:rsidRPr="00084AFB" w:rsidRDefault="00900827" w:rsidP="005B0BEC">
            <w:pPr>
              <w:pStyle w:val="ListParagraph"/>
              <w:ind w:left="0"/>
              <w:rPr>
                <w:rFonts w:cs="Arial"/>
                <w:b/>
                <w:sz w:val="18"/>
                <w:szCs w:val="18"/>
              </w:rPr>
            </w:pPr>
            <w:r>
              <w:rPr>
                <w:rFonts w:cs="Arial"/>
                <w:b/>
                <w:sz w:val="18"/>
                <w:szCs w:val="18"/>
              </w:rPr>
              <w:t xml:space="preserve">Compliance / Representations </w:t>
            </w:r>
          </w:p>
        </w:tc>
      </w:tr>
      <w:tr w:rsidR="00900827" w:rsidRPr="00084AFB" w14:paraId="0A7BACD0" w14:textId="3E6D5789" w:rsidTr="00AC3911">
        <w:tc>
          <w:tcPr>
            <w:tcW w:w="13802" w:type="dxa"/>
            <w:gridSpan w:val="3"/>
            <w:shd w:val="clear" w:color="auto" w:fill="D9D9D9"/>
          </w:tcPr>
          <w:p w14:paraId="03C3EC5B" w14:textId="0E708092" w:rsidR="00900827" w:rsidRDefault="00900827" w:rsidP="005B0BEC">
            <w:pPr>
              <w:pStyle w:val="ListParagraph"/>
              <w:keepNext/>
              <w:ind w:left="0"/>
              <w:rPr>
                <w:rFonts w:cs="Arial"/>
                <w:b/>
                <w:i/>
                <w:sz w:val="18"/>
                <w:szCs w:val="18"/>
              </w:rPr>
            </w:pPr>
            <w:r>
              <w:rPr>
                <w:rFonts w:cs="Arial"/>
                <w:b/>
                <w:i/>
                <w:sz w:val="18"/>
                <w:szCs w:val="18"/>
              </w:rPr>
              <w:t>Land use composition</w:t>
            </w:r>
          </w:p>
        </w:tc>
      </w:tr>
      <w:tr w:rsidR="00900827" w:rsidRPr="00084AFB" w14:paraId="299DAD7D" w14:textId="0E4F05E0" w:rsidTr="00900827">
        <w:tc>
          <w:tcPr>
            <w:tcW w:w="4600" w:type="dxa"/>
            <w:shd w:val="clear" w:color="auto" w:fill="auto"/>
          </w:tcPr>
          <w:p w14:paraId="45A14C21" w14:textId="77777777" w:rsidR="00900827" w:rsidRPr="00DD61F4" w:rsidRDefault="00900827" w:rsidP="005B0BEC">
            <w:pPr>
              <w:pStyle w:val="ListParagraph"/>
              <w:ind w:left="0"/>
              <w:rPr>
                <w:rFonts w:cs="Arial"/>
                <w:b/>
                <w:sz w:val="18"/>
                <w:szCs w:val="18"/>
              </w:rPr>
            </w:pPr>
            <w:r w:rsidRPr="00DD61F4">
              <w:rPr>
                <w:rFonts w:cs="Arial"/>
                <w:b/>
                <w:sz w:val="18"/>
                <w:szCs w:val="18"/>
              </w:rPr>
              <w:t>PO</w:t>
            </w:r>
            <w:r>
              <w:rPr>
                <w:rFonts w:cs="Arial"/>
                <w:b/>
                <w:sz w:val="18"/>
                <w:szCs w:val="18"/>
              </w:rPr>
              <w:t>1</w:t>
            </w:r>
          </w:p>
          <w:p w14:paraId="57F25A0A" w14:textId="77777777" w:rsidR="00900827" w:rsidRDefault="00900827" w:rsidP="005B0BEC">
            <w:pPr>
              <w:rPr>
                <w:rFonts w:eastAsia="Calibri"/>
                <w:sz w:val="18"/>
                <w:szCs w:val="18"/>
              </w:rPr>
            </w:pPr>
            <w:r>
              <w:rPr>
                <w:rFonts w:eastAsia="Calibri"/>
                <w:sz w:val="18"/>
                <w:szCs w:val="18"/>
              </w:rPr>
              <w:t>D</w:t>
            </w:r>
            <w:r w:rsidRPr="007222E9">
              <w:rPr>
                <w:rFonts w:eastAsia="Calibri"/>
                <w:sz w:val="18"/>
                <w:szCs w:val="18"/>
              </w:rPr>
              <w:t>evelopment</w:t>
            </w:r>
            <w:r>
              <w:rPr>
                <w:rFonts w:eastAsia="Calibri"/>
                <w:sz w:val="18"/>
                <w:szCs w:val="18"/>
              </w:rPr>
              <w:t xml:space="preserve"> in the zone</w:t>
            </w:r>
            <w:r w:rsidRPr="007222E9">
              <w:rPr>
                <w:rFonts w:eastAsia="Calibri"/>
                <w:sz w:val="18"/>
                <w:szCs w:val="18"/>
              </w:rPr>
              <w:t xml:space="preserve"> is generally limited to pre-existing uses or new uses of a low-intensity, non-urban or rural nature</w:t>
            </w:r>
            <w:r>
              <w:rPr>
                <w:rFonts w:eastAsia="Calibri"/>
                <w:sz w:val="18"/>
                <w:szCs w:val="18"/>
              </w:rPr>
              <w:t>.</w:t>
            </w:r>
          </w:p>
          <w:p w14:paraId="0775197D" w14:textId="77777777" w:rsidR="00900827" w:rsidRDefault="00900827" w:rsidP="005B0BEC">
            <w:pPr>
              <w:rPr>
                <w:rFonts w:eastAsia="Calibri"/>
                <w:sz w:val="18"/>
                <w:szCs w:val="18"/>
              </w:rPr>
            </w:pPr>
          </w:p>
          <w:p w14:paraId="325F7A72" w14:textId="77777777" w:rsidR="00900827" w:rsidRPr="001B2F33" w:rsidRDefault="00900827" w:rsidP="005B0BEC">
            <w:pPr>
              <w:rPr>
                <w:rFonts w:eastAsia="Calibri"/>
                <w:sz w:val="16"/>
                <w:szCs w:val="16"/>
              </w:rPr>
            </w:pPr>
            <w:r w:rsidRPr="001B2F33">
              <w:rPr>
                <w:rFonts w:eastAsia="Calibri"/>
                <w:sz w:val="16"/>
                <w:szCs w:val="16"/>
              </w:rPr>
              <w:t>Notes—such uses include animal husbandry, cropping, wholesale nursery, park, environment facility and utility installation.</w:t>
            </w:r>
          </w:p>
        </w:tc>
        <w:tc>
          <w:tcPr>
            <w:tcW w:w="4601" w:type="dxa"/>
            <w:shd w:val="clear" w:color="auto" w:fill="auto"/>
          </w:tcPr>
          <w:p w14:paraId="13E93D6F"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1</w:t>
            </w:r>
          </w:p>
          <w:p w14:paraId="75E692E1" w14:textId="77777777" w:rsidR="00900827"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08A1194D" w14:textId="0560376F"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900827" w:rsidRPr="00084AFB" w14:paraId="19D7D266" w14:textId="275457EC" w:rsidTr="00900827">
        <w:tc>
          <w:tcPr>
            <w:tcW w:w="4600" w:type="dxa"/>
            <w:shd w:val="clear" w:color="auto" w:fill="auto"/>
          </w:tcPr>
          <w:p w14:paraId="21154FAE" w14:textId="77777777" w:rsidR="00900827" w:rsidRPr="001B2F33" w:rsidRDefault="00900827" w:rsidP="005B0BEC">
            <w:pPr>
              <w:pStyle w:val="ListParagraph"/>
              <w:ind w:left="0"/>
              <w:rPr>
                <w:rFonts w:eastAsia="Calibri"/>
                <w:b/>
                <w:sz w:val="18"/>
                <w:szCs w:val="18"/>
              </w:rPr>
            </w:pPr>
            <w:r w:rsidRPr="001B2F33">
              <w:rPr>
                <w:rFonts w:eastAsia="Calibri"/>
                <w:b/>
                <w:sz w:val="18"/>
                <w:szCs w:val="18"/>
              </w:rPr>
              <w:t>PO</w:t>
            </w:r>
            <w:r>
              <w:rPr>
                <w:rFonts w:eastAsia="Calibri"/>
                <w:b/>
                <w:sz w:val="18"/>
                <w:szCs w:val="18"/>
              </w:rPr>
              <w:t>2</w:t>
            </w:r>
          </w:p>
          <w:p w14:paraId="499E93B0" w14:textId="77777777" w:rsidR="00900827" w:rsidRPr="00DD61F4" w:rsidRDefault="00900827" w:rsidP="005B0BEC">
            <w:pPr>
              <w:pStyle w:val="ListParagraph"/>
              <w:ind w:left="0"/>
              <w:rPr>
                <w:rFonts w:cs="Arial"/>
                <w:b/>
                <w:sz w:val="18"/>
                <w:szCs w:val="18"/>
              </w:rPr>
            </w:pPr>
            <w:r>
              <w:rPr>
                <w:rFonts w:eastAsia="Calibri"/>
                <w:sz w:val="18"/>
                <w:szCs w:val="18"/>
              </w:rPr>
              <w:t>I</w:t>
            </w:r>
            <w:r w:rsidRPr="00C01583">
              <w:rPr>
                <w:rFonts w:eastAsia="Calibri"/>
                <w:sz w:val="18"/>
                <w:szCs w:val="18"/>
              </w:rPr>
              <w:t>ndividual dwelling houses may only be established in the zone where they are located, sited and designed to mitigate the impact of the constraints on the safety and wellbeing of residents</w:t>
            </w:r>
            <w:r>
              <w:rPr>
                <w:rFonts w:eastAsia="Calibri"/>
                <w:sz w:val="18"/>
                <w:szCs w:val="18"/>
              </w:rPr>
              <w:t>.</w:t>
            </w:r>
          </w:p>
        </w:tc>
        <w:tc>
          <w:tcPr>
            <w:tcW w:w="4601" w:type="dxa"/>
            <w:shd w:val="clear" w:color="auto" w:fill="auto"/>
          </w:tcPr>
          <w:p w14:paraId="639499BB"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2</w:t>
            </w:r>
          </w:p>
          <w:p w14:paraId="56DA901F"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69BDAE02" w14:textId="6A6543DD"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6EAC8D79" w14:textId="2CC96230" w:rsidTr="00EE7B92">
        <w:tc>
          <w:tcPr>
            <w:tcW w:w="13802" w:type="dxa"/>
            <w:gridSpan w:val="3"/>
            <w:shd w:val="clear" w:color="auto" w:fill="D9D9D9"/>
          </w:tcPr>
          <w:p w14:paraId="44C88EA6" w14:textId="52CF50E0" w:rsidR="00900827" w:rsidRDefault="00900827" w:rsidP="005B0BEC">
            <w:pPr>
              <w:pStyle w:val="ListParagraph"/>
              <w:ind w:left="0"/>
              <w:rPr>
                <w:rFonts w:cs="Arial"/>
                <w:b/>
                <w:i/>
                <w:sz w:val="18"/>
                <w:szCs w:val="18"/>
              </w:rPr>
            </w:pPr>
            <w:r>
              <w:rPr>
                <w:rFonts w:cs="Arial"/>
                <w:b/>
                <w:i/>
                <w:sz w:val="18"/>
                <w:szCs w:val="18"/>
              </w:rPr>
              <w:t>Reconfiguring a lot</w:t>
            </w:r>
          </w:p>
        </w:tc>
      </w:tr>
      <w:tr w:rsidR="00900827" w:rsidRPr="00084AFB" w14:paraId="4EC7C6A8" w14:textId="5D154D85" w:rsidTr="00900827">
        <w:tc>
          <w:tcPr>
            <w:tcW w:w="4600" w:type="dxa"/>
            <w:shd w:val="clear" w:color="auto" w:fill="auto"/>
          </w:tcPr>
          <w:p w14:paraId="6CBC6007" w14:textId="77777777" w:rsidR="00900827" w:rsidRPr="00A84ADD" w:rsidRDefault="00900827" w:rsidP="005B0BEC">
            <w:pPr>
              <w:rPr>
                <w:b/>
                <w:sz w:val="18"/>
                <w:szCs w:val="18"/>
              </w:rPr>
            </w:pPr>
            <w:r w:rsidRPr="00A84ADD">
              <w:rPr>
                <w:b/>
                <w:sz w:val="18"/>
                <w:szCs w:val="18"/>
              </w:rPr>
              <w:t>PO</w:t>
            </w:r>
            <w:r>
              <w:rPr>
                <w:b/>
                <w:sz w:val="18"/>
                <w:szCs w:val="18"/>
              </w:rPr>
              <w:t>3</w:t>
            </w:r>
          </w:p>
          <w:p w14:paraId="11BCDD2A" w14:textId="77777777" w:rsidR="00900827" w:rsidRPr="007222E9" w:rsidRDefault="00900827" w:rsidP="005B0BEC">
            <w:pPr>
              <w:rPr>
                <w:sz w:val="18"/>
                <w:szCs w:val="18"/>
              </w:rPr>
            </w:pPr>
            <w:r>
              <w:rPr>
                <w:sz w:val="18"/>
                <w:szCs w:val="18"/>
              </w:rPr>
              <w:t>N</w:t>
            </w:r>
            <w:r w:rsidRPr="007222E9">
              <w:rPr>
                <w:sz w:val="18"/>
                <w:szCs w:val="18"/>
              </w:rPr>
              <w:t>o additional lots are created in the zone, unless the subdivision is for the purposes of accommodating any of the following uses:-</w:t>
            </w:r>
          </w:p>
          <w:p w14:paraId="157D4809" w14:textId="77777777" w:rsidR="00900827" w:rsidRPr="007222E9" w:rsidRDefault="00900827" w:rsidP="00900827">
            <w:pPr>
              <w:numPr>
                <w:ilvl w:val="0"/>
                <w:numId w:val="90"/>
              </w:numPr>
              <w:ind w:left="425" w:hanging="425"/>
              <w:rPr>
                <w:sz w:val="18"/>
                <w:szCs w:val="18"/>
              </w:rPr>
            </w:pPr>
            <w:r w:rsidRPr="007222E9">
              <w:rPr>
                <w:sz w:val="18"/>
                <w:szCs w:val="18"/>
              </w:rPr>
              <w:t>emergency services;</w:t>
            </w:r>
          </w:p>
          <w:p w14:paraId="02414875" w14:textId="77777777" w:rsidR="00900827" w:rsidRPr="007222E9" w:rsidRDefault="00900827" w:rsidP="00900827">
            <w:pPr>
              <w:numPr>
                <w:ilvl w:val="0"/>
                <w:numId w:val="90"/>
              </w:numPr>
              <w:ind w:left="425" w:hanging="425"/>
              <w:rPr>
                <w:sz w:val="18"/>
                <w:szCs w:val="18"/>
              </w:rPr>
            </w:pPr>
            <w:r w:rsidRPr="007222E9">
              <w:rPr>
                <w:sz w:val="18"/>
                <w:szCs w:val="18"/>
              </w:rPr>
              <w:t>water cycle management infrastructure;</w:t>
            </w:r>
          </w:p>
          <w:p w14:paraId="1D85530C" w14:textId="77777777" w:rsidR="00900827" w:rsidRPr="007222E9" w:rsidRDefault="00900827" w:rsidP="00900827">
            <w:pPr>
              <w:numPr>
                <w:ilvl w:val="0"/>
                <w:numId w:val="90"/>
              </w:numPr>
              <w:ind w:left="425" w:hanging="425"/>
              <w:rPr>
                <w:sz w:val="18"/>
                <w:szCs w:val="18"/>
              </w:rPr>
            </w:pPr>
            <w:r w:rsidRPr="007222E9">
              <w:rPr>
                <w:sz w:val="18"/>
                <w:szCs w:val="18"/>
              </w:rPr>
              <w:t>a telecommunications facility; or</w:t>
            </w:r>
          </w:p>
          <w:p w14:paraId="1ECFC316" w14:textId="77777777" w:rsidR="00900827" w:rsidRPr="001B2F33" w:rsidRDefault="00900827" w:rsidP="00900827">
            <w:pPr>
              <w:numPr>
                <w:ilvl w:val="0"/>
                <w:numId w:val="90"/>
              </w:numPr>
              <w:ind w:left="425" w:hanging="425"/>
              <w:rPr>
                <w:rFonts w:eastAsia="Calibri"/>
                <w:b/>
                <w:sz w:val="18"/>
                <w:szCs w:val="18"/>
              </w:rPr>
            </w:pPr>
            <w:r w:rsidRPr="007222E9">
              <w:rPr>
                <w:sz w:val="18"/>
                <w:szCs w:val="18"/>
              </w:rPr>
              <w:t>electricity infrastructure</w:t>
            </w:r>
            <w:r>
              <w:rPr>
                <w:sz w:val="18"/>
                <w:szCs w:val="18"/>
              </w:rPr>
              <w:t>.</w:t>
            </w:r>
          </w:p>
        </w:tc>
        <w:tc>
          <w:tcPr>
            <w:tcW w:w="4601" w:type="dxa"/>
            <w:shd w:val="clear" w:color="auto" w:fill="auto"/>
          </w:tcPr>
          <w:p w14:paraId="237BF7AA"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3</w:t>
            </w:r>
          </w:p>
          <w:p w14:paraId="65D8F1F9"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154BD1A5" w14:textId="5FE095FE"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2F0D5F22" w14:textId="18B650C1" w:rsidTr="00D1676E">
        <w:tc>
          <w:tcPr>
            <w:tcW w:w="13802" w:type="dxa"/>
            <w:gridSpan w:val="3"/>
            <w:shd w:val="clear" w:color="auto" w:fill="D9D9D9"/>
          </w:tcPr>
          <w:p w14:paraId="2544BD3A" w14:textId="2C445939" w:rsidR="00900827" w:rsidRDefault="00900827" w:rsidP="005B0BEC">
            <w:pPr>
              <w:pStyle w:val="ListParagraph"/>
              <w:ind w:left="0"/>
              <w:rPr>
                <w:rFonts w:cs="Arial"/>
                <w:b/>
                <w:i/>
                <w:sz w:val="18"/>
                <w:szCs w:val="18"/>
              </w:rPr>
            </w:pPr>
            <w:r>
              <w:rPr>
                <w:rFonts w:cs="Arial"/>
                <w:b/>
                <w:i/>
                <w:sz w:val="18"/>
                <w:szCs w:val="18"/>
              </w:rPr>
              <w:t>Historical subdivisions</w:t>
            </w:r>
          </w:p>
        </w:tc>
      </w:tr>
      <w:tr w:rsidR="00900827" w:rsidRPr="00084AFB" w14:paraId="7D87E4EB" w14:textId="591C2DFD" w:rsidTr="00900827">
        <w:tc>
          <w:tcPr>
            <w:tcW w:w="4600" w:type="dxa"/>
            <w:shd w:val="clear" w:color="auto" w:fill="auto"/>
          </w:tcPr>
          <w:p w14:paraId="2F0769A7" w14:textId="77777777" w:rsidR="00900827" w:rsidRDefault="00900827" w:rsidP="005B0BEC">
            <w:pPr>
              <w:rPr>
                <w:b/>
                <w:sz w:val="18"/>
                <w:szCs w:val="18"/>
              </w:rPr>
            </w:pPr>
            <w:r w:rsidRPr="00A84ADD">
              <w:rPr>
                <w:b/>
                <w:sz w:val="18"/>
                <w:szCs w:val="18"/>
              </w:rPr>
              <w:t>PO</w:t>
            </w:r>
            <w:r>
              <w:rPr>
                <w:b/>
                <w:sz w:val="18"/>
                <w:szCs w:val="18"/>
              </w:rPr>
              <w:t>4</w:t>
            </w:r>
          </w:p>
          <w:p w14:paraId="4A6CFE63" w14:textId="77777777" w:rsidR="00900827" w:rsidRDefault="00900827" w:rsidP="005B0BEC">
            <w:pPr>
              <w:rPr>
                <w:sz w:val="18"/>
                <w:szCs w:val="18"/>
              </w:rPr>
            </w:pPr>
            <w:r>
              <w:rPr>
                <w:sz w:val="18"/>
                <w:szCs w:val="18"/>
              </w:rPr>
              <w:t>Historical subdivisions included in the zone may only be further developed for residential purposes subject to appropriate address of the following matters:-</w:t>
            </w:r>
          </w:p>
          <w:p w14:paraId="52680A2F" w14:textId="77777777" w:rsidR="00900827" w:rsidRDefault="00900827" w:rsidP="00900827">
            <w:pPr>
              <w:numPr>
                <w:ilvl w:val="0"/>
                <w:numId w:val="91"/>
              </w:numPr>
              <w:ind w:left="425" w:hanging="425"/>
              <w:rPr>
                <w:sz w:val="18"/>
                <w:szCs w:val="18"/>
              </w:rPr>
            </w:pPr>
            <w:r>
              <w:rPr>
                <w:sz w:val="18"/>
                <w:szCs w:val="18"/>
              </w:rPr>
              <w:t>the availability and provision of supporting infrastructure and services to adequately service the development; and</w:t>
            </w:r>
          </w:p>
          <w:p w14:paraId="7C5B8E54" w14:textId="77777777" w:rsidR="00900827" w:rsidRDefault="00900827" w:rsidP="00900827">
            <w:pPr>
              <w:numPr>
                <w:ilvl w:val="0"/>
                <w:numId w:val="91"/>
              </w:numPr>
              <w:ind w:left="425" w:hanging="425"/>
              <w:rPr>
                <w:sz w:val="18"/>
                <w:szCs w:val="18"/>
              </w:rPr>
            </w:pPr>
            <w:r>
              <w:rPr>
                <w:sz w:val="18"/>
                <w:szCs w:val="18"/>
              </w:rPr>
              <w:t>the need to potentially reconfigure the historical subdivision pattern and layout to provide a more contemporary response to:-</w:t>
            </w:r>
          </w:p>
          <w:p w14:paraId="5F7023E0" w14:textId="77777777" w:rsidR="00900827" w:rsidRDefault="00900827" w:rsidP="00900827">
            <w:pPr>
              <w:numPr>
                <w:ilvl w:val="2"/>
                <w:numId w:val="31"/>
              </w:numPr>
              <w:tabs>
                <w:tab w:val="clear" w:pos="2160"/>
              </w:tabs>
              <w:ind w:left="851" w:hanging="425"/>
              <w:rPr>
                <w:sz w:val="18"/>
                <w:szCs w:val="18"/>
              </w:rPr>
            </w:pPr>
            <w:r>
              <w:rPr>
                <w:sz w:val="18"/>
                <w:szCs w:val="18"/>
              </w:rPr>
              <w:t>physical and environmental constraints;</w:t>
            </w:r>
          </w:p>
          <w:p w14:paraId="6C1D2FD9" w14:textId="77777777" w:rsidR="00900827" w:rsidRDefault="00900827" w:rsidP="00900827">
            <w:pPr>
              <w:numPr>
                <w:ilvl w:val="2"/>
                <w:numId w:val="31"/>
              </w:numPr>
              <w:tabs>
                <w:tab w:val="clear" w:pos="2160"/>
              </w:tabs>
              <w:ind w:left="851" w:hanging="425"/>
              <w:rPr>
                <w:sz w:val="18"/>
                <w:szCs w:val="18"/>
              </w:rPr>
            </w:pPr>
            <w:r>
              <w:rPr>
                <w:sz w:val="18"/>
                <w:szCs w:val="18"/>
              </w:rPr>
              <w:t>natural hazards;</w:t>
            </w:r>
          </w:p>
          <w:p w14:paraId="36C1921E" w14:textId="77777777" w:rsidR="00900827" w:rsidRDefault="00900827" w:rsidP="00900827">
            <w:pPr>
              <w:numPr>
                <w:ilvl w:val="2"/>
                <w:numId w:val="31"/>
              </w:numPr>
              <w:tabs>
                <w:tab w:val="clear" w:pos="2160"/>
              </w:tabs>
              <w:ind w:left="851" w:hanging="425"/>
              <w:rPr>
                <w:sz w:val="18"/>
                <w:szCs w:val="18"/>
              </w:rPr>
            </w:pPr>
            <w:r>
              <w:rPr>
                <w:sz w:val="18"/>
                <w:szCs w:val="18"/>
              </w:rPr>
              <w:t>topography;</w:t>
            </w:r>
          </w:p>
          <w:p w14:paraId="3B0F4D29" w14:textId="77777777" w:rsidR="00900827" w:rsidRDefault="00900827" w:rsidP="00900827">
            <w:pPr>
              <w:numPr>
                <w:ilvl w:val="2"/>
                <w:numId w:val="31"/>
              </w:numPr>
              <w:tabs>
                <w:tab w:val="clear" w:pos="2160"/>
              </w:tabs>
              <w:ind w:left="851" w:hanging="425"/>
              <w:rPr>
                <w:sz w:val="18"/>
                <w:szCs w:val="18"/>
              </w:rPr>
            </w:pPr>
            <w:r>
              <w:rPr>
                <w:sz w:val="18"/>
                <w:szCs w:val="18"/>
              </w:rPr>
              <w:lastRenderedPageBreak/>
              <w:t>on-site effluent treatment and disposal (where sewerage is not available);</w:t>
            </w:r>
          </w:p>
          <w:p w14:paraId="550FE394" w14:textId="77777777" w:rsidR="00900827" w:rsidRDefault="00900827" w:rsidP="00900827">
            <w:pPr>
              <w:numPr>
                <w:ilvl w:val="2"/>
                <w:numId w:val="31"/>
              </w:numPr>
              <w:tabs>
                <w:tab w:val="clear" w:pos="2160"/>
              </w:tabs>
              <w:ind w:left="851" w:hanging="425"/>
              <w:rPr>
                <w:sz w:val="18"/>
                <w:szCs w:val="18"/>
              </w:rPr>
            </w:pPr>
            <w:r>
              <w:rPr>
                <w:sz w:val="18"/>
                <w:szCs w:val="18"/>
              </w:rPr>
              <w:t xml:space="preserve">accessibility; and </w:t>
            </w:r>
          </w:p>
          <w:p w14:paraId="5D9A7BC2" w14:textId="77777777" w:rsidR="00900827" w:rsidRPr="005F2F28" w:rsidRDefault="00900827" w:rsidP="00900827">
            <w:pPr>
              <w:numPr>
                <w:ilvl w:val="2"/>
                <w:numId w:val="31"/>
              </w:numPr>
              <w:tabs>
                <w:tab w:val="clear" w:pos="2160"/>
              </w:tabs>
              <w:ind w:left="851" w:hanging="425"/>
              <w:rPr>
                <w:sz w:val="18"/>
                <w:szCs w:val="18"/>
              </w:rPr>
            </w:pPr>
            <w:r>
              <w:rPr>
                <w:sz w:val="18"/>
                <w:szCs w:val="18"/>
              </w:rPr>
              <w:t>management of potential land use conflicts.</w:t>
            </w:r>
          </w:p>
        </w:tc>
        <w:tc>
          <w:tcPr>
            <w:tcW w:w="4601" w:type="dxa"/>
            <w:shd w:val="clear" w:color="auto" w:fill="auto"/>
          </w:tcPr>
          <w:p w14:paraId="0A8A96E6" w14:textId="77777777" w:rsidR="00900827" w:rsidRPr="00B2594D" w:rsidRDefault="00900827" w:rsidP="005B0BEC">
            <w:pPr>
              <w:pStyle w:val="ListParagraph"/>
              <w:ind w:left="0"/>
              <w:rPr>
                <w:rFonts w:cs="Arial"/>
                <w:b/>
                <w:sz w:val="18"/>
                <w:szCs w:val="18"/>
              </w:rPr>
            </w:pPr>
            <w:r w:rsidRPr="00B2594D">
              <w:rPr>
                <w:rFonts w:cs="Arial"/>
                <w:b/>
                <w:sz w:val="18"/>
                <w:szCs w:val="18"/>
              </w:rPr>
              <w:lastRenderedPageBreak/>
              <w:t>AO</w:t>
            </w:r>
            <w:r>
              <w:rPr>
                <w:rFonts w:cs="Arial"/>
                <w:b/>
                <w:sz w:val="18"/>
                <w:szCs w:val="18"/>
              </w:rPr>
              <w:t>4</w:t>
            </w:r>
          </w:p>
          <w:p w14:paraId="01CBABBB"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291D2D89" w14:textId="4B8260E9"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23892710" w14:textId="5F68A674" w:rsidTr="009F601D">
        <w:tc>
          <w:tcPr>
            <w:tcW w:w="13802" w:type="dxa"/>
            <w:gridSpan w:val="3"/>
            <w:shd w:val="clear" w:color="auto" w:fill="D9D9D9"/>
          </w:tcPr>
          <w:p w14:paraId="4CC68722" w14:textId="067CAD1A" w:rsidR="00900827" w:rsidRDefault="00900827" w:rsidP="005B0BEC">
            <w:pPr>
              <w:pStyle w:val="ListParagraph"/>
              <w:ind w:left="0"/>
              <w:rPr>
                <w:rFonts w:cs="Arial"/>
                <w:b/>
                <w:i/>
                <w:sz w:val="18"/>
                <w:szCs w:val="18"/>
              </w:rPr>
            </w:pPr>
            <w:r>
              <w:rPr>
                <w:rFonts w:cs="Arial"/>
                <w:b/>
                <w:i/>
                <w:sz w:val="18"/>
                <w:szCs w:val="18"/>
              </w:rPr>
              <w:t>Building height</w:t>
            </w:r>
          </w:p>
        </w:tc>
      </w:tr>
      <w:tr w:rsidR="00900827" w:rsidRPr="00084AFB" w14:paraId="61395F74" w14:textId="773AF8C4" w:rsidTr="00900827">
        <w:tc>
          <w:tcPr>
            <w:tcW w:w="4600" w:type="dxa"/>
            <w:shd w:val="clear" w:color="auto" w:fill="auto"/>
          </w:tcPr>
          <w:p w14:paraId="5FAC47CF" w14:textId="77777777" w:rsidR="00900827" w:rsidRPr="001B2F33" w:rsidRDefault="00900827" w:rsidP="005B0BEC">
            <w:pPr>
              <w:pStyle w:val="ListParagraph"/>
              <w:ind w:left="0"/>
              <w:rPr>
                <w:b/>
                <w:sz w:val="18"/>
                <w:szCs w:val="18"/>
              </w:rPr>
            </w:pPr>
            <w:r w:rsidRPr="001B2F33">
              <w:rPr>
                <w:b/>
                <w:sz w:val="18"/>
                <w:szCs w:val="18"/>
              </w:rPr>
              <w:t>PO</w:t>
            </w:r>
            <w:r>
              <w:rPr>
                <w:b/>
                <w:sz w:val="18"/>
                <w:szCs w:val="18"/>
              </w:rPr>
              <w:t>5</w:t>
            </w:r>
          </w:p>
          <w:p w14:paraId="6F4BB679" w14:textId="77777777" w:rsidR="00900827" w:rsidRPr="00DD61F4" w:rsidRDefault="00900827" w:rsidP="005B0BEC">
            <w:pPr>
              <w:pStyle w:val="ListParagraph"/>
              <w:ind w:left="0"/>
              <w:rPr>
                <w:rFonts w:cs="Arial"/>
                <w:b/>
                <w:sz w:val="18"/>
                <w:szCs w:val="18"/>
              </w:rPr>
            </w:pPr>
            <w:r>
              <w:rPr>
                <w:rFonts w:cs="Arial"/>
                <w:sz w:val="18"/>
                <w:szCs w:val="18"/>
              </w:rPr>
              <w:t>Development has a maximum building height of 2 storeys and 8.5m.</w:t>
            </w:r>
          </w:p>
        </w:tc>
        <w:tc>
          <w:tcPr>
            <w:tcW w:w="4601" w:type="dxa"/>
            <w:shd w:val="clear" w:color="auto" w:fill="auto"/>
          </w:tcPr>
          <w:p w14:paraId="46A43DD6"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5</w:t>
            </w:r>
          </w:p>
          <w:p w14:paraId="25E51A94" w14:textId="77777777" w:rsidR="00900827" w:rsidRPr="00B2594D" w:rsidRDefault="00900827" w:rsidP="005B0BEC">
            <w:pPr>
              <w:pStyle w:val="ListParagraph"/>
              <w:ind w:left="0"/>
              <w:rPr>
                <w:rFonts w:cs="Arial"/>
                <w:b/>
                <w:sz w:val="18"/>
                <w:szCs w:val="18"/>
              </w:rPr>
            </w:pPr>
            <w:r>
              <w:rPr>
                <w:rFonts w:cs="Arial"/>
                <w:sz w:val="18"/>
                <w:szCs w:val="18"/>
              </w:rPr>
              <w:t xml:space="preserve">No acceptable outcome provided. </w:t>
            </w:r>
          </w:p>
        </w:tc>
        <w:tc>
          <w:tcPr>
            <w:tcW w:w="4601" w:type="dxa"/>
          </w:tcPr>
          <w:p w14:paraId="2C667A1B" w14:textId="65C380D9"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06631ABC" w14:textId="72671DDF" w:rsidTr="00EE3287">
        <w:tc>
          <w:tcPr>
            <w:tcW w:w="13802" w:type="dxa"/>
            <w:gridSpan w:val="3"/>
            <w:shd w:val="clear" w:color="auto" w:fill="D9D9D9"/>
          </w:tcPr>
          <w:p w14:paraId="78F1D976" w14:textId="1F0BCC1E" w:rsidR="00900827" w:rsidRPr="00084AFB" w:rsidRDefault="00900827" w:rsidP="005B0BEC">
            <w:pPr>
              <w:pStyle w:val="ListParagraph"/>
              <w:ind w:left="0"/>
              <w:rPr>
                <w:rFonts w:cs="Arial"/>
                <w:b/>
                <w:i/>
                <w:sz w:val="18"/>
                <w:szCs w:val="18"/>
              </w:rPr>
            </w:pPr>
            <w:r w:rsidRPr="00084AFB">
              <w:rPr>
                <w:rFonts w:cs="Arial"/>
                <w:b/>
                <w:i/>
                <w:sz w:val="18"/>
                <w:szCs w:val="18"/>
              </w:rPr>
              <w:t>Amenity</w:t>
            </w:r>
          </w:p>
        </w:tc>
      </w:tr>
      <w:tr w:rsidR="00900827" w:rsidRPr="00084AFB" w14:paraId="5C4F3DF5" w14:textId="713081F8" w:rsidTr="00900827">
        <w:tc>
          <w:tcPr>
            <w:tcW w:w="4600" w:type="dxa"/>
            <w:shd w:val="clear" w:color="auto" w:fill="auto"/>
          </w:tcPr>
          <w:p w14:paraId="23055CDD" w14:textId="77777777" w:rsidR="00900827" w:rsidRPr="00084AFB" w:rsidRDefault="00900827" w:rsidP="005B0BEC">
            <w:pPr>
              <w:pStyle w:val="ListParagraph"/>
              <w:ind w:left="0"/>
              <w:rPr>
                <w:rFonts w:cs="Arial"/>
                <w:b/>
                <w:sz w:val="18"/>
                <w:szCs w:val="18"/>
              </w:rPr>
            </w:pPr>
            <w:r w:rsidRPr="00084AFB">
              <w:rPr>
                <w:rFonts w:cs="Arial"/>
                <w:b/>
                <w:sz w:val="18"/>
                <w:szCs w:val="18"/>
              </w:rPr>
              <w:t>PO</w:t>
            </w:r>
            <w:r>
              <w:rPr>
                <w:rFonts w:cs="Arial"/>
                <w:b/>
                <w:sz w:val="18"/>
                <w:szCs w:val="18"/>
              </w:rPr>
              <w:t>6</w:t>
            </w:r>
          </w:p>
          <w:p w14:paraId="1FC85777" w14:textId="77777777" w:rsidR="00900827" w:rsidRPr="001B2F33" w:rsidRDefault="00900827" w:rsidP="005B0BEC">
            <w:pPr>
              <w:pStyle w:val="ListParagraph"/>
              <w:ind w:left="0"/>
              <w:rPr>
                <w:b/>
                <w:sz w:val="18"/>
                <w:szCs w:val="18"/>
              </w:rPr>
            </w:pPr>
            <w:r w:rsidRPr="00084AFB">
              <w:rPr>
                <w:sz w:val="18"/>
                <w:szCs w:val="18"/>
              </w:rPr>
              <w:t>Development maintains a high level of amenity and avoids or mitigates potential adverse impacts having regard to such matters as hours of operation, generation of odours, noise, waste products, dust, traffic, electrical interference, lighting, visual and privacy impacts.</w:t>
            </w:r>
          </w:p>
        </w:tc>
        <w:tc>
          <w:tcPr>
            <w:tcW w:w="4601" w:type="dxa"/>
            <w:shd w:val="clear" w:color="auto" w:fill="auto"/>
          </w:tcPr>
          <w:p w14:paraId="63D02727" w14:textId="77777777" w:rsidR="00900827" w:rsidRPr="00084AFB" w:rsidRDefault="00900827" w:rsidP="005B0BEC">
            <w:pPr>
              <w:pStyle w:val="ListParagraph"/>
              <w:ind w:left="0"/>
              <w:rPr>
                <w:rFonts w:cs="Arial"/>
                <w:b/>
                <w:sz w:val="18"/>
                <w:szCs w:val="18"/>
              </w:rPr>
            </w:pPr>
            <w:r w:rsidRPr="00084AFB">
              <w:rPr>
                <w:rFonts w:cs="Arial"/>
                <w:b/>
                <w:sz w:val="18"/>
                <w:szCs w:val="18"/>
              </w:rPr>
              <w:t>AO</w:t>
            </w:r>
            <w:r>
              <w:rPr>
                <w:rFonts w:cs="Arial"/>
                <w:b/>
                <w:sz w:val="18"/>
                <w:szCs w:val="18"/>
              </w:rPr>
              <w:t>6</w:t>
            </w:r>
          </w:p>
          <w:p w14:paraId="437AE27A"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p>
        </w:tc>
        <w:tc>
          <w:tcPr>
            <w:tcW w:w="4601" w:type="dxa"/>
          </w:tcPr>
          <w:p w14:paraId="6CF6FBE8" w14:textId="40C57349" w:rsidR="00900827" w:rsidRPr="00084AFB"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55A5FB71" w14:textId="5A2AD403" w:rsidTr="005F09BD">
        <w:tc>
          <w:tcPr>
            <w:tcW w:w="13802" w:type="dxa"/>
            <w:gridSpan w:val="3"/>
            <w:shd w:val="clear" w:color="auto" w:fill="D9D9D9"/>
          </w:tcPr>
          <w:p w14:paraId="3814641C" w14:textId="4A5D05AA" w:rsidR="00900827" w:rsidRDefault="00900827" w:rsidP="005B0BEC">
            <w:pPr>
              <w:pStyle w:val="ListParagraph"/>
              <w:ind w:left="0"/>
              <w:rPr>
                <w:rFonts w:cs="Arial"/>
                <w:b/>
                <w:i/>
                <w:sz w:val="18"/>
                <w:szCs w:val="18"/>
              </w:rPr>
            </w:pPr>
            <w:r>
              <w:rPr>
                <w:rFonts w:cs="Arial"/>
                <w:b/>
                <w:i/>
                <w:sz w:val="18"/>
                <w:szCs w:val="18"/>
              </w:rPr>
              <w:t>Infrastructure and services</w:t>
            </w:r>
          </w:p>
        </w:tc>
      </w:tr>
      <w:tr w:rsidR="00900827" w:rsidRPr="00084AFB" w14:paraId="0EFEB9AB" w14:textId="01516B08" w:rsidTr="00900827">
        <w:tc>
          <w:tcPr>
            <w:tcW w:w="4600" w:type="dxa"/>
            <w:shd w:val="clear" w:color="auto" w:fill="auto"/>
          </w:tcPr>
          <w:p w14:paraId="5BABF544" w14:textId="77777777" w:rsidR="00900827" w:rsidRPr="00B2594D" w:rsidRDefault="00900827" w:rsidP="005B0BEC">
            <w:pPr>
              <w:pStyle w:val="ListParagraph"/>
              <w:ind w:left="0"/>
              <w:rPr>
                <w:rFonts w:cs="Arial"/>
                <w:b/>
                <w:sz w:val="18"/>
                <w:szCs w:val="18"/>
              </w:rPr>
            </w:pPr>
            <w:r w:rsidRPr="00B2594D">
              <w:rPr>
                <w:rFonts w:cs="Arial"/>
                <w:b/>
                <w:sz w:val="18"/>
                <w:szCs w:val="18"/>
              </w:rPr>
              <w:t>PO</w:t>
            </w:r>
            <w:r>
              <w:rPr>
                <w:rFonts w:cs="Arial"/>
                <w:b/>
                <w:sz w:val="18"/>
                <w:szCs w:val="18"/>
              </w:rPr>
              <w:t>7</w:t>
            </w:r>
          </w:p>
          <w:p w14:paraId="6EED1C06" w14:textId="77777777" w:rsidR="00900827" w:rsidRPr="00DD61F4" w:rsidRDefault="00900827" w:rsidP="005B0BEC">
            <w:pPr>
              <w:pStyle w:val="ListParagraph"/>
              <w:ind w:left="0"/>
              <w:rPr>
                <w:rFonts w:cs="Arial"/>
                <w:b/>
                <w:sz w:val="18"/>
                <w:szCs w:val="18"/>
              </w:rPr>
            </w:pPr>
            <w:r>
              <w:rPr>
                <w:sz w:val="18"/>
                <w:szCs w:val="18"/>
              </w:rPr>
              <w:t>D</w:t>
            </w:r>
            <w:r w:rsidRPr="007222E9">
              <w:rPr>
                <w:sz w:val="18"/>
                <w:szCs w:val="18"/>
              </w:rPr>
              <w:t>evelopment provides for infrastructure and services that are commensurate with the very limited range of small scale and low-key activities that are expected to occur in the zone</w:t>
            </w:r>
            <w:r>
              <w:rPr>
                <w:rFonts w:cs="Arial"/>
                <w:sz w:val="18"/>
                <w:szCs w:val="18"/>
              </w:rPr>
              <w:t>.</w:t>
            </w:r>
          </w:p>
        </w:tc>
        <w:tc>
          <w:tcPr>
            <w:tcW w:w="4601" w:type="dxa"/>
            <w:shd w:val="clear" w:color="auto" w:fill="auto"/>
          </w:tcPr>
          <w:p w14:paraId="195908B8"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07B03C1C"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2B83B1C1" w14:textId="57042AB4"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084AFB" w14:paraId="712E4AAC" w14:textId="7646F428" w:rsidTr="00900827">
        <w:tc>
          <w:tcPr>
            <w:tcW w:w="4600" w:type="dxa"/>
            <w:shd w:val="clear" w:color="auto" w:fill="auto"/>
          </w:tcPr>
          <w:p w14:paraId="5D259123" w14:textId="77777777" w:rsidR="00900827" w:rsidRPr="00614FAF" w:rsidRDefault="00900827" w:rsidP="005B0BEC">
            <w:pPr>
              <w:pStyle w:val="ListParagraph"/>
              <w:keepNext/>
              <w:ind w:left="0"/>
              <w:rPr>
                <w:rFonts w:cs="Arial"/>
                <w:b/>
                <w:sz w:val="18"/>
                <w:szCs w:val="18"/>
              </w:rPr>
            </w:pPr>
            <w:r w:rsidRPr="00614FAF">
              <w:rPr>
                <w:rFonts w:cs="Arial"/>
                <w:b/>
                <w:sz w:val="18"/>
                <w:szCs w:val="18"/>
              </w:rPr>
              <w:t>PO</w:t>
            </w:r>
            <w:r>
              <w:rPr>
                <w:rFonts w:cs="Arial"/>
                <w:b/>
                <w:sz w:val="18"/>
                <w:szCs w:val="18"/>
              </w:rPr>
              <w:t>8</w:t>
            </w:r>
          </w:p>
          <w:p w14:paraId="053DD884" w14:textId="77777777" w:rsidR="00900827" w:rsidRPr="00DD61F4" w:rsidRDefault="00900827" w:rsidP="005B0BEC">
            <w:pPr>
              <w:pStyle w:val="ListParagraph"/>
              <w:ind w:left="0"/>
              <w:rPr>
                <w:rFonts w:cs="Arial"/>
                <w:b/>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(including rural infrastructure) or compromise the future provision of planned infrastructure</w:t>
            </w:r>
            <w:r>
              <w:rPr>
                <w:rFonts w:cs="Arial"/>
                <w:sz w:val="18"/>
                <w:szCs w:val="18"/>
              </w:rPr>
              <w:t>.</w:t>
            </w:r>
          </w:p>
        </w:tc>
        <w:tc>
          <w:tcPr>
            <w:tcW w:w="4601" w:type="dxa"/>
            <w:shd w:val="clear" w:color="auto" w:fill="auto"/>
          </w:tcPr>
          <w:p w14:paraId="30A7E98A"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8</w:t>
            </w:r>
          </w:p>
          <w:p w14:paraId="34B725B4"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1B118CF8" w14:textId="2248C89E"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900827" w:rsidRPr="00A84ADD" w14:paraId="763440CB" w14:textId="0B59CDA7" w:rsidTr="00FE6D66">
        <w:tc>
          <w:tcPr>
            <w:tcW w:w="13802" w:type="dxa"/>
            <w:gridSpan w:val="3"/>
            <w:shd w:val="clear" w:color="auto" w:fill="D9D9D9"/>
          </w:tcPr>
          <w:p w14:paraId="0F33450E" w14:textId="3098B2BF" w:rsidR="00900827" w:rsidRPr="00A84ADD" w:rsidRDefault="00900827" w:rsidP="005B0BEC">
            <w:pPr>
              <w:pStyle w:val="ListParagraph"/>
              <w:ind w:left="0"/>
              <w:rPr>
                <w:rFonts w:cs="Arial"/>
                <w:b/>
                <w:i/>
                <w:sz w:val="18"/>
                <w:szCs w:val="18"/>
              </w:rPr>
            </w:pPr>
            <w:r w:rsidRPr="00A84ADD">
              <w:rPr>
                <w:rFonts w:cs="Arial"/>
                <w:b/>
                <w:i/>
                <w:sz w:val="18"/>
                <w:szCs w:val="18"/>
              </w:rPr>
              <w:t xml:space="preserve">Additional requirements for </w:t>
            </w:r>
            <w:r w:rsidRPr="00A84ADD">
              <w:rPr>
                <w:b/>
                <w:i/>
                <w:sz w:val="18"/>
                <w:szCs w:val="18"/>
              </w:rPr>
              <w:t>Precinct LDZ1 (Limited residential precinct)</w:t>
            </w:r>
          </w:p>
        </w:tc>
      </w:tr>
      <w:tr w:rsidR="00900827" w:rsidRPr="00084AFB" w14:paraId="44A4E42F" w14:textId="3CECE534" w:rsidTr="00900827">
        <w:trPr>
          <w:trHeight w:val="1751"/>
        </w:trPr>
        <w:tc>
          <w:tcPr>
            <w:tcW w:w="4600" w:type="dxa"/>
            <w:shd w:val="clear" w:color="auto" w:fill="auto"/>
          </w:tcPr>
          <w:p w14:paraId="4DA69A31" w14:textId="77777777" w:rsidR="00900827" w:rsidRPr="00A84ADD" w:rsidRDefault="00900827" w:rsidP="005B0BEC">
            <w:pPr>
              <w:pStyle w:val="ListParagraph"/>
              <w:ind w:left="0"/>
              <w:rPr>
                <w:b/>
                <w:sz w:val="18"/>
                <w:szCs w:val="18"/>
              </w:rPr>
            </w:pPr>
            <w:r w:rsidRPr="00A84ADD">
              <w:rPr>
                <w:b/>
                <w:sz w:val="18"/>
                <w:szCs w:val="18"/>
              </w:rPr>
              <w:t>PO</w:t>
            </w:r>
            <w:r>
              <w:rPr>
                <w:b/>
                <w:sz w:val="18"/>
                <w:szCs w:val="18"/>
              </w:rPr>
              <w:t>9</w:t>
            </w:r>
          </w:p>
          <w:p w14:paraId="0B7619C1" w14:textId="77777777" w:rsidR="00900827" w:rsidRDefault="00900827" w:rsidP="005B0BEC">
            <w:pPr>
              <w:pStyle w:val="ListParagraph"/>
              <w:ind w:left="0"/>
              <w:rPr>
                <w:b/>
                <w:sz w:val="18"/>
                <w:szCs w:val="18"/>
              </w:rPr>
            </w:pPr>
            <w:r>
              <w:rPr>
                <w:sz w:val="18"/>
                <w:szCs w:val="18"/>
              </w:rPr>
              <w:t xml:space="preserve">Development in </w:t>
            </w:r>
            <w:r w:rsidRPr="00152896">
              <w:rPr>
                <w:b/>
                <w:sz w:val="18"/>
                <w:szCs w:val="18"/>
              </w:rPr>
              <w:t>Precinct LDZ1 (</w:t>
            </w:r>
            <w:r>
              <w:rPr>
                <w:b/>
                <w:sz w:val="18"/>
                <w:szCs w:val="18"/>
              </w:rPr>
              <w:t>Limited residential precinct</w:t>
            </w:r>
            <w:r w:rsidRPr="00152896">
              <w:rPr>
                <w:b/>
                <w:sz w:val="18"/>
                <w:szCs w:val="18"/>
              </w:rPr>
              <w:t>)</w:t>
            </w:r>
            <w:r w:rsidRPr="002F3B9C">
              <w:rPr>
                <w:sz w:val="18"/>
                <w:szCs w:val="18"/>
              </w:rPr>
              <w:t>:-</w:t>
            </w:r>
          </w:p>
          <w:p w14:paraId="4CC6AD52" w14:textId="77777777" w:rsidR="00900827" w:rsidRPr="002F3B9C" w:rsidRDefault="00900827" w:rsidP="00900827">
            <w:pPr>
              <w:pStyle w:val="ListParagraph"/>
              <w:numPr>
                <w:ilvl w:val="0"/>
                <w:numId w:val="92"/>
              </w:numPr>
              <w:ind w:left="426" w:hanging="426"/>
              <w:rPr>
                <w:rFonts w:cs="Arial"/>
                <w:b/>
                <w:sz w:val="18"/>
                <w:szCs w:val="18"/>
              </w:rPr>
            </w:pPr>
            <w:r>
              <w:rPr>
                <w:sz w:val="18"/>
                <w:szCs w:val="18"/>
              </w:rPr>
              <w:t>provides for the re-establishment of dwelling houses and refurbishment of existing dwelling houses on premises located in high flood hazard areas; and</w:t>
            </w:r>
          </w:p>
          <w:p w14:paraId="7CF40312" w14:textId="77777777" w:rsidR="00900827" w:rsidRPr="00DD61F4" w:rsidRDefault="00900827" w:rsidP="00900827">
            <w:pPr>
              <w:pStyle w:val="ListParagraph"/>
              <w:numPr>
                <w:ilvl w:val="0"/>
                <w:numId w:val="92"/>
              </w:numPr>
              <w:ind w:left="426" w:hanging="426"/>
              <w:rPr>
                <w:rFonts w:cs="Arial"/>
                <w:b/>
                <w:sz w:val="18"/>
                <w:szCs w:val="18"/>
              </w:rPr>
            </w:pPr>
            <w:r>
              <w:rPr>
                <w:sz w:val="18"/>
                <w:szCs w:val="18"/>
              </w:rPr>
              <w:t>avoids intensification of other residential activities.</w:t>
            </w:r>
          </w:p>
        </w:tc>
        <w:tc>
          <w:tcPr>
            <w:tcW w:w="4601" w:type="dxa"/>
            <w:shd w:val="clear" w:color="auto" w:fill="auto"/>
          </w:tcPr>
          <w:p w14:paraId="3826B30A" w14:textId="77777777" w:rsidR="00900827" w:rsidRPr="00B2594D" w:rsidRDefault="00900827"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3FAF56E2" w14:textId="77777777" w:rsidR="00900827" w:rsidRPr="00B2594D" w:rsidRDefault="00900827"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01" w:type="dxa"/>
          </w:tcPr>
          <w:p w14:paraId="6721E1CB" w14:textId="2A0041D2" w:rsidR="00900827" w:rsidRPr="00B2594D" w:rsidRDefault="00900827"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5C212332"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900827">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14734377"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900827">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1A11E1C6"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E7hwIAABw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900827">
      <w:rPr>
        <w:b/>
        <w:noProof/>
        <w:sz w:val="14"/>
        <w:szCs w:val="14"/>
      </w:rPr>
      <w:t>6.2.16</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900827">
      <w:rPr>
        <w:b/>
        <w:noProof/>
        <w:sz w:val="14"/>
        <w:szCs w:val="14"/>
      </w:rPr>
      <w:t>Limited development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69E10695"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900827">
      <w:rPr>
        <w:b/>
        <w:noProof/>
        <w:sz w:val="14"/>
        <w:szCs w:val="14"/>
      </w:rPr>
      <w:t>6.2.16</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900827">
      <w:rPr>
        <w:b/>
        <w:noProof/>
        <w:sz w:val="14"/>
        <w:szCs w:val="14"/>
      </w:rPr>
      <w:t>Limited development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6</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Zone</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900827">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62311418">
    <w:abstractNumId w:val="115"/>
  </w:num>
  <w:num w:numId="2" w16cid:durableId="2007662160">
    <w:abstractNumId w:val="9"/>
  </w:num>
  <w:num w:numId="3" w16cid:durableId="1821311536">
    <w:abstractNumId w:val="101"/>
  </w:num>
  <w:num w:numId="4" w16cid:durableId="1821455376">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457063635">
    <w:abstractNumId w:val="98"/>
  </w:num>
  <w:num w:numId="6" w16cid:durableId="1026098516">
    <w:abstractNumId w:val="112"/>
  </w:num>
  <w:num w:numId="7" w16cid:durableId="375011918">
    <w:abstractNumId w:val="90"/>
  </w:num>
  <w:num w:numId="8" w16cid:durableId="634600547">
    <w:abstractNumId w:val="66"/>
  </w:num>
  <w:num w:numId="9" w16cid:durableId="1830557525">
    <w:abstractNumId w:val="110"/>
  </w:num>
  <w:num w:numId="10" w16cid:durableId="1560166409">
    <w:abstractNumId w:val="79"/>
  </w:num>
  <w:num w:numId="11" w16cid:durableId="1130170757">
    <w:abstractNumId w:val="142"/>
  </w:num>
  <w:num w:numId="12" w16cid:durableId="109322625">
    <w:abstractNumId w:val="59"/>
  </w:num>
  <w:num w:numId="13" w16cid:durableId="1083457664">
    <w:abstractNumId w:val="53"/>
  </w:num>
  <w:num w:numId="14" w16cid:durableId="308095752">
    <w:abstractNumId w:val="74"/>
  </w:num>
  <w:num w:numId="15" w16cid:durableId="366417137">
    <w:abstractNumId w:val="43"/>
  </w:num>
  <w:num w:numId="16" w16cid:durableId="1655639415">
    <w:abstractNumId w:val="40"/>
  </w:num>
  <w:num w:numId="17" w16cid:durableId="590309988">
    <w:abstractNumId w:val="140"/>
  </w:num>
  <w:num w:numId="18" w16cid:durableId="597716011">
    <w:abstractNumId w:val="87"/>
  </w:num>
  <w:num w:numId="19" w16cid:durableId="325137734">
    <w:abstractNumId w:val="80"/>
  </w:num>
  <w:num w:numId="20" w16cid:durableId="854920475">
    <w:abstractNumId w:val="21"/>
  </w:num>
  <w:num w:numId="21" w16cid:durableId="768431180">
    <w:abstractNumId w:val="35"/>
  </w:num>
  <w:num w:numId="22" w16cid:durableId="706220760">
    <w:abstractNumId w:val="29"/>
  </w:num>
  <w:num w:numId="23" w16cid:durableId="659767964">
    <w:abstractNumId w:val="23"/>
  </w:num>
  <w:num w:numId="24" w16cid:durableId="28458056">
    <w:abstractNumId w:val="28"/>
  </w:num>
  <w:num w:numId="25" w16cid:durableId="347607396">
    <w:abstractNumId w:val="14"/>
  </w:num>
  <w:num w:numId="26" w16cid:durableId="1531381916">
    <w:abstractNumId w:val="94"/>
  </w:num>
  <w:num w:numId="27" w16cid:durableId="1018695748">
    <w:abstractNumId w:val="96"/>
  </w:num>
  <w:num w:numId="28" w16cid:durableId="1073698559">
    <w:abstractNumId w:val="95"/>
  </w:num>
  <w:num w:numId="29" w16cid:durableId="613097633">
    <w:abstractNumId w:val="22"/>
  </w:num>
  <w:num w:numId="30" w16cid:durableId="15813346">
    <w:abstractNumId w:val="68"/>
  </w:num>
  <w:num w:numId="31" w16cid:durableId="251548094">
    <w:abstractNumId w:val="55"/>
  </w:num>
  <w:num w:numId="32" w16cid:durableId="1082412046">
    <w:abstractNumId w:val="91"/>
  </w:num>
  <w:num w:numId="33" w16cid:durableId="1202547185">
    <w:abstractNumId w:val="84"/>
  </w:num>
  <w:num w:numId="34" w16cid:durableId="1288387321">
    <w:abstractNumId w:val="26"/>
  </w:num>
  <w:num w:numId="35" w16cid:durableId="1433815250">
    <w:abstractNumId w:val="46"/>
  </w:num>
  <w:num w:numId="36" w16cid:durableId="1616980713">
    <w:abstractNumId w:val="109"/>
  </w:num>
  <w:num w:numId="37" w16cid:durableId="479730521">
    <w:abstractNumId w:val="24"/>
  </w:num>
  <w:num w:numId="38" w16cid:durableId="1951741140">
    <w:abstractNumId w:val="139"/>
  </w:num>
  <w:num w:numId="39" w16cid:durableId="305429970">
    <w:abstractNumId w:val="105"/>
  </w:num>
  <w:num w:numId="40" w16cid:durableId="211581526">
    <w:abstractNumId w:val="42"/>
  </w:num>
  <w:num w:numId="41" w16cid:durableId="724909617">
    <w:abstractNumId w:val="7"/>
  </w:num>
  <w:num w:numId="42" w16cid:durableId="563874390">
    <w:abstractNumId w:val="76"/>
  </w:num>
  <w:num w:numId="43" w16cid:durableId="1401514289">
    <w:abstractNumId w:val="135"/>
  </w:num>
  <w:num w:numId="44" w16cid:durableId="486439433">
    <w:abstractNumId w:val="132"/>
  </w:num>
  <w:num w:numId="45" w16cid:durableId="1862209079">
    <w:abstractNumId w:val="104"/>
  </w:num>
  <w:num w:numId="46" w16cid:durableId="548537208">
    <w:abstractNumId w:val="129"/>
  </w:num>
  <w:num w:numId="47" w16cid:durableId="368183047">
    <w:abstractNumId w:val="60"/>
  </w:num>
  <w:num w:numId="48" w16cid:durableId="1214661557">
    <w:abstractNumId w:val="70"/>
  </w:num>
  <w:num w:numId="49" w16cid:durableId="1245533175">
    <w:abstractNumId w:val="133"/>
  </w:num>
  <w:num w:numId="50" w16cid:durableId="356467673">
    <w:abstractNumId w:val="37"/>
  </w:num>
  <w:num w:numId="51" w16cid:durableId="406192484">
    <w:abstractNumId w:val="72"/>
  </w:num>
  <w:num w:numId="52" w16cid:durableId="1096557226">
    <w:abstractNumId w:val="134"/>
  </w:num>
  <w:num w:numId="53" w16cid:durableId="1480071539">
    <w:abstractNumId w:val="99"/>
  </w:num>
  <w:num w:numId="54" w16cid:durableId="424888905">
    <w:abstractNumId w:val="17"/>
  </w:num>
  <w:num w:numId="55" w16cid:durableId="616647512">
    <w:abstractNumId w:val="25"/>
  </w:num>
  <w:num w:numId="56" w16cid:durableId="1264387037">
    <w:abstractNumId w:val="106"/>
  </w:num>
  <w:num w:numId="57" w16cid:durableId="1736663083">
    <w:abstractNumId w:val="69"/>
  </w:num>
  <w:num w:numId="58" w16cid:durableId="37631611">
    <w:abstractNumId w:val="73"/>
  </w:num>
  <w:num w:numId="59" w16cid:durableId="697897951">
    <w:abstractNumId w:val="54"/>
  </w:num>
  <w:num w:numId="60" w16cid:durableId="1074084765">
    <w:abstractNumId w:val="4"/>
  </w:num>
  <w:num w:numId="61" w16cid:durableId="487674968">
    <w:abstractNumId w:val="83"/>
  </w:num>
  <w:num w:numId="62" w16cid:durableId="691952655">
    <w:abstractNumId w:val="51"/>
  </w:num>
  <w:num w:numId="63" w16cid:durableId="925655799">
    <w:abstractNumId w:val="10"/>
  </w:num>
  <w:num w:numId="64" w16cid:durableId="1497191663">
    <w:abstractNumId w:val="121"/>
  </w:num>
  <w:num w:numId="65" w16cid:durableId="803503180">
    <w:abstractNumId w:val="114"/>
  </w:num>
  <w:num w:numId="66" w16cid:durableId="1615483057">
    <w:abstractNumId w:val="67"/>
  </w:num>
  <w:num w:numId="67" w16cid:durableId="793792550">
    <w:abstractNumId w:val="122"/>
  </w:num>
  <w:num w:numId="68" w16cid:durableId="445856372">
    <w:abstractNumId w:val="61"/>
  </w:num>
  <w:num w:numId="69" w16cid:durableId="438255004">
    <w:abstractNumId w:val="50"/>
  </w:num>
  <w:num w:numId="70" w16cid:durableId="1944654033">
    <w:abstractNumId w:val="77"/>
  </w:num>
  <w:num w:numId="71" w16cid:durableId="1516455734">
    <w:abstractNumId w:val="49"/>
  </w:num>
  <w:num w:numId="72" w16cid:durableId="1797602321">
    <w:abstractNumId w:val="125"/>
  </w:num>
  <w:num w:numId="73" w16cid:durableId="1753118768">
    <w:abstractNumId w:val="93"/>
  </w:num>
  <w:num w:numId="74" w16cid:durableId="2111273716">
    <w:abstractNumId w:val="130"/>
  </w:num>
  <w:num w:numId="75" w16cid:durableId="1338848929">
    <w:abstractNumId w:val="16"/>
  </w:num>
  <w:num w:numId="76" w16cid:durableId="1835296517">
    <w:abstractNumId w:val="45"/>
  </w:num>
  <w:num w:numId="77" w16cid:durableId="1267542328">
    <w:abstractNumId w:val="102"/>
  </w:num>
  <w:num w:numId="78" w16cid:durableId="462769853">
    <w:abstractNumId w:val="136"/>
  </w:num>
  <w:num w:numId="79" w16cid:durableId="97987180">
    <w:abstractNumId w:val="11"/>
  </w:num>
  <w:num w:numId="80" w16cid:durableId="1628582342">
    <w:abstractNumId w:val="117"/>
  </w:num>
  <w:num w:numId="81" w16cid:durableId="465123178">
    <w:abstractNumId w:val="119"/>
  </w:num>
  <w:num w:numId="82" w16cid:durableId="997003778">
    <w:abstractNumId w:val="65"/>
  </w:num>
  <w:num w:numId="83" w16cid:durableId="519781645">
    <w:abstractNumId w:val="12"/>
  </w:num>
  <w:num w:numId="84" w16cid:durableId="1958372122">
    <w:abstractNumId w:val="128"/>
  </w:num>
  <w:num w:numId="85" w16cid:durableId="345447623">
    <w:abstractNumId w:val="144"/>
  </w:num>
  <w:num w:numId="86" w16cid:durableId="696810855">
    <w:abstractNumId w:val="137"/>
  </w:num>
  <w:num w:numId="87" w16cid:durableId="2101439717">
    <w:abstractNumId w:val="32"/>
  </w:num>
  <w:num w:numId="88" w16cid:durableId="372535204">
    <w:abstractNumId w:val="33"/>
  </w:num>
  <w:num w:numId="89" w16cid:durableId="1322154518">
    <w:abstractNumId w:val="62"/>
  </w:num>
  <w:num w:numId="90" w16cid:durableId="1458258797">
    <w:abstractNumId w:val="64"/>
  </w:num>
  <w:num w:numId="91" w16cid:durableId="1059210190">
    <w:abstractNumId w:val="44"/>
  </w:num>
  <w:num w:numId="92" w16cid:durableId="854736069">
    <w:abstractNumId w:val="58"/>
  </w:num>
  <w:num w:numId="93" w16cid:durableId="1851025977">
    <w:abstractNumId w:val="92"/>
  </w:num>
  <w:num w:numId="94" w16cid:durableId="1846506850">
    <w:abstractNumId w:val="113"/>
  </w:num>
  <w:num w:numId="95" w16cid:durableId="285545903">
    <w:abstractNumId w:val="111"/>
  </w:num>
  <w:num w:numId="96" w16cid:durableId="1695110765">
    <w:abstractNumId w:val="63"/>
  </w:num>
  <w:num w:numId="97" w16cid:durableId="271673323">
    <w:abstractNumId w:val="13"/>
  </w:num>
  <w:num w:numId="98" w16cid:durableId="103423770">
    <w:abstractNumId w:val="120"/>
  </w:num>
  <w:num w:numId="99" w16cid:durableId="1412236833">
    <w:abstractNumId w:val="36"/>
  </w:num>
  <w:num w:numId="100" w16cid:durableId="305285391">
    <w:abstractNumId w:val="56"/>
  </w:num>
  <w:num w:numId="101" w16cid:durableId="430399223">
    <w:abstractNumId w:val="141"/>
  </w:num>
  <w:num w:numId="102" w16cid:durableId="651715805">
    <w:abstractNumId w:val="100"/>
  </w:num>
  <w:num w:numId="103" w16cid:durableId="244921350">
    <w:abstractNumId w:val="38"/>
  </w:num>
  <w:num w:numId="104" w16cid:durableId="1055589251">
    <w:abstractNumId w:val="126"/>
  </w:num>
  <w:num w:numId="105" w16cid:durableId="1695496537">
    <w:abstractNumId w:val="39"/>
  </w:num>
  <w:num w:numId="106" w16cid:durableId="962425218">
    <w:abstractNumId w:val="52"/>
  </w:num>
  <w:num w:numId="107" w16cid:durableId="191843153">
    <w:abstractNumId w:val="145"/>
  </w:num>
  <w:num w:numId="108" w16cid:durableId="1267615252">
    <w:abstractNumId w:val="131"/>
  </w:num>
  <w:num w:numId="109" w16cid:durableId="1037508713">
    <w:abstractNumId w:val="34"/>
  </w:num>
  <w:num w:numId="110" w16cid:durableId="2079864559">
    <w:abstractNumId w:val="0"/>
  </w:num>
  <w:num w:numId="111" w16cid:durableId="1315255281">
    <w:abstractNumId w:val="78"/>
  </w:num>
  <w:num w:numId="112" w16cid:durableId="265431667">
    <w:abstractNumId w:val="88"/>
  </w:num>
  <w:num w:numId="113" w16cid:durableId="1823697614">
    <w:abstractNumId w:val="47"/>
  </w:num>
  <w:num w:numId="114" w16cid:durableId="1836727262">
    <w:abstractNumId w:val="27"/>
  </w:num>
  <w:num w:numId="115" w16cid:durableId="1309749935">
    <w:abstractNumId w:val="97"/>
  </w:num>
  <w:num w:numId="116" w16cid:durableId="694774868">
    <w:abstractNumId w:val="85"/>
  </w:num>
  <w:num w:numId="117" w16cid:durableId="2075545258">
    <w:abstractNumId w:val="81"/>
  </w:num>
  <w:num w:numId="118" w16cid:durableId="558053859">
    <w:abstractNumId w:val="138"/>
  </w:num>
  <w:num w:numId="119" w16cid:durableId="970357492">
    <w:abstractNumId w:val="3"/>
  </w:num>
  <w:num w:numId="120" w16cid:durableId="1174413300">
    <w:abstractNumId w:val="107"/>
  </w:num>
  <w:num w:numId="121" w16cid:durableId="1500997687">
    <w:abstractNumId w:val="123"/>
  </w:num>
  <w:num w:numId="122" w16cid:durableId="519665060">
    <w:abstractNumId w:val="103"/>
  </w:num>
  <w:num w:numId="123" w16cid:durableId="1993095793">
    <w:abstractNumId w:val="5"/>
  </w:num>
  <w:num w:numId="124" w16cid:durableId="1184128686">
    <w:abstractNumId w:val="71"/>
  </w:num>
  <w:num w:numId="125" w16cid:durableId="1569487623">
    <w:abstractNumId w:val="82"/>
  </w:num>
  <w:num w:numId="126" w16cid:durableId="811101675">
    <w:abstractNumId w:val="116"/>
  </w:num>
  <w:num w:numId="127" w16cid:durableId="1442337864">
    <w:abstractNumId w:val="108"/>
  </w:num>
  <w:num w:numId="128" w16cid:durableId="1299534639">
    <w:abstractNumId w:val="2"/>
  </w:num>
  <w:num w:numId="129" w16cid:durableId="1392844125">
    <w:abstractNumId w:val="57"/>
  </w:num>
  <w:num w:numId="130" w16cid:durableId="1284382777">
    <w:abstractNumId w:val="1"/>
  </w:num>
  <w:num w:numId="131" w16cid:durableId="1655648669">
    <w:abstractNumId w:val="143"/>
  </w:num>
  <w:num w:numId="132" w16cid:durableId="1576621278">
    <w:abstractNumId w:val="146"/>
  </w:num>
  <w:num w:numId="133" w16cid:durableId="1527131788">
    <w:abstractNumId w:val="20"/>
  </w:num>
  <w:num w:numId="134" w16cid:durableId="1166437328">
    <w:abstractNumId w:val="30"/>
  </w:num>
  <w:num w:numId="135" w16cid:durableId="1746488581">
    <w:abstractNumId w:val="118"/>
  </w:num>
  <w:num w:numId="136" w16cid:durableId="2052993058">
    <w:abstractNumId w:val="6"/>
  </w:num>
  <w:num w:numId="137" w16cid:durableId="1231189985">
    <w:abstractNumId w:val="127"/>
  </w:num>
  <w:num w:numId="138" w16cid:durableId="1369916303">
    <w:abstractNumId w:val="15"/>
  </w:num>
  <w:num w:numId="139" w16cid:durableId="1064445748">
    <w:abstractNumId w:val="48"/>
  </w:num>
  <w:num w:numId="140" w16cid:durableId="581333792">
    <w:abstractNumId w:val="75"/>
  </w:num>
  <w:num w:numId="141" w16cid:durableId="148180144">
    <w:abstractNumId w:val="31"/>
  </w:num>
  <w:num w:numId="142" w16cid:durableId="937758627">
    <w:abstractNumId w:val="8"/>
  </w:num>
  <w:num w:numId="143" w16cid:durableId="556477624">
    <w:abstractNumId w:val="124"/>
  </w:num>
  <w:num w:numId="144" w16cid:durableId="620304618">
    <w:abstractNumId w:val="86"/>
  </w:num>
  <w:num w:numId="145" w16cid:durableId="1914972912">
    <w:abstractNumId w:val="89"/>
  </w:num>
  <w:num w:numId="146" w16cid:durableId="2041976047">
    <w:abstractNumId w:val="18"/>
  </w:num>
  <w:num w:numId="147" w16cid:durableId="364018629">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0827"/>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3EB2B21B-79F4-4EE2-B0E0-15CB10F02AB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2023-03-15T02:50:00Z</dcterms:created>
  <dcterms:modified xsi:type="dcterms:W3CDTF">2023-03-15T02:50:00Z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