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AE2A" w14:textId="77777777" w:rsidR="008935CB" w:rsidRPr="008935CB" w:rsidRDefault="008935CB" w:rsidP="008935CB">
      <w:pPr>
        <w:pStyle w:val="ListParagraph"/>
        <w:keepNext/>
        <w:numPr>
          <w:ilvl w:val="0"/>
          <w:numId w:val="2"/>
        </w:numPr>
        <w:spacing w:before="100" w:after="200"/>
        <w:outlineLvl w:val="0"/>
        <w:rPr>
          <w:rFonts w:cs="Arial"/>
          <w:b/>
          <w:bCs/>
          <w:vanish/>
          <w:kern w:val="32"/>
          <w:sz w:val="32"/>
          <w:szCs w:val="32"/>
        </w:rPr>
      </w:pPr>
      <w:bookmarkStart w:id="0" w:name="_Toc332985295"/>
      <w:bookmarkStart w:id="1" w:name="_Toc29993457"/>
      <w:bookmarkStart w:id="2" w:name="_Toc29993492"/>
    </w:p>
    <w:p w14:paraId="2DB2FC33" w14:textId="77777777" w:rsidR="008935CB" w:rsidRPr="008935CB" w:rsidRDefault="008935CB" w:rsidP="008935CB">
      <w:pPr>
        <w:pStyle w:val="ListParagraph"/>
        <w:keepNext/>
        <w:numPr>
          <w:ilvl w:val="1"/>
          <w:numId w:val="2"/>
        </w:numPr>
        <w:spacing w:before="100" w:after="200"/>
        <w:outlineLvl w:val="1"/>
        <w:rPr>
          <w:rFonts w:cs="Arial"/>
          <w:b/>
          <w:bCs/>
          <w:iCs/>
          <w:vanish/>
          <w:sz w:val="28"/>
          <w:szCs w:val="28"/>
        </w:rPr>
      </w:pPr>
    </w:p>
    <w:p w14:paraId="02C98CDF" w14:textId="77777777" w:rsidR="008935CB" w:rsidRPr="008935CB" w:rsidRDefault="008935CB" w:rsidP="008935CB">
      <w:pPr>
        <w:pStyle w:val="ListParagraph"/>
        <w:keepNext/>
        <w:numPr>
          <w:ilvl w:val="1"/>
          <w:numId w:val="2"/>
        </w:numPr>
        <w:spacing w:before="100" w:after="200"/>
        <w:outlineLvl w:val="1"/>
        <w:rPr>
          <w:rFonts w:cs="Arial"/>
          <w:b/>
          <w:bCs/>
          <w:iCs/>
          <w:vanish/>
          <w:sz w:val="28"/>
          <w:szCs w:val="28"/>
        </w:rPr>
      </w:pPr>
    </w:p>
    <w:p w14:paraId="51BDC37C" w14:textId="77777777" w:rsidR="008935CB" w:rsidRPr="008935CB" w:rsidRDefault="008935CB" w:rsidP="008935CB">
      <w:pPr>
        <w:pStyle w:val="ListParagraph"/>
        <w:keepNext/>
        <w:numPr>
          <w:ilvl w:val="2"/>
          <w:numId w:val="2"/>
        </w:numPr>
        <w:spacing w:before="100" w:after="200"/>
        <w:outlineLvl w:val="2"/>
        <w:rPr>
          <w:rFonts w:cs="Arial"/>
          <w:b/>
          <w:bCs/>
          <w:vanish/>
          <w:sz w:val="24"/>
          <w:szCs w:val="26"/>
        </w:rPr>
      </w:pPr>
    </w:p>
    <w:p w14:paraId="64EB5B3D" w14:textId="77777777" w:rsidR="008935CB" w:rsidRPr="008935CB" w:rsidRDefault="008935CB" w:rsidP="008935CB">
      <w:pPr>
        <w:pStyle w:val="ListParagraph"/>
        <w:keepNext/>
        <w:numPr>
          <w:ilvl w:val="2"/>
          <w:numId w:val="2"/>
        </w:numPr>
        <w:spacing w:before="100" w:after="200"/>
        <w:outlineLvl w:val="2"/>
        <w:rPr>
          <w:rFonts w:cs="Arial"/>
          <w:b/>
          <w:bCs/>
          <w:vanish/>
          <w:sz w:val="24"/>
          <w:szCs w:val="26"/>
        </w:rPr>
      </w:pPr>
    </w:p>
    <w:p w14:paraId="1A58836F" w14:textId="77777777" w:rsidR="008935CB" w:rsidRPr="008935CB" w:rsidRDefault="008935CB" w:rsidP="008935CB">
      <w:pPr>
        <w:pStyle w:val="ListParagraph"/>
        <w:keepNext/>
        <w:numPr>
          <w:ilvl w:val="2"/>
          <w:numId w:val="2"/>
        </w:numPr>
        <w:spacing w:before="100" w:after="200"/>
        <w:outlineLvl w:val="2"/>
        <w:rPr>
          <w:rFonts w:cs="Arial"/>
          <w:b/>
          <w:bCs/>
          <w:vanish/>
          <w:sz w:val="24"/>
          <w:szCs w:val="26"/>
        </w:rPr>
      </w:pPr>
    </w:p>
    <w:p w14:paraId="147F07F5" w14:textId="77777777" w:rsidR="008935CB" w:rsidRPr="008935CB" w:rsidRDefault="008935CB" w:rsidP="008935CB">
      <w:pPr>
        <w:pStyle w:val="ListParagraph"/>
        <w:keepNext/>
        <w:numPr>
          <w:ilvl w:val="2"/>
          <w:numId w:val="2"/>
        </w:numPr>
        <w:spacing w:before="100" w:after="200"/>
        <w:outlineLvl w:val="2"/>
        <w:rPr>
          <w:rFonts w:cs="Arial"/>
          <w:b/>
          <w:bCs/>
          <w:vanish/>
          <w:sz w:val="24"/>
          <w:szCs w:val="26"/>
        </w:rPr>
      </w:pPr>
    </w:p>
    <w:p w14:paraId="6D8AA0C3" w14:textId="77777777" w:rsidR="008935CB" w:rsidRPr="008935CB" w:rsidRDefault="008935CB" w:rsidP="008935CB">
      <w:pPr>
        <w:pStyle w:val="ListParagraph"/>
        <w:keepNext/>
        <w:numPr>
          <w:ilvl w:val="2"/>
          <w:numId w:val="2"/>
        </w:numPr>
        <w:spacing w:before="100" w:after="200"/>
        <w:outlineLvl w:val="2"/>
        <w:rPr>
          <w:rFonts w:cs="Arial"/>
          <w:b/>
          <w:bCs/>
          <w:vanish/>
          <w:sz w:val="24"/>
          <w:szCs w:val="26"/>
        </w:rPr>
      </w:pPr>
    </w:p>
    <w:p w14:paraId="1CFB73A0" w14:textId="6861085C" w:rsidR="008935CB" w:rsidRDefault="008935CB" w:rsidP="008935CB">
      <w:pPr>
        <w:pStyle w:val="Heading3"/>
        <w:ind w:right="5951"/>
      </w:pPr>
      <w:r>
        <w:t>District centre zone code</w:t>
      </w:r>
      <w:bookmarkEnd w:id="0"/>
      <w:bookmarkEnd w:id="1"/>
      <w:bookmarkEnd w:id="2"/>
    </w:p>
    <w:p w14:paraId="758F7679" w14:textId="77777777" w:rsidR="008935CB" w:rsidRDefault="008935CB" w:rsidP="008935CB">
      <w:pPr>
        <w:pStyle w:val="Heading4"/>
        <w:spacing w:before="100" w:after="200"/>
        <w:ind w:right="5951"/>
      </w:pPr>
      <w:bookmarkStart w:id="3" w:name="_Toc332985296"/>
      <w:r>
        <w:t>Application</w:t>
      </w:r>
      <w:bookmarkEnd w:id="3"/>
    </w:p>
    <w:p w14:paraId="2EA6D92A" w14:textId="77777777" w:rsidR="00874A96" w:rsidRPr="000876B7" w:rsidRDefault="00874A96" w:rsidP="00874A96">
      <w:pPr>
        <w:rPr>
          <w:rFonts w:cs="Arial"/>
          <w:sz w:val="18"/>
          <w:szCs w:val="18"/>
        </w:rPr>
      </w:pPr>
      <w:r w:rsidRPr="000876B7">
        <w:rPr>
          <w:rFonts w:cs="Arial"/>
          <w:sz w:val="18"/>
          <w:szCs w:val="18"/>
        </w:rPr>
        <w:t>This code applies to development:-</w:t>
      </w:r>
    </w:p>
    <w:p w14:paraId="51E5E2B8" w14:textId="77777777" w:rsidR="00874A96" w:rsidRPr="000876B7" w:rsidRDefault="00874A96" w:rsidP="00874A96">
      <w:pPr>
        <w:ind w:left="567"/>
        <w:rPr>
          <w:rFonts w:cs="Arial"/>
          <w:sz w:val="18"/>
          <w:szCs w:val="18"/>
        </w:rPr>
      </w:pPr>
    </w:p>
    <w:p w14:paraId="7B378B1A" w14:textId="77777777" w:rsidR="00874A96" w:rsidRPr="000876B7" w:rsidRDefault="00874A96" w:rsidP="00874A96">
      <w:pPr>
        <w:numPr>
          <w:ilvl w:val="0"/>
          <w:numId w:val="105"/>
        </w:numPr>
        <w:rPr>
          <w:rFonts w:cs="Arial"/>
          <w:sz w:val="18"/>
          <w:szCs w:val="18"/>
        </w:rPr>
      </w:pPr>
      <w:r w:rsidRPr="000876B7">
        <w:rPr>
          <w:rFonts w:cs="Arial"/>
          <w:sz w:val="18"/>
          <w:szCs w:val="18"/>
        </w:rPr>
        <w:t xml:space="preserve">within the </w:t>
      </w:r>
      <w:r>
        <w:rPr>
          <w:rFonts w:cs="Arial"/>
          <w:sz w:val="18"/>
          <w:szCs w:val="18"/>
        </w:rPr>
        <w:t>District centre</w:t>
      </w:r>
      <w:r w:rsidRPr="000876B7">
        <w:rPr>
          <w:rFonts w:cs="Arial"/>
          <w:sz w:val="18"/>
          <w:szCs w:val="18"/>
        </w:rPr>
        <w:t xml:space="preserve"> zone as identified on the zon</w:t>
      </w:r>
      <w:r>
        <w:rPr>
          <w:rFonts w:cs="Arial"/>
          <w:sz w:val="18"/>
          <w:szCs w:val="18"/>
        </w:rPr>
        <w:t>e</w:t>
      </w:r>
      <w:r w:rsidRPr="000876B7">
        <w:rPr>
          <w:rFonts w:cs="Arial"/>
          <w:sz w:val="18"/>
          <w:szCs w:val="18"/>
        </w:rPr>
        <w:t xml:space="preserve"> maps</w:t>
      </w:r>
      <w:r w:rsidRPr="00262303">
        <w:rPr>
          <w:rFonts w:cs="Arial"/>
          <w:sz w:val="18"/>
          <w:szCs w:val="18"/>
        </w:rPr>
        <w:t xml:space="preserve"> contained in </w:t>
      </w:r>
      <w:r w:rsidRPr="000876B7">
        <w:rPr>
          <w:rFonts w:cs="Arial"/>
          <w:b/>
          <w:sz w:val="18"/>
          <w:szCs w:val="18"/>
        </w:rPr>
        <w:t>Schedule 2 (Mapping)</w:t>
      </w:r>
      <w:r w:rsidRPr="00262303">
        <w:rPr>
          <w:rFonts w:cs="Arial"/>
          <w:sz w:val="18"/>
          <w:szCs w:val="18"/>
        </w:rPr>
        <w:t>; and</w:t>
      </w:r>
    </w:p>
    <w:p w14:paraId="1CE0519E" w14:textId="77777777" w:rsidR="00874A96" w:rsidRPr="00262303" w:rsidRDefault="00874A96" w:rsidP="00874A96">
      <w:pPr>
        <w:rPr>
          <w:sz w:val="18"/>
          <w:szCs w:val="18"/>
        </w:rPr>
      </w:pPr>
    </w:p>
    <w:p w14:paraId="64A7E6E6" w14:textId="77777777" w:rsidR="00874A96" w:rsidRPr="00262303" w:rsidRDefault="00874A96" w:rsidP="00874A96">
      <w:pPr>
        <w:numPr>
          <w:ilvl w:val="0"/>
          <w:numId w:val="105"/>
        </w:numPr>
        <w:rPr>
          <w:sz w:val="18"/>
          <w:szCs w:val="18"/>
        </w:rPr>
      </w:pPr>
      <w:r w:rsidRPr="00262303">
        <w:rPr>
          <w:sz w:val="18"/>
          <w:szCs w:val="18"/>
        </w:rPr>
        <w:t xml:space="preserve">identified as requiring assessment against the </w:t>
      </w:r>
      <w:r>
        <w:rPr>
          <w:sz w:val="18"/>
          <w:szCs w:val="18"/>
        </w:rPr>
        <w:t xml:space="preserve">District centre </w:t>
      </w:r>
      <w:r w:rsidRPr="00262303">
        <w:rPr>
          <w:sz w:val="18"/>
          <w:szCs w:val="18"/>
        </w:rPr>
        <w:t xml:space="preserve">zone code by the tables of assessment in </w:t>
      </w:r>
      <w:r w:rsidRPr="00262303">
        <w:rPr>
          <w:b/>
          <w:sz w:val="18"/>
          <w:szCs w:val="18"/>
        </w:rPr>
        <w:t>Part 5 (Tables of assessment)</w:t>
      </w:r>
      <w:r w:rsidRPr="00262303">
        <w:rPr>
          <w:sz w:val="18"/>
          <w:szCs w:val="18"/>
        </w:rPr>
        <w:t>.</w:t>
      </w:r>
    </w:p>
    <w:p w14:paraId="0D3C2685" w14:textId="77777777" w:rsidR="008935CB" w:rsidRPr="007222E9" w:rsidRDefault="008935CB" w:rsidP="008935CB">
      <w:pPr>
        <w:tabs>
          <w:tab w:val="num" w:pos="1827"/>
        </w:tabs>
        <w:ind w:right="5951"/>
        <w:rPr>
          <w:sz w:val="18"/>
          <w:szCs w:val="18"/>
        </w:rPr>
      </w:pPr>
    </w:p>
    <w:p w14:paraId="579E6A19" w14:textId="77777777" w:rsidR="008935CB" w:rsidRDefault="008935CB" w:rsidP="008935CB">
      <w:pPr>
        <w:pStyle w:val="Heading4"/>
        <w:spacing w:before="100" w:after="200"/>
        <w:ind w:right="5951"/>
      </w:pPr>
      <w:bookmarkStart w:id="4" w:name="_Toc332985297"/>
      <w:r>
        <w:t>Purpose and overall outcomes</w:t>
      </w:r>
      <w:bookmarkEnd w:id="4"/>
    </w:p>
    <w:p w14:paraId="6FDC646E" w14:textId="77777777" w:rsidR="00874A96" w:rsidRPr="007222E9" w:rsidRDefault="00874A96" w:rsidP="00874A96">
      <w:pPr>
        <w:numPr>
          <w:ilvl w:val="0"/>
          <w:numId w:val="28"/>
        </w:numPr>
        <w:rPr>
          <w:sz w:val="18"/>
          <w:szCs w:val="18"/>
        </w:rPr>
      </w:pPr>
      <w:r w:rsidRPr="007222E9">
        <w:rPr>
          <w:sz w:val="18"/>
          <w:szCs w:val="18"/>
        </w:rPr>
        <w:t xml:space="preserve">The purpose of the </w:t>
      </w:r>
      <w:r w:rsidRPr="007222E9">
        <w:rPr>
          <w:rFonts w:cs="Arial"/>
          <w:sz w:val="18"/>
          <w:szCs w:val="18"/>
        </w:rPr>
        <w:t>District centre zone code is to provide for a range of uses and activities that service the needs of district catchments in centres that are highly accessible and well connected to the catchment areas that they serve.</w:t>
      </w:r>
    </w:p>
    <w:p w14:paraId="7505D52E" w14:textId="77777777" w:rsidR="00874A96" w:rsidRPr="007222E9" w:rsidRDefault="00874A96" w:rsidP="00874A96">
      <w:pPr>
        <w:ind w:left="567"/>
        <w:rPr>
          <w:sz w:val="18"/>
          <w:szCs w:val="18"/>
        </w:rPr>
      </w:pPr>
    </w:p>
    <w:p w14:paraId="7BD04469" w14:textId="77777777" w:rsidR="00874A96" w:rsidRPr="007222E9" w:rsidRDefault="00874A96" w:rsidP="00874A96">
      <w:pPr>
        <w:ind w:left="567"/>
        <w:rPr>
          <w:sz w:val="18"/>
          <w:szCs w:val="18"/>
        </w:rPr>
      </w:pPr>
      <w:r w:rsidRPr="007222E9">
        <w:rPr>
          <w:sz w:val="18"/>
          <w:szCs w:val="18"/>
        </w:rPr>
        <w:t xml:space="preserve">The zone may accommodate a concentration of land uses including retail, commercial, residential, offices, administrative and health services, community, small-scale entertainment and recreational facilities capable of servicing </w:t>
      </w:r>
      <w:r w:rsidRPr="006A23A3">
        <w:rPr>
          <w:sz w:val="18"/>
          <w:szCs w:val="18"/>
        </w:rPr>
        <w:t xml:space="preserve">the day-to-day and weekly shopping and service needs of </w:t>
      </w:r>
      <w:r w:rsidRPr="007222E9">
        <w:rPr>
          <w:sz w:val="18"/>
          <w:szCs w:val="18"/>
        </w:rPr>
        <w:t xml:space="preserve">a district </w:t>
      </w:r>
      <w:r>
        <w:rPr>
          <w:sz w:val="18"/>
          <w:szCs w:val="18"/>
        </w:rPr>
        <w:t xml:space="preserve">or subregion, </w:t>
      </w:r>
      <w:r w:rsidRPr="007222E9">
        <w:rPr>
          <w:sz w:val="18"/>
          <w:szCs w:val="18"/>
        </w:rPr>
        <w:t>provided that those facilities and uses should not more appropriately be ac</w:t>
      </w:r>
      <w:r>
        <w:rPr>
          <w:sz w:val="18"/>
          <w:szCs w:val="18"/>
        </w:rPr>
        <w:t>commodated in the Bundaberg CBD or the major activity centre.</w:t>
      </w:r>
    </w:p>
    <w:p w14:paraId="7FDD7656" w14:textId="77777777" w:rsidR="00874A96" w:rsidRPr="007222E9" w:rsidRDefault="00874A96" w:rsidP="00874A96">
      <w:pPr>
        <w:ind w:left="567"/>
        <w:rPr>
          <w:rFonts w:cs="Arial"/>
          <w:sz w:val="18"/>
          <w:szCs w:val="18"/>
        </w:rPr>
      </w:pPr>
    </w:p>
    <w:p w14:paraId="6E11CDBB" w14:textId="77777777" w:rsidR="00874A96" w:rsidRPr="007222E9" w:rsidRDefault="00874A96" w:rsidP="00874A96">
      <w:pPr>
        <w:ind w:left="567"/>
        <w:rPr>
          <w:rFonts w:cs="Arial"/>
          <w:sz w:val="18"/>
          <w:szCs w:val="18"/>
        </w:rPr>
      </w:pPr>
      <w:r w:rsidRPr="007222E9">
        <w:rPr>
          <w:rFonts w:cs="Arial"/>
          <w:sz w:val="18"/>
          <w:szCs w:val="18"/>
        </w:rPr>
        <w:t>District centres are developed as well-designed, safe and visually attractive business, community and employment centres, predominantly in a low rise building format, where significan</w:t>
      </w:r>
      <w:r>
        <w:rPr>
          <w:rFonts w:cs="Arial"/>
          <w:sz w:val="18"/>
          <w:szCs w:val="18"/>
        </w:rPr>
        <w:t>t off-site impacts are avoided.</w:t>
      </w:r>
    </w:p>
    <w:p w14:paraId="3C0E6EF4" w14:textId="77777777" w:rsidR="00874A96" w:rsidRPr="007222E9" w:rsidRDefault="00874A96" w:rsidP="00874A96">
      <w:pPr>
        <w:ind w:left="567"/>
        <w:rPr>
          <w:rFonts w:cs="Arial"/>
          <w:sz w:val="18"/>
          <w:szCs w:val="18"/>
        </w:rPr>
      </w:pPr>
    </w:p>
    <w:p w14:paraId="10C34F66" w14:textId="77777777" w:rsidR="00874A96" w:rsidRDefault="00874A96" w:rsidP="00874A96">
      <w:pPr>
        <w:ind w:left="567"/>
        <w:rPr>
          <w:rFonts w:cs="Arial"/>
          <w:sz w:val="18"/>
          <w:szCs w:val="18"/>
        </w:rPr>
      </w:pPr>
      <w:r w:rsidRPr="007222E9">
        <w:rPr>
          <w:rFonts w:cs="Arial"/>
          <w:sz w:val="18"/>
          <w:szCs w:val="18"/>
        </w:rPr>
        <w:t>District centres complement and do not undermine the role and function of Bundaberg CBD as the principal activity centr</w:t>
      </w:r>
      <w:r>
        <w:rPr>
          <w:rFonts w:cs="Arial"/>
          <w:sz w:val="18"/>
          <w:szCs w:val="18"/>
        </w:rPr>
        <w:t xml:space="preserve">e for the region and the major </w:t>
      </w:r>
      <w:r w:rsidRPr="007222E9">
        <w:rPr>
          <w:rFonts w:cs="Arial"/>
          <w:sz w:val="18"/>
          <w:szCs w:val="18"/>
        </w:rPr>
        <w:t xml:space="preserve">activity centre focussed on the Sugarland Shopping Centre and environs. </w:t>
      </w:r>
    </w:p>
    <w:p w14:paraId="2FC9BDD8" w14:textId="77777777" w:rsidR="00874A96" w:rsidRDefault="00874A96" w:rsidP="00874A96">
      <w:pPr>
        <w:ind w:left="567"/>
        <w:rPr>
          <w:rFonts w:cs="Arial"/>
          <w:sz w:val="18"/>
          <w:szCs w:val="18"/>
        </w:rPr>
      </w:pPr>
    </w:p>
    <w:p w14:paraId="6984CD60" w14:textId="77777777" w:rsidR="00874A96" w:rsidRPr="00653BF2" w:rsidRDefault="00874A96" w:rsidP="00874A96">
      <w:pPr>
        <w:ind w:left="567"/>
        <w:rPr>
          <w:rFonts w:cs="Arial"/>
          <w:sz w:val="16"/>
          <w:szCs w:val="16"/>
        </w:rPr>
      </w:pPr>
      <w:r w:rsidRPr="00653BF2">
        <w:rPr>
          <w:rFonts w:cs="Arial"/>
          <w:sz w:val="16"/>
          <w:szCs w:val="16"/>
        </w:rPr>
        <w:t>Note—the District centre zone comprises both district activity centres (rural) and district activity centres (urban)</w:t>
      </w:r>
      <w:r>
        <w:rPr>
          <w:rFonts w:cs="Arial"/>
          <w:sz w:val="16"/>
          <w:szCs w:val="16"/>
        </w:rPr>
        <w:t>.</w:t>
      </w:r>
    </w:p>
    <w:p w14:paraId="26C7C7C6" w14:textId="77777777" w:rsidR="00874A96" w:rsidRPr="007222E9" w:rsidRDefault="00874A96" w:rsidP="00874A96">
      <w:pPr>
        <w:rPr>
          <w:rFonts w:eastAsia="Calibri" w:cs="Arial"/>
          <w:sz w:val="18"/>
          <w:szCs w:val="18"/>
        </w:rPr>
      </w:pPr>
    </w:p>
    <w:p w14:paraId="5947BFFC" w14:textId="77777777" w:rsidR="00874A96" w:rsidRPr="007222E9" w:rsidRDefault="00874A96" w:rsidP="00874A96">
      <w:pPr>
        <w:numPr>
          <w:ilvl w:val="0"/>
          <w:numId w:val="28"/>
        </w:numPr>
        <w:rPr>
          <w:sz w:val="18"/>
          <w:szCs w:val="18"/>
        </w:rPr>
      </w:pPr>
      <w:r w:rsidRPr="007222E9">
        <w:rPr>
          <w:sz w:val="18"/>
          <w:szCs w:val="18"/>
        </w:rPr>
        <w:t>The purpose of the District centre zone code will be achieved through the following overall outcomes:-</w:t>
      </w:r>
    </w:p>
    <w:p w14:paraId="309D0435" w14:textId="77777777" w:rsidR="00874A96" w:rsidRPr="007222E9" w:rsidRDefault="00874A96" w:rsidP="00874A96">
      <w:pPr>
        <w:rPr>
          <w:rFonts w:cs="Arial"/>
          <w:sz w:val="18"/>
          <w:szCs w:val="18"/>
        </w:rPr>
      </w:pPr>
    </w:p>
    <w:p w14:paraId="12B7410B" w14:textId="77777777" w:rsidR="00874A96" w:rsidRPr="007222E9" w:rsidRDefault="00874A96" w:rsidP="00874A96">
      <w:pPr>
        <w:numPr>
          <w:ilvl w:val="1"/>
          <w:numId w:val="29"/>
        </w:numPr>
        <w:tabs>
          <w:tab w:val="clear" w:pos="1440"/>
          <w:tab w:val="num" w:pos="1134"/>
        </w:tabs>
        <w:ind w:left="1134" w:hanging="567"/>
        <w:rPr>
          <w:sz w:val="18"/>
          <w:szCs w:val="18"/>
        </w:rPr>
      </w:pPr>
      <w:r w:rsidRPr="007222E9">
        <w:rPr>
          <w:sz w:val="18"/>
          <w:szCs w:val="18"/>
        </w:rPr>
        <w:t>development provides for a range of retail uses</w:t>
      </w:r>
      <w:r>
        <w:rPr>
          <w:sz w:val="18"/>
          <w:szCs w:val="18"/>
        </w:rPr>
        <w:t xml:space="preserve"> that </w:t>
      </w:r>
      <w:r w:rsidRPr="00044AFF">
        <w:rPr>
          <w:sz w:val="18"/>
          <w:szCs w:val="18"/>
        </w:rPr>
        <w:t>does not include a department store</w:t>
      </w:r>
      <w:r>
        <w:rPr>
          <w:sz w:val="18"/>
          <w:szCs w:val="18"/>
        </w:rPr>
        <w:t>,</w:t>
      </w:r>
      <w:r w:rsidRPr="00044AFF">
        <w:rPr>
          <w:sz w:val="18"/>
          <w:szCs w:val="18"/>
        </w:rPr>
        <w:t xml:space="preserve"> and discount department stores are only established in the zone where there is demonstrated need</w:t>
      </w:r>
      <w:r>
        <w:rPr>
          <w:sz w:val="18"/>
          <w:szCs w:val="18"/>
        </w:rPr>
        <w:t>;</w:t>
      </w:r>
    </w:p>
    <w:p w14:paraId="1B470A08" w14:textId="77777777" w:rsidR="00874A96" w:rsidRPr="007222E9" w:rsidRDefault="00874A96" w:rsidP="00874A96">
      <w:pPr>
        <w:rPr>
          <w:sz w:val="18"/>
          <w:szCs w:val="18"/>
        </w:rPr>
      </w:pPr>
    </w:p>
    <w:p w14:paraId="0F588FE1" w14:textId="77777777" w:rsidR="00874A96" w:rsidRPr="007222E9" w:rsidRDefault="00874A96" w:rsidP="00874A96">
      <w:pPr>
        <w:numPr>
          <w:ilvl w:val="1"/>
          <w:numId w:val="29"/>
        </w:numPr>
        <w:tabs>
          <w:tab w:val="clear" w:pos="1440"/>
          <w:tab w:val="num" w:pos="1134"/>
        </w:tabs>
        <w:ind w:left="1134" w:hanging="567"/>
        <w:rPr>
          <w:sz w:val="18"/>
          <w:szCs w:val="18"/>
        </w:rPr>
      </w:pPr>
      <w:r>
        <w:rPr>
          <w:sz w:val="18"/>
          <w:szCs w:val="18"/>
          <w:lang w:val="en-US"/>
        </w:rPr>
        <w:t>land use composition in the zone promotes an active, mixed use environment;</w:t>
      </w:r>
    </w:p>
    <w:p w14:paraId="53945C57" w14:textId="77777777" w:rsidR="00874A96" w:rsidRPr="007222E9" w:rsidRDefault="00874A96" w:rsidP="00874A96">
      <w:pPr>
        <w:rPr>
          <w:sz w:val="18"/>
          <w:szCs w:val="18"/>
        </w:rPr>
      </w:pPr>
    </w:p>
    <w:p w14:paraId="7DA758E2" w14:textId="77777777" w:rsidR="00874A96" w:rsidRPr="007222E9" w:rsidRDefault="00874A96" w:rsidP="00874A96">
      <w:pPr>
        <w:numPr>
          <w:ilvl w:val="1"/>
          <w:numId w:val="29"/>
        </w:numPr>
        <w:tabs>
          <w:tab w:val="clear" w:pos="1440"/>
          <w:tab w:val="num" w:pos="1134"/>
        </w:tabs>
        <w:ind w:left="1134" w:hanging="567"/>
        <w:rPr>
          <w:sz w:val="18"/>
          <w:szCs w:val="18"/>
        </w:rPr>
      </w:pPr>
      <w:r w:rsidRPr="007222E9">
        <w:rPr>
          <w:sz w:val="18"/>
          <w:szCs w:val="18"/>
        </w:rPr>
        <w:t>development provides for a range of residential activities</w:t>
      </w:r>
      <w:r>
        <w:rPr>
          <w:sz w:val="18"/>
          <w:szCs w:val="18"/>
        </w:rPr>
        <w:t xml:space="preserve"> that</w:t>
      </w:r>
      <w:r w:rsidRPr="007222E9">
        <w:rPr>
          <w:sz w:val="18"/>
          <w:szCs w:val="18"/>
        </w:rPr>
        <w:t xml:space="preserve"> are ancillary to and support the predominant business functions of the zone;</w:t>
      </w:r>
    </w:p>
    <w:p w14:paraId="1809C9CB" w14:textId="77777777" w:rsidR="00874A96" w:rsidRPr="007222E9" w:rsidRDefault="00874A96" w:rsidP="00874A96">
      <w:pPr>
        <w:ind w:left="1134"/>
        <w:rPr>
          <w:sz w:val="18"/>
          <w:szCs w:val="18"/>
        </w:rPr>
      </w:pPr>
    </w:p>
    <w:p w14:paraId="4A8F359B" w14:textId="77777777" w:rsidR="00874A96" w:rsidRPr="008914AF" w:rsidRDefault="00874A96" w:rsidP="00874A96">
      <w:pPr>
        <w:numPr>
          <w:ilvl w:val="1"/>
          <w:numId w:val="29"/>
        </w:numPr>
        <w:tabs>
          <w:tab w:val="clear" w:pos="1440"/>
          <w:tab w:val="num" w:pos="1134"/>
        </w:tabs>
        <w:ind w:left="1134" w:hanging="567"/>
        <w:rPr>
          <w:rFonts w:cs="Arial"/>
          <w:sz w:val="18"/>
          <w:szCs w:val="18"/>
        </w:rPr>
      </w:pPr>
      <w:r>
        <w:rPr>
          <w:rFonts w:cs="Arial"/>
          <w:sz w:val="18"/>
          <w:szCs w:val="18"/>
        </w:rPr>
        <w:t>l</w:t>
      </w:r>
      <w:r w:rsidRPr="008914AF">
        <w:rPr>
          <w:rFonts w:cs="Arial"/>
          <w:sz w:val="18"/>
          <w:szCs w:val="18"/>
        </w:rPr>
        <w:t>and uses contributing to employment, education and services in the Bundaberg Region are located in the centre</w:t>
      </w:r>
      <w:r>
        <w:rPr>
          <w:rFonts w:cs="Arial"/>
          <w:sz w:val="18"/>
          <w:szCs w:val="18"/>
        </w:rPr>
        <w:t>. However, d</w:t>
      </w:r>
      <w:r w:rsidRPr="008914AF">
        <w:rPr>
          <w:rFonts w:cs="Arial"/>
          <w:sz w:val="18"/>
          <w:szCs w:val="18"/>
        </w:rPr>
        <w:t>evelopment does not undermine or compromise the activity centre network by proposing higher order or Iarger</w:t>
      </w:r>
      <w:r>
        <w:rPr>
          <w:rFonts w:cs="Arial"/>
          <w:sz w:val="18"/>
          <w:szCs w:val="18"/>
        </w:rPr>
        <w:t xml:space="preserve"> </w:t>
      </w:r>
      <w:r w:rsidRPr="008914AF">
        <w:rPr>
          <w:rFonts w:cs="Arial"/>
          <w:sz w:val="18"/>
          <w:szCs w:val="18"/>
        </w:rPr>
        <w:t>scale of us</w:t>
      </w:r>
      <w:r>
        <w:rPr>
          <w:rFonts w:cs="Arial"/>
          <w:sz w:val="18"/>
          <w:szCs w:val="18"/>
        </w:rPr>
        <w:t>es that are more appropriately located in the principal activity centre or major activity centre;</w:t>
      </w:r>
    </w:p>
    <w:p w14:paraId="7308525F" w14:textId="77777777" w:rsidR="00874A96" w:rsidRPr="008914AF" w:rsidRDefault="00874A96" w:rsidP="00874A96">
      <w:pPr>
        <w:tabs>
          <w:tab w:val="num" w:pos="1134"/>
        </w:tabs>
        <w:ind w:left="1134" w:hanging="567"/>
        <w:rPr>
          <w:rFonts w:cs="Arial"/>
          <w:sz w:val="18"/>
          <w:szCs w:val="18"/>
        </w:rPr>
      </w:pPr>
    </w:p>
    <w:p w14:paraId="214D0944" w14:textId="77777777" w:rsidR="00874A96" w:rsidRDefault="00874A96" w:rsidP="00874A96">
      <w:pPr>
        <w:numPr>
          <w:ilvl w:val="1"/>
          <w:numId w:val="29"/>
        </w:numPr>
        <w:tabs>
          <w:tab w:val="clear" w:pos="1440"/>
          <w:tab w:val="num" w:pos="1134"/>
        </w:tabs>
        <w:ind w:left="1134" w:hanging="567"/>
        <w:rPr>
          <w:rFonts w:cs="Arial"/>
          <w:sz w:val="18"/>
          <w:szCs w:val="18"/>
        </w:rPr>
      </w:pPr>
      <w:r>
        <w:rPr>
          <w:rFonts w:cs="Arial"/>
          <w:sz w:val="18"/>
          <w:szCs w:val="18"/>
        </w:rPr>
        <w:t>n</w:t>
      </w:r>
      <w:r w:rsidRPr="008914AF">
        <w:rPr>
          <w:rFonts w:cs="Arial"/>
          <w:sz w:val="18"/>
          <w:szCs w:val="18"/>
        </w:rPr>
        <w:t xml:space="preserve">ew regional level State government facilities for justice, education, health, community, administration and employment activities serving the Bundaberg Region are located in the Bundaberg CBD as the principal activity centre rather than in </w:t>
      </w:r>
      <w:r>
        <w:rPr>
          <w:rFonts w:cs="Arial"/>
          <w:sz w:val="18"/>
          <w:szCs w:val="18"/>
        </w:rPr>
        <w:t xml:space="preserve">district </w:t>
      </w:r>
      <w:r w:rsidRPr="008914AF">
        <w:rPr>
          <w:rFonts w:cs="Arial"/>
          <w:sz w:val="18"/>
          <w:szCs w:val="18"/>
        </w:rPr>
        <w:t>centre</w:t>
      </w:r>
      <w:r>
        <w:rPr>
          <w:rFonts w:cs="Arial"/>
          <w:sz w:val="18"/>
          <w:szCs w:val="18"/>
        </w:rPr>
        <w:t>s;</w:t>
      </w:r>
    </w:p>
    <w:p w14:paraId="236927D5" w14:textId="77777777" w:rsidR="00874A96" w:rsidRDefault="00874A96" w:rsidP="00874A96">
      <w:pPr>
        <w:pStyle w:val="ListParagraph"/>
        <w:rPr>
          <w:rFonts w:cs="Arial"/>
          <w:sz w:val="18"/>
          <w:szCs w:val="18"/>
        </w:rPr>
      </w:pPr>
    </w:p>
    <w:p w14:paraId="1429DDB7" w14:textId="77777777" w:rsidR="00874A96" w:rsidRDefault="00874A96" w:rsidP="00874A96">
      <w:pPr>
        <w:numPr>
          <w:ilvl w:val="1"/>
          <w:numId w:val="29"/>
        </w:numPr>
        <w:tabs>
          <w:tab w:val="clear" w:pos="1440"/>
          <w:tab w:val="num" w:pos="1134"/>
        </w:tabs>
        <w:ind w:left="1134" w:hanging="567"/>
        <w:rPr>
          <w:rFonts w:cs="Arial"/>
          <w:sz w:val="18"/>
          <w:szCs w:val="18"/>
        </w:rPr>
      </w:pPr>
      <w:r>
        <w:rPr>
          <w:rFonts w:cs="Arial"/>
          <w:sz w:val="18"/>
          <w:szCs w:val="18"/>
        </w:rPr>
        <w:t xml:space="preserve">district activity centres at Childers </w:t>
      </w:r>
      <w:r w:rsidRPr="000B0405">
        <w:rPr>
          <w:rFonts w:cs="Arial"/>
          <w:sz w:val="18"/>
          <w:szCs w:val="18"/>
        </w:rPr>
        <w:t>and Gin Gin</w:t>
      </w:r>
      <w:r>
        <w:rPr>
          <w:rFonts w:cs="Arial"/>
          <w:sz w:val="18"/>
          <w:szCs w:val="18"/>
        </w:rPr>
        <w:t xml:space="preserve"> contain a concentration of shopping, business, community, entertainment and government uses that serve residents, tourists and primary industries</w:t>
      </w:r>
      <w:r w:rsidRPr="00BF3634">
        <w:rPr>
          <w:rFonts w:cs="Arial"/>
          <w:sz w:val="18"/>
          <w:szCs w:val="18"/>
        </w:rPr>
        <w:t xml:space="preserve"> </w:t>
      </w:r>
      <w:r>
        <w:rPr>
          <w:rFonts w:cs="Arial"/>
          <w:sz w:val="18"/>
          <w:szCs w:val="18"/>
        </w:rPr>
        <w:t>in the town and its rural hinterland;</w:t>
      </w:r>
    </w:p>
    <w:p w14:paraId="252B65F6" w14:textId="77777777" w:rsidR="00874A96" w:rsidRDefault="00874A96" w:rsidP="00874A96">
      <w:pPr>
        <w:pStyle w:val="ListParagraph"/>
        <w:rPr>
          <w:rFonts w:cs="Arial"/>
          <w:sz w:val="18"/>
          <w:szCs w:val="18"/>
        </w:rPr>
      </w:pPr>
    </w:p>
    <w:p w14:paraId="0CF355DA" w14:textId="77777777" w:rsidR="00874A96" w:rsidRDefault="00874A96" w:rsidP="00874A96">
      <w:pPr>
        <w:numPr>
          <w:ilvl w:val="1"/>
          <w:numId w:val="29"/>
        </w:numPr>
        <w:tabs>
          <w:tab w:val="clear" w:pos="1440"/>
          <w:tab w:val="num" w:pos="1134"/>
        </w:tabs>
        <w:ind w:left="1134" w:hanging="567"/>
        <w:rPr>
          <w:rFonts w:cs="Arial"/>
          <w:sz w:val="18"/>
          <w:szCs w:val="18"/>
        </w:rPr>
      </w:pPr>
      <w:r>
        <w:rPr>
          <w:rFonts w:cs="Arial"/>
          <w:sz w:val="18"/>
          <w:szCs w:val="18"/>
        </w:rPr>
        <w:t>t</w:t>
      </w:r>
      <w:r w:rsidRPr="00452DB3">
        <w:rPr>
          <w:rFonts w:cs="Arial"/>
          <w:sz w:val="18"/>
          <w:szCs w:val="18"/>
        </w:rPr>
        <w:t>he Kepnock district activity centre service</w:t>
      </w:r>
      <w:r>
        <w:rPr>
          <w:rFonts w:cs="Arial"/>
          <w:sz w:val="18"/>
          <w:szCs w:val="18"/>
        </w:rPr>
        <w:t>s</w:t>
      </w:r>
      <w:r w:rsidRPr="00452DB3">
        <w:rPr>
          <w:rFonts w:cs="Arial"/>
          <w:sz w:val="18"/>
          <w:szCs w:val="18"/>
        </w:rPr>
        <w:t xml:space="preserve"> the existing eastern suburbs of Bundaberg City, the growth corridor of Kalkie Ashfield, and the central coastal area towns with shopping facilities and other complimentary uses.  Development of the centre is to ensure that</w:t>
      </w:r>
      <w:r>
        <w:rPr>
          <w:rFonts w:cs="Arial"/>
          <w:sz w:val="18"/>
          <w:szCs w:val="18"/>
        </w:rPr>
        <w:t>:</w:t>
      </w:r>
    </w:p>
    <w:p w14:paraId="6E314A9C" w14:textId="77777777" w:rsidR="00874A96" w:rsidRDefault="00874A96" w:rsidP="00874A96">
      <w:pPr>
        <w:pStyle w:val="ListParagraph"/>
        <w:rPr>
          <w:rFonts w:cs="Arial"/>
          <w:sz w:val="18"/>
          <w:szCs w:val="18"/>
        </w:rPr>
      </w:pPr>
    </w:p>
    <w:p w14:paraId="74082846" w14:textId="77777777" w:rsidR="00874A96" w:rsidRDefault="00874A96" w:rsidP="00874A96">
      <w:pPr>
        <w:numPr>
          <w:ilvl w:val="2"/>
          <w:numId w:val="29"/>
        </w:numPr>
        <w:ind w:left="1701" w:hanging="567"/>
        <w:rPr>
          <w:rFonts w:cs="Arial"/>
          <w:sz w:val="18"/>
          <w:szCs w:val="18"/>
        </w:rPr>
      </w:pPr>
      <w:r w:rsidRPr="00452DB3">
        <w:rPr>
          <w:rFonts w:cs="Arial"/>
          <w:sz w:val="18"/>
          <w:szCs w:val="18"/>
        </w:rPr>
        <w:t xml:space="preserve">it is well connected to surrounding residential areas through a walkable and </w:t>
      </w:r>
      <w:r>
        <w:rPr>
          <w:rFonts w:cs="Arial"/>
          <w:sz w:val="18"/>
          <w:szCs w:val="18"/>
        </w:rPr>
        <w:t>cycle friendly pathway network;</w:t>
      </w:r>
      <w:r w:rsidRPr="00452DB3">
        <w:rPr>
          <w:rFonts w:cs="Arial"/>
          <w:sz w:val="18"/>
          <w:szCs w:val="18"/>
        </w:rPr>
        <w:t xml:space="preserve"> </w:t>
      </w:r>
    </w:p>
    <w:p w14:paraId="77FDEAF4" w14:textId="77777777" w:rsidR="00874A96" w:rsidRDefault="00874A96" w:rsidP="00874A96">
      <w:pPr>
        <w:numPr>
          <w:ilvl w:val="2"/>
          <w:numId w:val="29"/>
        </w:numPr>
        <w:ind w:left="1701" w:hanging="567"/>
        <w:rPr>
          <w:rFonts w:cs="Arial"/>
          <w:sz w:val="18"/>
          <w:szCs w:val="18"/>
        </w:rPr>
      </w:pPr>
      <w:r>
        <w:rPr>
          <w:rFonts w:cs="Arial"/>
          <w:sz w:val="18"/>
          <w:szCs w:val="18"/>
        </w:rPr>
        <w:t>m</w:t>
      </w:r>
      <w:r w:rsidRPr="00452DB3">
        <w:rPr>
          <w:rFonts w:cs="Arial"/>
          <w:sz w:val="18"/>
          <w:szCs w:val="18"/>
        </w:rPr>
        <w:t>ulti-unit and other residential uses (such as shop top living and mix</w:t>
      </w:r>
      <w:r>
        <w:rPr>
          <w:rFonts w:cs="Arial"/>
          <w:sz w:val="18"/>
          <w:szCs w:val="18"/>
        </w:rPr>
        <w:t>ed use residential activities) contribute to the creation of</w:t>
      </w:r>
      <w:r w:rsidRPr="00452DB3">
        <w:rPr>
          <w:rFonts w:cs="Arial"/>
          <w:sz w:val="18"/>
          <w:szCs w:val="18"/>
        </w:rPr>
        <w:t xml:space="preserve"> an act</w:t>
      </w:r>
      <w:r>
        <w:rPr>
          <w:rFonts w:cs="Arial"/>
          <w:sz w:val="18"/>
          <w:szCs w:val="18"/>
        </w:rPr>
        <w:t>ive main street / town centre; and</w:t>
      </w:r>
    </w:p>
    <w:p w14:paraId="632B97A3" w14:textId="77777777" w:rsidR="00874A96" w:rsidRPr="00452DB3" w:rsidRDefault="00874A96" w:rsidP="00874A96">
      <w:pPr>
        <w:numPr>
          <w:ilvl w:val="2"/>
          <w:numId w:val="29"/>
        </w:numPr>
        <w:ind w:left="1701" w:hanging="567"/>
        <w:rPr>
          <w:rFonts w:cs="Arial"/>
          <w:sz w:val="18"/>
          <w:szCs w:val="18"/>
        </w:rPr>
      </w:pPr>
      <w:r>
        <w:rPr>
          <w:rFonts w:cs="Arial"/>
          <w:sz w:val="18"/>
          <w:szCs w:val="18"/>
        </w:rPr>
        <w:t>a</w:t>
      </w:r>
      <w:r w:rsidRPr="00452DB3">
        <w:rPr>
          <w:rFonts w:cs="Arial"/>
          <w:sz w:val="18"/>
          <w:szCs w:val="18"/>
        </w:rPr>
        <w:t xml:space="preserve">ctivities such as cafés and smaller retail shops encourage the use of the main street and community space areas outside normal business hours.  </w:t>
      </w:r>
    </w:p>
    <w:p w14:paraId="1A6531F1" w14:textId="77777777" w:rsidR="00874A96" w:rsidRDefault="00874A96" w:rsidP="00874A96">
      <w:pPr>
        <w:pStyle w:val="ListParagraph"/>
        <w:rPr>
          <w:rFonts w:eastAsia="Calibri"/>
          <w:sz w:val="18"/>
          <w:szCs w:val="18"/>
        </w:rPr>
      </w:pPr>
    </w:p>
    <w:p w14:paraId="3739A957" w14:textId="77777777" w:rsidR="00874A96" w:rsidRPr="007222E9" w:rsidRDefault="00874A96" w:rsidP="00874A96">
      <w:pPr>
        <w:numPr>
          <w:ilvl w:val="1"/>
          <w:numId w:val="29"/>
        </w:numPr>
        <w:tabs>
          <w:tab w:val="clear" w:pos="1440"/>
          <w:tab w:val="num" w:pos="1134"/>
        </w:tabs>
        <w:ind w:left="1134" w:hanging="567"/>
        <w:rPr>
          <w:rFonts w:cs="Arial"/>
          <w:sz w:val="18"/>
          <w:szCs w:val="18"/>
        </w:rPr>
      </w:pPr>
      <w:r w:rsidRPr="007222E9">
        <w:rPr>
          <w:rFonts w:eastAsia="Calibri"/>
          <w:sz w:val="18"/>
          <w:szCs w:val="18"/>
        </w:rPr>
        <w:t>development encourage</w:t>
      </w:r>
      <w:r>
        <w:rPr>
          <w:rFonts w:eastAsia="Calibri"/>
          <w:sz w:val="18"/>
          <w:szCs w:val="18"/>
        </w:rPr>
        <w:t>s</w:t>
      </w:r>
      <w:r w:rsidRPr="007222E9">
        <w:rPr>
          <w:rFonts w:eastAsia="Calibri"/>
          <w:sz w:val="18"/>
          <w:szCs w:val="18"/>
        </w:rPr>
        <w:t xml:space="preserve"> and facilitate</w:t>
      </w:r>
      <w:r>
        <w:rPr>
          <w:rFonts w:eastAsia="Calibri"/>
          <w:sz w:val="18"/>
          <w:szCs w:val="18"/>
        </w:rPr>
        <w:t>s</w:t>
      </w:r>
      <w:r w:rsidRPr="007222E9">
        <w:rPr>
          <w:rFonts w:eastAsia="Calibri"/>
          <w:sz w:val="18"/>
          <w:szCs w:val="18"/>
        </w:rPr>
        <w:t xml:space="preserve"> urban consolidation;</w:t>
      </w:r>
    </w:p>
    <w:p w14:paraId="3A2250B0" w14:textId="77777777" w:rsidR="00874A96" w:rsidRPr="007222E9" w:rsidRDefault="00874A96" w:rsidP="00874A96">
      <w:pPr>
        <w:ind w:left="1134"/>
        <w:rPr>
          <w:rFonts w:cs="Arial"/>
          <w:sz w:val="18"/>
          <w:szCs w:val="18"/>
        </w:rPr>
      </w:pPr>
    </w:p>
    <w:p w14:paraId="517E40DC" w14:textId="77777777" w:rsidR="00874A96" w:rsidRPr="0051019C" w:rsidRDefault="00874A96" w:rsidP="00874A96">
      <w:pPr>
        <w:numPr>
          <w:ilvl w:val="1"/>
          <w:numId w:val="29"/>
        </w:numPr>
        <w:tabs>
          <w:tab w:val="clear" w:pos="1440"/>
          <w:tab w:val="num" w:pos="1134"/>
        </w:tabs>
        <w:ind w:left="1134" w:hanging="567"/>
        <w:rPr>
          <w:sz w:val="18"/>
          <w:szCs w:val="18"/>
        </w:rPr>
      </w:pPr>
      <w:r>
        <w:rPr>
          <w:rFonts w:cs="Arial"/>
          <w:sz w:val="18"/>
          <w:szCs w:val="18"/>
        </w:rPr>
        <w:t>development facilitates the creation of vibrant and safe activity centres, with attractive and functional buildings, streets, open space and other public places provided;</w:t>
      </w:r>
    </w:p>
    <w:p w14:paraId="738B185A" w14:textId="77777777" w:rsidR="00874A96" w:rsidRPr="0051019C" w:rsidRDefault="00874A96" w:rsidP="00874A96">
      <w:pPr>
        <w:pStyle w:val="ListParagraph"/>
        <w:rPr>
          <w:sz w:val="18"/>
          <w:szCs w:val="18"/>
        </w:rPr>
      </w:pPr>
    </w:p>
    <w:p w14:paraId="3A322C22" w14:textId="77777777" w:rsidR="00874A96" w:rsidRPr="0051019C" w:rsidRDefault="00874A96" w:rsidP="00874A96">
      <w:pPr>
        <w:numPr>
          <w:ilvl w:val="1"/>
          <w:numId w:val="29"/>
        </w:numPr>
        <w:tabs>
          <w:tab w:val="clear" w:pos="1440"/>
          <w:tab w:val="num" w:pos="1134"/>
        </w:tabs>
        <w:ind w:left="1134" w:hanging="567"/>
        <w:rPr>
          <w:sz w:val="18"/>
          <w:szCs w:val="18"/>
        </w:rPr>
      </w:pPr>
      <w:r>
        <w:rPr>
          <w:rFonts w:cs="Arial"/>
          <w:sz w:val="18"/>
          <w:szCs w:val="18"/>
        </w:rPr>
        <w:t>development ensures that the relationship between uses and the public realm is enhanced and that each activity centre is outwardly focused;</w:t>
      </w:r>
    </w:p>
    <w:p w14:paraId="31D3DC82" w14:textId="77777777" w:rsidR="00874A96" w:rsidRPr="007222E9" w:rsidRDefault="00874A96" w:rsidP="00874A96">
      <w:pPr>
        <w:ind w:left="1134"/>
        <w:rPr>
          <w:sz w:val="18"/>
          <w:szCs w:val="18"/>
        </w:rPr>
      </w:pPr>
    </w:p>
    <w:p w14:paraId="27BF3DFF" w14:textId="77777777" w:rsidR="00874A96" w:rsidRPr="007222E9" w:rsidRDefault="00874A96" w:rsidP="00874A96">
      <w:pPr>
        <w:numPr>
          <w:ilvl w:val="1"/>
          <w:numId w:val="29"/>
        </w:numPr>
        <w:tabs>
          <w:tab w:val="clear" w:pos="1440"/>
          <w:tab w:val="num" w:pos="1134"/>
        </w:tabs>
        <w:ind w:left="1134" w:hanging="567"/>
        <w:rPr>
          <w:sz w:val="18"/>
          <w:szCs w:val="18"/>
        </w:rPr>
      </w:pPr>
      <w:r>
        <w:rPr>
          <w:rFonts w:cs="Arial"/>
          <w:sz w:val="18"/>
          <w:szCs w:val="18"/>
        </w:rPr>
        <w:t xml:space="preserve">where the zone includes a traditional “main street” character, development maintains and reinforces this established character; </w:t>
      </w:r>
    </w:p>
    <w:p w14:paraId="6EBA2026" w14:textId="77777777" w:rsidR="00874A96" w:rsidRPr="007222E9" w:rsidRDefault="00874A96" w:rsidP="00874A96">
      <w:pPr>
        <w:ind w:left="1134"/>
        <w:rPr>
          <w:sz w:val="18"/>
          <w:szCs w:val="18"/>
        </w:rPr>
      </w:pPr>
    </w:p>
    <w:p w14:paraId="75703AB4" w14:textId="77777777" w:rsidR="00874A96" w:rsidRDefault="00874A96" w:rsidP="00874A96">
      <w:pPr>
        <w:numPr>
          <w:ilvl w:val="1"/>
          <w:numId w:val="29"/>
        </w:numPr>
        <w:tabs>
          <w:tab w:val="clear" w:pos="1440"/>
          <w:tab w:val="num" w:pos="1134"/>
        </w:tabs>
        <w:ind w:left="1134" w:hanging="567"/>
        <w:rPr>
          <w:sz w:val="18"/>
          <w:szCs w:val="18"/>
        </w:rPr>
      </w:pPr>
      <w:r w:rsidRPr="007222E9">
        <w:rPr>
          <w:sz w:val="18"/>
          <w:szCs w:val="18"/>
        </w:rPr>
        <w:t>development has a predominantly low-rise built form</w:t>
      </w:r>
      <w:r>
        <w:rPr>
          <w:sz w:val="18"/>
          <w:szCs w:val="18"/>
        </w:rPr>
        <w:t xml:space="preserve"> that </w:t>
      </w:r>
      <w:r w:rsidRPr="00436F9C">
        <w:rPr>
          <w:sz w:val="18"/>
          <w:szCs w:val="18"/>
        </w:rPr>
        <w:t>is compatible with the existing and intended scale and character of the streetscape and surrounding area;</w:t>
      </w:r>
    </w:p>
    <w:p w14:paraId="6D88F09E" w14:textId="77777777" w:rsidR="00874A96" w:rsidRPr="00436F9C" w:rsidRDefault="00874A96" w:rsidP="00874A96">
      <w:pPr>
        <w:rPr>
          <w:sz w:val="18"/>
          <w:szCs w:val="18"/>
        </w:rPr>
      </w:pPr>
    </w:p>
    <w:p w14:paraId="3983C686" w14:textId="77777777" w:rsidR="00874A96" w:rsidRDefault="00874A96" w:rsidP="00874A96">
      <w:pPr>
        <w:numPr>
          <w:ilvl w:val="1"/>
          <w:numId w:val="29"/>
        </w:numPr>
        <w:tabs>
          <w:tab w:val="clear" w:pos="1440"/>
          <w:tab w:val="num" w:pos="1134"/>
        </w:tabs>
        <w:ind w:left="1134" w:hanging="567"/>
        <w:rPr>
          <w:rFonts w:cs="Arial"/>
          <w:sz w:val="18"/>
          <w:szCs w:val="18"/>
        </w:rPr>
      </w:pPr>
      <w:r>
        <w:rPr>
          <w:rFonts w:cs="Arial"/>
          <w:sz w:val="18"/>
          <w:szCs w:val="18"/>
        </w:rPr>
        <w:t>development provides for efficient and effective transport networks that maximise accessibility within and to the centre; and</w:t>
      </w:r>
    </w:p>
    <w:p w14:paraId="0F63D687" w14:textId="77777777" w:rsidR="00874A96" w:rsidRPr="007222E9" w:rsidRDefault="00874A96" w:rsidP="00874A96">
      <w:pPr>
        <w:ind w:left="1134"/>
        <w:rPr>
          <w:sz w:val="18"/>
          <w:szCs w:val="18"/>
        </w:rPr>
      </w:pPr>
    </w:p>
    <w:p w14:paraId="0429B657" w14:textId="77777777" w:rsidR="00874A96" w:rsidRPr="007222E9" w:rsidRDefault="00874A96" w:rsidP="00874A96">
      <w:pPr>
        <w:numPr>
          <w:ilvl w:val="1"/>
          <w:numId w:val="29"/>
        </w:numPr>
        <w:tabs>
          <w:tab w:val="clear" w:pos="1440"/>
          <w:tab w:val="num" w:pos="1134"/>
        </w:tabs>
        <w:ind w:left="1134" w:hanging="567"/>
        <w:rPr>
          <w:sz w:val="18"/>
          <w:szCs w:val="18"/>
        </w:rPr>
      </w:pPr>
      <w:r w:rsidRPr="007222E9">
        <w:rPr>
          <w:rFonts w:eastAsia="Calibri"/>
          <w:sz w:val="18"/>
          <w:szCs w:val="18"/>
        </w:rPr>
        <w:t xml:space="preserve">development </w:t>
      </w:r>
      <w:r>
        <w:rPr>
          <w:sz w:val="18"/>
          <w:szCs w:val="18"/>
        </w:rPr>
        <w:t>encourages and facilitates</w:t>
      </w:r>
      <w:r w:rsidRPr="007222E9">
        <w:rPr>
          <w:sz w:val="18"/>
          <w:szCs w:val="18"/>
        </w:rPr>
        <w:t xml:space="preserve"> 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rFonts w:eastAsia="Calibri"/>
          <w:sz w:val="18"/>
          <w:szCs w:val="18"/>
        </w:rPr>
        <w:t>.</w:t>
      </w:r>
    </w:p>
    <w:p w14:paraId="75C11EFD" w14:textId="77777777" w:rsidR="008935CB" w:rsidRPr="007222E9" w:rsidRDefault="008935CB" w:rsidP="00874A96">
      <w:pPr>
        <w:ind w:right="5951"/>
        <w:rPr>
          <w:sz w:val="18"/>
          <w:szCs w:val="18"/>
        </w:rPr>
      </w:pPr>
    </w:p>
    <w:p w14:paraId="0CCECEB1" w14:textId="77777777" w:rsidR="008935CB" w:rsidRDefault="008935CB" w:rsidP="008935CB">
      <w:pPr>
        <w:pStyle w:val="Heading4"/>
        <w:spacing w:before="100" w:after="200"/>
        <w:ind w:right="5951"/>
      </w:pPr>
      <w:r>
        <w:t>Specific benchmarks for assessment</w:t>
      </w:r>
    </w:p>
    <w:p w14:paraId="74DC1CA9" w14:textId="77777777" w:rsidR="008935CB" w:rsidRPr="004E4893" w:rsidRDefault="008935CB" w:rsidP="008935CB">
      <w:pPr>
        <w:spacing w:before="100" w:after="200"/>
        <w:ind w:left="1701" w:right="5951" w:hanging="1701"/>
        <w:outlineLvl w:val="6"/>
        <w:rPr>
          <w:b/>
          <w:bCs/>
          <w:iCs/>
        </w:rPr>
      </w:pPr>
      <w:bookmarkStart w:id="5" w:name="_Toc422825346"/>
      <w:bookmarkStart w:id="6" w:name="_Toc422826639"/>
      <w:r w:rsidRPr="004E4893">
        <w:rPr>
          <w:b/>
          <w:bCs/>
          <w:iCs/>
        </w:rPr>
        <w:t>Table 6.2.</w:t>
      </w:r>
      <w:r>
        <w:rPr>
          <w:b/>
          <w:bCs/>
          <w:iCs/>
        </w:rPr>
        <w:t>6</w:t>
      </w:r>
      <w:r w:rsidRPr="004E4893">
        <w:rPr>
          <w:b/>
          <w:bCs/>
          <w:iCs/>
        </w:rPr>
        <w:t>.3.1</w:t>
      </w:r>
      <w:r w:rsidRPr="004E4893">
        <w:rPr>
          <w:b/>
          <w:bCs/>
          <w:iCs/>
        </w:rPr>
        <w:tab/>
      </w:r>
      <w:r>
        <w:rPr>
          <w:b/>
          <w:bCs/>
          <w:iCs/>
        </w:rPr>
        <w:t>Benchmarks</w:t>
      </w:r>
      <w:r w:rsidRPr="004E4893">
        <w:rPr>
          <w:b/>
          <w:bCs/>
          <w:iCs/>
        </w:rPr>
        <w:t xml:space="preserve"> for assessable development</w:t>
      </w:r>
      <w:bookmarkEnd w:id="5"/>
      <w:bookmarkEnd w:id="6"/>
    </w:p>
    <w:tbl>
      <w:tblPr>
        <w:tblW w:w="140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695"/>
        <w:gridCol w:w="4695"/>
        <w:gridCol w:w="4695"/>
      </w:tblGrid>
      <w:tr w:rsidR="00874A96" w:rsidRPr="00084AFB" w14:paraId="79FCF8FF" w14:textId="31251D5F" w:rsidTr="00874A96">
        <w:trPr>
          <w:tblHeader/>
        </w:trPr>
        <w:tc>
          <w:tcPr>
            <w:tcW w:w="4695" w:type="dxa"/>
            <w:shd w:val="solid" w:color="auto" w:fill="auto"/>
          </w:tcPr>
          <w:p w14:paraId="1F79B35B" w14:textId="77777777" w:rsidR="00874A96" w:rsidRPr="00084AFB" w:rsidRDefault="00874A96" w:rsidP="003352DF">
            <w:pPr>
              <w:pStyle w:val="ListParagraph"/>
              <w:ind w:left="0"/>
              <w:rPr>
                <w:rFonts w:cs="Arial"/>
                <w:b/>
                <w:sz w:val="18"/>
                <w:szCs w:val="18"/>
              </w:rPr>
            </w:pPr>
            <w:r w:rsidRPr="00084AFB">
              <w:rPr>
                <w:rFonts w:cs="Arial"/>
                <w:b/>
                <w:sz w:val="18"/>
                <w:szCs w:val="18"/>
              </w:rPr>
              <w:t>Performance outcomes</w:t>
            </w:r>
          </w:p>
        </w:tc>
        <w:tc>
          <w:tcPr>
            <w:tcW w:w="4695" w:type="dxa"/>
            <w:shd w:val="solid" w:color="auto" w:fill="auto"/>
          </w:tcPr>
          <w:p w14:paraId="1AE26302" w14:textId="77777777" w:rsidR="00874A96" w:rsidRPr="00084AFB" w:rsidRDefault="00874A96" w:rsidP="003352DF">
            <w:pPr>
              <w:pStyle w:val="ListParagraph"/>
              <w:ind w:left="0"/>
              <w:rPr>
                <w:rFonts w:cs="Arial"/>
                <w:b/>
                <w:sz w:val="18"/>
                <w:szCs w:val="18"/>
              </w:rPr>
            </w:pPr>
            <w:r w:rsidRPr="00084AFB">
              <w:rPr>
                <w:rFonts w:cs="Arial"/>
                <w:b/>
                <w:sz w:val="18"/>
                <w:szCs w:val="18"/>
              </w:rPr>
              <w:t>Acceptable outcomes</w:t>
            </w:r>
          </w:p>
        </w:tc>
        <w:tc>
          <w:tcPr>
            <w:tcW w:w="4695" w:type="dxa"/>
            <w:shd w:val="solid" w:color="auto" w:fill="auto"/>
          </w:tcPr>
          <w:p w14:paraId="77E48BCB" w14:textId="04E6F4D0" w:rsidR="00874A96" w:rsidRPr="00084AFB" w:rsidRDefault="00874A96" w:rsidP="003352DF">
            <w:pPr>
              <w:pStyle w:val="ListParagraph"/>
              <w:ind w:left="0"/>
              <w:rPr>
                <w:rFonts w:cs="Arial"/>
                <w:b/>
                <w:sz w:val="18"/>
                <w:szCs w:val="18"/>
              </w:rPr>
            </w:pPr>
            <w:r>
              <w:rPr>
                <w:rFonts w:cs="Arial"/>
                <w:b/>
                <w:sz w:val="18"/>
                <w:szCs w:val="18"/>
              </w:rPr>
              <w:t xml:space="preserve">Compliance / Representations </w:t>
            </w:r>
          </w:p>
        </w:tc>
      </w:tr>
      <w:tr w:rsidR="00874A96" w:rsidRPr="00084AFB" w14:paraId="2A59F63B" w14:textId="15D3D320" w:rsidTr="0050645D">
        <w:tc>
          <w:tcPr>
            <w:tcW w:w="14085" w:type="dxa"/>
            <w:gridSpan w:val="3"/>
            <w:shd w:val="clear" w:color="auto" w:fill="D9D9D9"/>
          </w:tcPr>
          <w:p w14:paraId="7A572726" w14:textId="7F123000" w:rsidR="00874A96" w:rsidRDefault="00874A96" w:rsidP="003352DF">
            <w:pPr>
              <w:pStyle w:val="ListParagraph"/>
              <w:ind w:left="0"/>
              <w:rPr>
                <w:rFonts w:cs="Arial"/>
                <w:b/>
                <w:i/>
                <w:sz w:val="18"/>
                <w:szCs w:val="18"/>
              </w:rPr>
            </w:pPr>
            <w:r>
              <w:rPr>
                <w:rFonts w:cs="Arial"/>
                <w:b/>
                <w:i/>
                <w:sz w:val="18"/>
                <w:szCs w:val="18"/>
              </w:rPr>
              <w:t>Land use composition and activity centre network</w:t>
            </w:r>
          </w:p>
        </w:tc>
      </w:tr>
      <w:tr w:rsidR="00874A96" w:rsidRPr="00436005" w14:paraId="7ADF1401" w14:textId="7C85C34E" w:rsidTr="00874A96">
        <w:tc>
          <w:tcPr>
            <w:tcW w:w="4695" w:type="dxa"/>
            <w:shd w:val="clear" w:color="auto" w:fill="auto"/>
          </w:tcPr>
          <w:p w14:paraId="5847F44C" w14:textId="77777777" w:rsidR="00874A96" w:rsidRPr="00084AFB" w:rsidRDefault="00874A96" w:rsidP="003352DF">
            <w:pPr>
              <w:pStyle w:val="ListParagraph"/>
              <w:ind w:left="0"/>
              <w:rPr>
                <w:rFonts w:cs="Arial"/>
                <w:b/>
                <w:sz w:val="18"/>
                <w:szCs w:val="18"/>
              </w:rPr>
            </w:pPr>
            <w:r w:rsidRPr="00084AFB">
              <w:rPr>
                <w:rFonts w:cs="Arial"/>
                <w:b/>
                <w:sz w:val="18"/>
                <w:szCs w:val="18"/>
              </w:rPr>
              <w:t>PO1</w:t>
            </w:r>
          </w:p>
          <w:p w14:paraId="5B73F0A8" w14:textId="77777777" w:rsidR="00874A96" w:rsidRPr="00084AFB" w:rsidRDefault="00874A96" w:rsidP="003352DF">
            <w:pPr>
              <w:pStyle w:val="ListParagraph"/>
              <w:ind w:left="0"/>
              <w:rPr>
                <w:rFonts w:cs="Arial"/>
                <w:sz w:val="18"/>
                <w:szCs w:val="18"/>
              </w:rPr>
            </w:pPr>
            <w:r w:rsidRPr="00084AFB">
              <w:rPr>
                <w:rFonts w:cs="Arial"/>
                <w:sz w:val="18"/>
                <w:szCs w:val="18"/>
              </w:rPr>
              <w:t xml:space="preserve">Development in the </w:t>
            </w:r>
            <w:r>
              <w:rPr>
                <w:rFonts w:cs="Arial"/>
                <w:sz w:val="18"/>
                <w:szCs w:val="18"/>
              </w:rPr>
              <w:t xml:space="preserve">District centre </w:t>
            </w:r>
            <w:r w:rsidRPr="00084AFB">
              <w:rPr>
                <w:rFonts w:cs="Arial"/>
                <w:sz w:val="18"/>
                <w:szCs w:val="18"/>
              </w:rPr>
              <w:t xml:space="preserve">zone provides </w:t>
            </w:r>
            <w:r>
              <w:rPr>
                <w:rFonts w:cs="Arial"/>
                <w:sz w:val="18"/>
                <w:szCs w:val="18"/>
              </w:rPr>
              <w:t xml:space="preserve">for a range of retail business activities, including shops and shopping centres, </w:t>
            </w:r>
            <w:r w:rsidRPr="007222E9">
              <w:rPr>
                <w:sz w:val="18"/>
                <w:szCs w:val="18"/>
              </w:rPr>
              <w:t xml:space="preserve">which service the </w:t>
            </w:r>
            <w:r w:rsidRPr="006050F6">
              <w:rPr>
                <w:sz w:val="18"/>
                <w:szCs w:val="18"/>
              </w:rPr>
              <w:t xml:space="preserve">day to day and weekly shopping </w:t>
            </w:r>
            <w:r w:rsidRPr="007222E9">
              <w:rPr>
                <w:sz w:val="18"/>
                <w:szCs w:val="18"/>
              </w:rPr>
              <w:t>needs of coastal and rural towns and villages or groups of residential neighbourhoods in Bundaberg</w:t>
            </w:r>
            <w:r>
              <w:rPr>
                <w:rFonts w:cs="Arial"/>
                <w:sz w:val="18"/>
                <w:szCs w:val="18"/>
              </w:rPr>
              <w:t>.</w:t>
            </w:r>
          </w:p>
        </w:tc>
        <w:tc>
          <w:tcPr>
            <w:tcW w:w="4695" w:type="dxa"/>
            <w:shd w:val="clear" w:color="auto" w:fill="auto"/>
          </w:tcPr>
          <w:p w14:paraId="09E45033" w14:textId="77777777" w:rsidR="00874A96" w:rsidRPr="00084AFB" w:rsidRDefault="00874A96" w:rsidP="003352DF">
            <w:pPr>
              <w:pStyle w:val="ListParagraph"/>
              <w:ind w:left="0"/>
              <w:rPr>
                <w:rFonts w:cs="Arial"/>
                <w:b/>
                <w:sz w:val="18"/>
                <w:szCs w:val="18"/>
              </w:rPr>
            </w:pPr>
            <w:r>
              <w:rPr>
                <w:rFonts w:cs="Arial"/>
                <w:b/>
                <w:sz w:val="18"/>
                <w:szCs w:val="18"/>
              </w:rPr>
              <w:t>AO1</w:t>
            </w:r>
          </w:p>
          <w:p w14:paraId="16E56EF9" w14:textId="77777777" w:rsidR="00874A96" w:rsidRPr="00436005" w:rsidRDefault="00874A96" w:rsidP="003352DF">
            <w:pPr>
              <w:pStyle w:val="CommentText"/>
              <w:rPr>
                <w:rFonts w:cs="Arial"/>
                <w:sz w:val="18"/>
                <w:szCs w:val="18"/>
              </w:rPr>
            </w:pPr>
            <w:r>
              <w:rPr>
                <w:rFonts w:cs="Arial"/>
                <w:sz w:val="18"/>
                <w:szCs w:val="18"/>
              </w:rPr>
              <w:t>No acceptable outcome provided.</w:t>
            </w:r>
          </w:p>
        </w:tc>
        <w:tc>
          <w:tcPr>
            <w:tcW w:w="4695" w:type="dxa"/>
          </w:tcPr>
          <w:p w14:paraId="32A273C2" w14:textId="5401A9F4" w:rsidR="00874A96" w:rsidRDefault="00874A96" w:rsidP="003352DF">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874A96" w14:paraId="5E682EDA" w14:textId="1D3FAD06" w:rsidTr="00874A96">
        <w:tc>
          <w:tcPr>
            <w:tcW w:w="4695" w:type="dxa"/>
            <w:shd w:val="clear" w:color="auto" w:fill="auto"/>
          </w:tcPr>
          <w:p w14:paraId="5B0F6A7D" w14:textId="77777777" w:rsidR="00874A96" w:rsidRPr="00653BF2" w:rsidRDefault="00874A96" w:rsidP="003352DF">
            <w:pPr>
              <w:pStyle w:val="ListParagraph"/>
              <w:ind w:left="0"/>
              <w:rPr>
                <w:b/>
                <w:sz w:val="18"/>
                <w:szCs w:val="18"/>
              </w:rPr>
            </w:pPr>
            <w:r w:rsidRPr="00653BF2">
              <w:rPr>
                <w:b/>
                <w:sz w:val="18"/>
                <w:szCs w:val="18"/>
              </w:rPr>
              <w:t>PO2</w:t>
            </w:r>
          </w:p>
          <w:p w14:paraId="79752EA0" w14:textId="77777777" w:rsidR="00874A96" w:rsidRPr="00084AFB" w:rsidRDefault="00874A96" w:rsidP="003352DF">
            <w:pPr>
              <w:pStyle w:val="ListParagraph"/>
              <w:ind w:left="0"/>
              <w:rPr>
                <w:rFonts w:cs="Arial"/>
                <w:b/>
                <w:sz w:val="18"/>
                <w:szCs w:val="18"/>
              </w:rPr>
            </w:pPr>
            <w:r>
              <w:rPr>
                <w:sz w:val="18"/>
                <w:szCs w:val="18"/>
              </w:rPr>
              <w:t>D</w:t>
            </w:r>
            <w:r w:rsidRPr="007222E9">
              <w:rPr>
                <w:sz w:val="18"/>
                <w:szCs w:val="18"/>
              </w:rPr>
              <w:t xml:space="preserve">evelopment for business activities is of a scale and intensity that is consistent with the intended role and function of </w:t>
            </w:r>
            <w:r>
              <w:rPr>
                <w:sz w:val="18"/>
                <w:szCs w:val="18"/>
              </w:rPr>
              <w:t>a district</w:t>
            </w:r>
            <w:r w:rsidRPr="007222E9">
              <w:rPr>
                <w:sz w:val="18"/>
                <w:szCs w:val="18"/>
              </w:rPr>
              <w:t xml:space="preserve"> activity centre</w:t>
            </w:r>
            <w:r>
              <w:rPr>
                <w:sz w:val="18"/>
                <w:szCs w:val="18"/>
              </w:rPr>
              <w:t>.</w:t>
            </w:r>
          </w:p>
        </w:tc>
        <w:tc>
          <w:tcPr>
            <w:tcW w:w="4695" w:type="dxa"/>
            <w:shd w:val="clear" w:color="auto" w:fill="auto"/>
          </w:tcPr>
          <w:p w14:paraId="1F8A9B93" w14:textId="77777777" w:rsidR="00874A96" w:rsidRPr="00084AFB" w:rsidRDefault="00874A96" w:rsidP="003352DF">
            <w:pPr>
              <w:pStyle w:val="ListParagraph"/>
              <w:ind w:left="0"/>
              <w:rPr>
                <w:rFonts w:cs="Arial"/>
                <w:b/>
                <w:sz w:val="18"/>
                <w:szCs w:val="18"/>
              </w:rPr>
            </w:pPr>
            <w:r>
              <w:rPr>
                <w:rFonts w:cs="Arial"/>
                <w:b/>
                <w:sz w:val="18"/>
                <w:szCs w:val="18"/>
              </w:rPr>
              <w:t>AO2</w:t>
            </w:r>
          </w:p>
          <w:p w14:paraId="237F1C2A" w14:textId="77777777" w:rsidR="00874A96" w:rsidRDefault="00874A96" w:rsidP="003352DF">
            <w:pPr>
              <w:pStyle w:val="ListParagraph"/>
              <w:ind w:left="0"/>
              <w:rPr>
                <w:rFonts w:cs="Arial"/>
                <w:b/>
                <w:sz w:val="18"/>
                <w:szCs w:val="18"/>
              </w:rPr>
            </w:pPr>
            <w:r>
              <w:rPr>
                <w:rFonts w:cs="Arial"/>
                <w:sz w:val="18"/>
                <w:szCs w:val="18"/>
              </w:rPr>
              <w:t>No acceptable outcome provided.</w:t>
            </w:r>
          </w:p>
        </w:tc>
        <w:tc>
          <w:tcPr>
            <w:tcW w:w="4695" w:type="dxa"/>
          </w:tcPr>
          <w:p w14:paraId="5576821D" w14:textId="7697D657" w:rsidR="00874A96"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14BBD82" w14:textId="77777777" w:rsidR="00874A96" w:rsidRDefault="00874A96" w:rsidP="00874A96">
            <w:pPr>
              <w:rPr>
                <w:rFonts w:cs="Arial"/>
                <w:b/>
                <w:sz w:val="18"/>
                <w:szCs w:val="18"/>
              </w:rPr>
            </w:pPr>
          </w:p>
          <w:p w14:paraId="2EDD86F6" w14:textId="4D81F789" w:rsidR="00874A96" w:rsidRPr="00874A96" w:rsidRDefault="00874A96" w:rsidP="00874A96">
            <w:pPr>
              <w:tabs>
                <w:tab w:val="left" w:pos="912"/>
              </w:tabs>
            </w:pPr>
            <w:r>
              <w:tab/>
            </w:r>
          </w:p>
        </w:tc>
      </w:tr>
      <w:tr w:rsidR="00874A96" w14:paraId="18EDF4E9" w14:textId="038F65A9" w:rsidTr="00874A96">
        <w:tc>
          <w:tcPr>
            <w:tcW w:w="4695" w:type="dxa"/>
            <w:shd w:val="clear" w:color="auto" w:fill="auto"/>
          </w:tcPr>
          <w:p w14:paraId="5DDA58DB" w14:textId="77777777" w:rsidR="00874A96" w:rsidRPr="00B82898" w:rsidRDefault="00874A96" w:rsidP="003352DF">
            <w:pPr>
              <w:pStyle w:val="ListParagraph"/>
              <w:ind w:left="0"/>
              <w:rPr>
                <w:b/>
                <w:sz w:val="18"/>
                <w:szCs w:val="18"/>
              </w:rPr>
            </w:pPr>
            <w:r w:rsidRPr="00B82898">
              <w:rPr>
                <w:b/>
                <w:sz w:val="18"/>
                <w:szCs w:val="18"/>
              </w:rPr>
              <w:t>PO</w:t>
            </w:r>
            <w:r>
              <w:rPr>
                <w:b/>
                <w:sz w:val="18"/>
                <w:szCs w:val="18"/>
              </w:rPr>
              <w:t>3</w:t>
            </w:r>
          </w:p>
          <w:p w14:paraId="1C8FA679" w14:textId="77777777" w:rsidR="00874A96" w:rsidRPr="00084AFB" w:rsidRDefault="00874A96" w:rsidP="003352DF">
            <w:pPr>
              <w:pStyle w:val="ListParagraph"/>
              <w:ind w:left="0"/>
              <w:rPr>
                <w:rFonts w:cs="Arial"/>
                <w:b/>
                <w:sz w:val="18"/>
                <w:szCs w:val="18"/>
              </w:rPr>
            </w:pPr>
            <w:r>
              <w:rPr>
                <w:sz w:val="18"/>
                <w:szCs w:val="18"/>
              </w:rPr>
              <w:t>D</w:t>
            </w:r>
            <w:r w:rsidRPr="007222E9">
              <w:rPr>
                <w:sz w:val="18"/>
                <w:szCs w:val="18"/>
              </w:rPr>
              <w:t>evelopment ensures that higher order shopping facilities, including department stores</w:t>
            </w:r>
            <w:r>
              <w:rPr>
                <w:sz w:val="18"/>
                <w:szCs w:val="18"/>
              </w:rPr>
              <w:t>,</w:t>
            </w:r>
            <w:r w:rsidRPr="007222E9">
              <w:rPr>
                <w:sz w:val="18"/>
                <w:szCs w:val="18"/>
              </w:rPr>
              <w:t xml:space="preserve"> are not established in the District centre zone and discount </w:t>
            </w:r>
            <w:r w:rsidRPr="007222E9">
              <w:rPr>
                <w:sz w:val="18"/>
                <w:szCs w:val="18"/>
              </w:rPr>
              <w:lastRenderedPageBreak/>
              <w:t xml:space="preserve">department stores are only established in the </w:t>
            </w:r>
            <w:r>
              <w:rPr>
                <w:sz w:val="18"/>
                <w:szCs w:val="18"/>
              </w:rPr>
              <w:t>zone</w:t>
            </w:r>
            <w:r w:rsidRPr="007222E9">
              <w:rPr>
                <w:sz w:val="18"/>
                <w:szCs w:val="18"/>
              </w:rPr>
              <w:t xml:space="preserve"> where there is demonstrated need</w:t>
            </w:r>
            <w:r>
              <w:rPr>
                <w:sz w:val="18"/>
                <w:szCs w:val="18"/>
              </w:rPr>
              <w:t>.</w:t>
            </w:r>
          </w:p>
        </w:tc>
        <w:tc>
          <w:tcPr>
            <w:tcW w:w="4695" w:type="dxa"/>
            <w:shd w:val="clear" w:color="auto" w:fill="auto"/>
          </w:tcPr>
          <w:p w14:paraId="4DF22C6C" w14:textId="77777777" w:rsidR="00874A96" w:rsidRPr="00084AFB" w:rsidRDefault="00874A96" w:rsidP="003352DF">
            <w:pPr>
              <w:pStyle w:val="ListParagraph"/>
              <w:ind w:left="0"/>
              <w:rPr>
                <w:rFonts w:cs="Arial"/>
                <w:b/>
                <w:sz w:val="18"/>
                <w:szCs w:val="18"/>
              </w:rPr>
            </w:pPr>
            <w:r>
              <w:rPr>
                <w:rFonts w:cs="Arial"/>
                <w:b/>
                <w:sz w:val="18"/>
                <w:szCs w:val="18"/>
              </w:rPr>
              <w:lastRenderedPageBreak/>
              <w:t>AO3</w:t>
            </w:r>
          </w:p>
          <w:p w14:paraId="5E9F1B7A" w14:textId="77777777" w:rsidR="00874A96" w:rsidRDefault="00874A96" w:rsidP="003352DF">
            <w:pPr>
              <w:pStyle w:val="ListParagraph"/>
              <w:ind w:left="0"/>
              <w:rPr>
                <w:rFonts w:cs="Arial"/>
                <w:b/>
                <w:sz w:val="18"/>
                <w:szCs w:val="18"/>
              </w:rPr>
            </w:pPr>
            <w:r>
              <w:rPr>
                <w:rFonts w:cs="Arial"/>
                <w:sz w:val="18"/>
                <w:szCs w:val="18"/>
              </w:rPr>
              <w:t>No acceptable outcome provided.</w:t>
            </w:r>
          </w:p>
        </w:tc>
        <w:tc>
          <w:tcPr>
            <w:tcW w:w="4695" w:type="dxa"/>
          </w:tcPr>
          <w:p w14:paraId="2F3BB327" w14:textId="2EE56293" w:rsidR="00874A96"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14:paraId="52DA98C6" w14:textId="20549FD5" w:rsidTr="00874A96">
        <w:trPr>
          <w:trHeight w:val="2413"/>
        </w:trPr>
        <w:tc>
          <w:tcPr>
            <w:tcW w:w="4695" w:type="dxa"/>
            <w:shd w:val="clear" w:color="auto" w:fill="auto"/>
          </w:tcPr>
          <w:p w14:paraId="7BD93D19" w14:textId="77777777" w:rsidR="00874A96" w:rsidRPr="00074728" w:rsidRDefault="00874A96" w:rsidP="003352DF">
            <w:pPr>
              <w:pStyle w:val="ListParagraph"/>
              <w:ind w:left="0"/>
              <w:rPr>
                <w:b/>
                <w:sz w:val="18"/>
                <w:szCs w:val="18"/>
                <w:lang w:val="en-US"/>
              </w:rPr>
            </w:pPr>
            <w:r w:rsidRPr="00074728">
              <w:rPr>
                <w:b/>
                <w:sz w:val="18"/>
                <w:szCs w:val="18"/>
                <w:lang w:val="en-US"/>
              </w:rPr>
              <w:t>PO</w:t>
            </w:r>
            <w:r>
              <w:rPr>
                <w:b/>
                <w:sz w:val="18"/>
                <w:szCs w:val="18"/>
                <w:lang w:val="en-US"/>
              </w:rPr>
              <w:t>4</w:t>
            </w:r>
          </w:p>
          <w:p w14:paraId="5809D999" w14:textId="77777777" w:rsidR="00874A96" w:rsidRPr="00084AFB" w:rsidRDefault="00874A96" w:rsidP="003352DF">
            <w:pPr>
              <w:pStyle w:val="ListParagraph"/>
              <w:ind w:left="0"/>
              <w:rPr>
                <w:rFonts w:cs="Arial"/>
                <w:b/>
                <w:sz w:val="18"/>
                <w:szCs w:val="18"/>
              </w:rPr>
            </w:pPr>
            <w:r>
              <w:rPr>
                <w:sz w:val="18"/>
                <w:szCs w:val="18"/>
                <w:lang w:val="en-US"/>
              </w:rPr>
              <w:t>I</w:t>
            </w:r>
            <w:r w:rsidRPr="007222E9">
              <w:rPr>
                <w:sz w:val="18"/>
                <w:szCs w:val="18"/>
                <w:lang w:val="en-US"/>
              </w:rPr>
              <w:t xml:space="preserve">n addition to retail uses, development provides for a mix of other </w:t>
            </w:r>
            <w:r>
              <w:rPr>
                <w:sz w:val="18"/>
                <w:szCs w:val="18"/>
                <w:lang w:val="en-US"/>
              </w:rPr>
              <w:t>business activities</w:t>
            </w:r>
            <w:r w:rsidRPr="007222E9">
              <w:rPr>
                <w:sz w:val="18"/>
                <w:szCs w:val="18"/>
                <w:lang w:val="en-US"/>
              </w:rPr>
              <w:t xml:space="preserve"> </w:t>
            </w:r>
            <w:r>
              <w:rPr>
                <w:sz w:val="18"/>
                <w:szCs w:val="18"/>
                <w:lang w:val="en-US"/>
              </w:rPr>
              <w:t xml:space="preserve">and community activities </w:t>
            </w:r>
            <w:r w:rsidRPr="007222E9">
              <w:rPr>
                <w:sz w:val="18"/>
                <w:szCs w:val="18"/>
                <w:lang w:val="en-US"/>
              </w:rPr>
              <w:t>to promote an active, mixed use environment</w:t>
            </w:r>
            <w:r>
              <w:rPr>
                <w:sz w:val="18"/>
                <w:szCs w:val="18"/>
                <w:lang w:val="en-US"/>
              </w:rPr>
              <w:t>.</w:t>
            </w:r>
          </w:p>
        </w:tc>
        <w:tc>
          <w:tcPr>
            <w:tcW w:w="4695" w:type="dxa"/>
            <w:shd w:val="clear" w:color="auto" w:fill="auto"/>
          </w:tcPr>
          <w:p w14:paraId="0CEDA39E"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4</w:t>
            </w:r>
          </w:p>
          <w:p w14:paraId="13AAA07E" w14:textId="77777777" w:rsidR="00874A96" w:rsidRDefault="00874A96" w:rsidP="003352DF">
            <w:pPr>
              <w:pStyle w:val="ListParagraph"/>
              <w:ind w:left="0"/>
              <w:rPr>
                <w:rFonts w:cs="Arial"/>
                <w:sz w:val="18"/>
                <w:szCs w:val="18"/>
              </w:rPr>
            </w:pPr>
            <w:r>
              <w:rPr>
                <w:rFonts w:cs="Arial"/>
                <w:sz w:val="18"/>
                <w:szCs w:val="18"/>
              </w:rPr>
              <w:t>Development provides for the following activities:-</w:t>
            </w:r>
          </w:p>
          <w:p w14:paraId="13DBCF2D" w14:textId="77777777" w:rsidR="00874A96" w:rsidRPr="00B82898" w:rsidRDefault="00874A96" w:rsidP="00874A96">
            <w:pPr>
              <w:pStyle w:val="ListParagraph"/>
              <w:numPr>
                <w:ilvl w:val="0"/>
                <w:numId w:val="60"/>
              </w:numPr>
              <w:rPr>
                <w:rFonts w:cs="Arial"/>
                <w:b/>
                <w:sz w:val="18"/>
                <w:szCs w:val="18"/>
              </w:rPr>
            </w:pPr>
            <w:r w:rsidRPr="00B82898">
              <w:rPr>
                <w:sz w:val="18"/>
                <w:szCs w:val="18"/>
              </w:rPr>
              <w:t>food</w:t>
            </w:r>
            <w:r w:rsidRPr="007222E9">
              <w:rPr>
                <w:sz w:val="18"/>
                <w:szCs w:val="18"/>
                <w:lang w:val="en-US"/>
              </w:rPr>
              <w:t xml:space="preserve"> and drink outlets (e.g. local restaurant and dining facilities)</w:t>
            </w:r>
            <w:r>
              <w:rPr>
                <w:sz w:val="18"/>
                <w:szCs w:val="18"/>
                <w:lang w:val="en-US"/>
              </w:rPr>
              <w:t>;</w:t>
            </w:r>
          </w:p>
          <w:p w14:paraId="72A7BD2C" w14:textId="77777777" w:rsidR="00874A96" w:rsidRPr="00B82898" w:rsidRDefault="00874A96" w:rsidP="00874A96">
            <w:pPr>
              <w:pStyle w:val="ListParagraph"/>
              <w:numPr>
                <w:ilvl w:val="0"/>
                <w:numId w:val="60"/>
              </w:numPr>
              <w:rPr>
                <w:rFonts w:cs="Arial"/>
                <w:b/>
                <w:sz w:val="18"/>
                <w:szCs w:val="18"/>
              </w:rPr>
            </w:pPr>
            <w:r w:rsidRPr="007222E9">
              <w:rPr>
                <w:sz w:val="18"/>
                <w:szCs w:val="18"/>
                <w:lang w:val="en-US"/>
              </w:rPr>
              <w:t>local health care services</w:t>
            </w:r>
            <w:r>
              <w:rPr>
                <w:sz w:val="18"/>
                <w:szCs w:val="18"/>
                <w:lang w:val="en-US"/>
              </w:rPr>
              <w:t>;</w:t>
            </w:r>
          </w:p>
          <w:p w14:paraId="28113A4C" w14:textId="77777777" w:rsidR="00874A96" w:rsidRPr="00400D1A" w:rsidRDefault="00874A96" w:rsidP="00874A96">
            <w:pPr>
              <w:pStyle w:val="ListParagraph"/>
              <w:numPr>
                <w:ilvl w:val="0"/>
                <w:numId w:val="60"/>
              </w:numPr>
              <w:rPr>
                <w:rFonts w:cs="Arial"/>
                <w:b/>
                <w:sz w:val="18"/>
                <w:szCs w:val="18"/>
              </w:rPr>
            </w:pPr>
            <w:r w:rsidRPr="007222E9">
              <w:rPr>
                <w:sz w:val="18"/>
                <w:szCs w:val="18"/>
                <w:lang w:val="en-US"/>
              </w:rPr>
              <w:t>offices (e.g. banks and real estate agencies)</w:t>
            </w:r>
            <w:r>
              <w:rPr>
                <w:sz w:val="18"/>
                <w:szCs w:val="18"/>
                <w:lang w:val="en-US"/>
              </w:rPr>
              <w:t>;</w:t>
            </w:r>
          </w:p>
          <w:p w14:paraId="37F62C15" w14:textId="77777777" w:rsidR="00874A96" w:rsidRPr="00B82898" w:rsidRDefault="00874A96" w:rsidP="00874A96">
            <w:pPr>
              <w:pStyle w:val="ListParagraph"/>
              <w:numPr>
                <w:ilvl w:val="0"/>
                <w:numId w:val="60"/>
              </w:numPr>
              <w:rPr>
                <w:rFonts w:cs="Arial"/>
                <w:b/>
                <w:sz w:val="18"/>
                <w:szCs w:val="18"/>
              </w:rPr>
            </w:pPr>
            <w:r>
              <w:rPr>
                <w:sz w:val="18"/>
                <w:szCs w:val="18"/>
                <w:lang w:val="en-US"/>
              </w:rPr>
              <w:t>entertainment uses (e.g. a club, function facility or theatre);</w:t>
            </w:r>
            <w:r w:rsidRPr="007222E9">
              <w:rPr>
                <w:sz w:val="18"/>
                <w:szCs w:val="18"/>
                <w:lang w:val="en-US"/>
              </w:rPr>
              <w:t xml:space="preserve"> and</w:t>
            </w:r>
          </w:p>
          <w:p w14:paraId="7A05FD7D" w14:textId="77777777" w:rsidR="00874A96" w:rsidRDefault="00874A96" w:rsidP="00874A96">
            <w:pPr>
              <w:pStyle w:val="ListParagraph"/>
              <w:numPr>
                <w:ilvl w:val="0"/>
                <w:numId w:val="60"/>
              </w:numPr>
              <w:rPr>
                <w:rFonts w:cs="Arial"/>
                <w:b/>
                <w:sz w:val="18"/>
                <w:szCs w:val="18"/>
              </w:rPr>
            </w:pPr>
            <w:r w:rsidRPr="007222E9">
              <w:rPr>
                <w:sz w:val="18"/>
                <w:szCs w:val="18"/>
                <w:lang w:val="en-US"/>
              </w:rPr>
              <w:t>an appropriate range of community activities and support services</w:t>
            </w:r>
            <w:r>
              <w:rPr>
                <w:sz w:val="18"/>
                <w:szCs w:val="18"/>
                <w:lang w:val="en-US"/>
              </w:rPr>
              <w:t>.</w:t>
            </w:r>
          </w:p>
        </w:tc>
        <w:tc>
          <w:tcPr>
            <w:tcW w:w="4695" w:type="dxa"/>
          </w:tcPr>
          <w:p w14:paraId="69847EDA" w14:textId="01A2C0E6"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B2594D" w14:paraId="39E33281" w14:textId="1B034E2F" w:rsidTr="00874A96">
        <w:tc>
          <w:tcPr>
            <w:tcW w:w="4695" w:type="dxa"/>
            <w:shd w:val="clear" w:color="auto" w:fill="auto"/>
          </w:tcPr>
          <w:p w14:paraId="2723C138" w14:textId="77777777" w:rsidR="00874A96" w:rsidRDefault="00874A96" w:rsidP="003352DF">
            <w:pPr>
              <w:pStyle w:val="ListParagraph"/>
              <w:ind w:left="0"/>
              <w:rPr>
                <w:b/>
                <w:sz w:val="18"/>
                <w:szCs w:val="18"/>
              </w:rPr>
            </w:pPr>
            <w:r w:rsidRPr="00B82898">
              <w:rPr>
                <w:b/>
                <w:sz w:val="18"/>
                <w:szCs w:val="18"/>
              </w:rPr>
              <w:t>PO</w:t>
            </w:r>
            <w:r>
              <w:rPr>
                <w:b/>
                <w:sz w:val="18"/>
                <w:szCs w:val="18"/>
              </w:rPr>
              <w:t>5</w:t>
            </w:r>
          </w:p>
          <w:p w14:paraId="21B83A4B" w14:textId="77777777" w:rsidR="00874A96" w:rsidRPr="008E36BB" w:rsidRDefault="00874A96" w:rsidP="003352DF">
            <w:pPr>
              <w:pStyle w:val="ListParagraph"/>
              <w:ind w:left="0"/>
              <w:rPr>
                <w:b/>
                <w:sz w:val="18"/>
                <w:szCs w:val="18"/>
              </w:rPr>
            </w:pPr>
            <w:r>
              <w:rPr>
                <w:sz w:val="18"/>
                <w:szCs w:val="18"/>
              </w:rPr>
              <w:t>D</w:t>
            </w:r>
            <w:r w:rsidRPr="00B4727A">
              <w:rPr>
                <w:sz w:val="18"/>
                <w:szCs w:val="18"/>
              </w:rPr>
              <w:t>evelopment for offices in urban district activity centres is of a scale and intensity that does not adversely impact on the Bundaberg principal activity centre’s ability to attract, support and maintain the highest order and intensity of commercial and government office space in the region</w:t>
            </w:r>
            <w:r>
              <w:rPr>
                <w:sz w:val="18"/>
                <w:szCs w:val="18"/>
              </w:rPr>
              <w:t>.</w:t>
            </w:r>
          </w:p>
        </w:tc>
        <w:tc>
          <w:tcPr>
            <w:tcW w:w="4695" w:type="dxa"/>
            <w:shd w:val="clear" w:color="auto" w:fill="auto"/>
          </w:tcPr>
          <w:p w14:paraId="33A10485"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5</w:t>
            </w:r>
          </w:p>
          <w:p w14:paraId="433741C6" w14:textId="77777777" w:rsidR="00874A96" w:rsidRPr="00B2594D" w:rsidRDefault="00874A96"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68DB2482" w14:textId="157D0ECD"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B2594D" w14:paraId="5F725D73" w14:textId="3A147B59" w:rsidTr="00874A96">
        <w:tc>
          <w:tcPr>
            <w:tcW w:w="4695" w:type="dxa"/>
            <w:shd w:val="clear" w:color="auto" w:fill="auto"/>
          </w:tcPr>
          <w:p w14:paraId="5C155614" w14:textId="77777777" w:rsidR="00874A96" w:rsidRPr="00074728" w:rsidRDefault="00874A96" w:rsidP="003352DF">
            <w:pPr>
              <w:pStyle w:val="ListParagraph"/>
              <w:keepNext/>
              <w:ind w:left="0"/>
              <w:rPr>
                <w:b/>
                <w:sz w:val="18"/>
                <w:szCs w:val="18"/>
              </w:rPr>
            </w:pPr>
            <w:r w:rsidRPr="00074728">
              <w:rPr>
                <w:b/>
                <w:sz w:val="18"/>
                <w:szCs w:val="18"/>
              </w:rPr>
              <w:t>PO</w:t>
            </w:r>
            <w:r>
              <w:rPr>
                <w:b/>
                <w:sz w:val="18"/>
                <w:szCs w:val="18"/>
              </w:rPr>
              <w:t>6</w:t>
            </w:r>
          </w:p>
          <w:p w14:paraId="39942797" w14:textId="77777777" w:rsidR="00874A96" w:rsidRPr="00074728" w:rsidRDefault="00874A96" w:rsidP="003352DF">
            <w:pPr>
              <w:pStyle w:val="ListParagraph"/>
              <w:ind w:left="0"/>
              <w:rPr>
                <w:b/>
                <w:sz w:val="18"/>
                <w:szCs w:val="18"/>
                <w:lang w:val="en-US"/>
              </w:rPr>
            </w:pPr>
            <w:r>
              <w:rPr>
                <w:sz w:val="18"/>
                <w:szCs w:val="18"/>
              </w:rPr>
              <w:t>D</w:t>
            </w:r>
            <w:r w:rsidRPr="007222E9">
              <w:rPr>
                <w:sz w:val="18"/>
                <w:szCs w:val="18"/>
              </w:rPr>
              <w:t>evelopment provides for a range of residential activities,</w:t>
            </w:r>
            <w:r>
              <w:rPr>
                <w:sz w:val="18"/>
                <w:szCs w:val="18"/>
              </w:rPr>
              <w:t xml:space="preserve"> primarily accommodated in mixed use buildings, </w:t>
            </w:r>
            <w:r w:rsidRPr="007222E9">
              <w:rPr>
                <w:sz w:val="18"/>
                <w:szCs w:val="18"/>
              </w:rPr>
              <w:t>where such activities are ancillary to and support the predominant business functions of the zone</w:t>
            </w:r>
            <w:r>
              <w:rPr>
                <w:sz w:val="18"/>
                <w:szCs w:val="18"/>
              </w:rPr>
              <w:t>.</w:t>
            </w:r>
          </w:p>
        </w:tc>
        <w:tc>
          <w:tcPr>
            <w:tcW w:w="4695" w:type="dxa"/>
            <w:shd w:val="clear" w:color="auto" w:fill="auto"/>
          </w:tcPr>
          <w:p w14:paraId="03BF9C08"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6</w:t>
            </w:r>
          </w:p>
          <w:p w14:paraId="68D1A004" w14:textId="77777777" w:rsidR="00874A96" w:rsidRDefault="00874A96" w:rsidP="003352DF">
            <w:pPr>
              <w:pStyle w:val="ListParagraph"/>
              <w:ind w:left="0"/>
              <w:rPr>
                <w:rFonts w:cs="Arial"/>
                <w:sz w:val="18"/>
                <w:szCs w:val="18"/>
              </w:rPr>
            </w:pPr>
            <w:r>
              <w:rPr>
                <w:rFonts w:cs="Arial"/>
                <w:sz w:val="18"/>
                <w:szCs w:val="18"/>
              </w:rPr>
              <w:t>Development provides for one or more of the following residential activities, accommodated in a mixed use building format:-</w:t>
            </w:r>
          </w:p>
          <w:p w14:paraId="4CF4B3BC" w14:textId="77777777" w:rsidR="00874A96" w:rsidRPr="00074728" w:rsidRDefault="00874A96" w:rsidP="00874A96">
            <w:pPr>
              <w:pStyle w:val="ListParagraph"/>
              <w:numPr>
                <w:ilvl w:val="0"/>
                <w:numId w:val="61"/>
              </w:numPr>
              <w:rPr>
                <w:rFonts w:cs="Arial"/>
                <w:b/>
                <w:sz w:val="18"/>
                <w:szCs w:val="18"/>
              </w:rPr>
            </w:pPr>
            <w:r w:rsidRPr="007222E9">
              <w:rPr>
                <w:sz w:val="18"/>
                <w:szCs w:val="18"/>
              </w:rPr>
              <w:t>caretaker’s accommodation</w:t>
            </w:r>
            <w:r>
              <w:rPr>
                <w:sz w:val="18"/>
                <w:szCs w:val="18"/>
              </w:rPr>
              <w:t>;</w:t>
            </w:r>
          </w:p>
          <w:p w14:paraId="62A01DEB" w14:textId="77777777" w:rsidR="00874A96" w:rsidRPr="00074728" w:rsidRDefault="00874A96" w:rsidP="00874A96">
            <w:pPr>
              <w:pStyle w:val="ListParagraph"/>
              <w:numPr>
                <w:ilvl w:val="0"/>
                <w:numId w:val="61"/>
              </w:numPr>
              <w:rPr>
                <w:rFonts w:cs="Arial"/>
                <w:b/>
                <w:sz w:val="18"/>
                <w:szCs w:val="18"/>
              </w:rPr>
            </w:pPr>
            <w:r w:rsidRPr="007222E9">
              <w:rPr>
                <w:sz w:val="18"/>
                <w:szCs w:val="18"/>
              </w:rPr>
              <w:t>dual occupancies</w:t>
            </w:r>
            <w:r>
              <w:rPr>
                <w:sz w:val="18"/>
                <w:szCs w:val="18"/>
              </w:rPr>
              <w:t>;</w:t>
            </w:r>
          </w:p>
          <w:p w14:paraId="33A8AC6B" w14:textId="77777777" w:rsidR="00874A96" w:rsidRPr="00074728" w:rsidRDefault="00874A96" w:rsidP="00874A96">
            <w:pPr>
              <w:pStyle w:val="ListParagraph"/>
              <w:numPr>
                <w:ilvl w:val="0"/>
                <w:numId w:val="61"/>
              </w:numPr>
              <w:rPr>
                <w:rFonts w:cs="Arial"/>
                <w:b/>
                <w:sz w:val="18"/>
                <w:szCs w:val="18"/>
              </w:rPr>
            </w:pPr>
            <w:r w:rsidRPr="007222E9">
              <w:rPr>
                <w:sz w:val="18"/>
                <w:szCs w:val="18"/>
              </w:rPr>
              <w:t>dwelling units (e.g. shop top housing)</w:t>
            </w:r>
            <w:r>
              <w:rPr>
                <w:sz w:val="18"/>
                <w:szCs w:val="18"/>
              </w:rPr>
              <w:t>;</w:t>
            </w:r>
          </w:p>
          <w:p w14:paraId="68EB5BDC" w14:textId="77777777" w:rsidR="00874A96" w:rsidRPr="00074728" w:rsidRDefault="00874A96" w:rsidP="00874A96">
            <w:pPr>
              <w:pStyle w:val="ListParagraph"/>
              <w:numPr>
                <w:ilvl w:val="0"/>
                <w:numId w:val="61"/>
              </w:numPr>
              <w:rPr>
                <w:rFonts w:cs="Arial"/>
                <w:b/>
                <w:sz w:val="18"/>
                <w:szCs w:val="18"/>
              </w:rPr>
            </w:pPr>
            <w:r w:rsidRPr="007222E9">
              <w:rPr>
                <w:sz w:val="18"/>
                <w:szCs w:val="18"/>
              </w:rPr>
              <w:t>multiple dwellings</w:t>
            </w:r>
            <w:r>
              <w:rPr>
                <w:sz w:val="18"/>
                <w:szCs w:val="18"/>
              </w:rPr>
              <w:t>;</w:t>
            </w:r>
          </w:p>
          <w:p w14:paraId="283002B5" w14:textId="77777777" w:rsidR="00874A96" w:rsidRPr="00040293" w:rsidRDefault="00874A96" w:rsidP="00874A96">
            <w:pPr>
              <w:pStyle w:val="ListParagraph"/>
              <w:numPr>
                <w:ilvl w:val="0"/>
                <w:numId w:val="61"/>
              </w:numPr>
              <w:rPr>
                <w:rFonts w:cs="Arial"/>
                <w:b/>
                <w:sz w:val="18"/>
                <w:szCs w:val="18"/>
              </w:rPr>
            </w:pPr>
            <w:r>
              <w:rPr>
                <w:sz w:val="18"/>
                <w:szCs w:val="18"/>
              </w:rPr>
              <w:t>rooming accommodation; and</w:t>
            </w:r>
          </w:p>
          <w:p w14:paraId="54E48FED" w14:textId="77777777" w:rsidR="00874A96" w:rsidRPr="00B2594D" w:rsidRDefault="00874A96" w:rsidP="00874A96">
            <w:pPr>
              <w:pStyle w:val="ListParagraph"/>
              <w:numPr>
                <w:ilvl w:val="0"/>
                <w:numId w:val="61"/>
              </w:numPr>
              <w:rPr>
                <w:rFonts w:cs="Arial"/>
                <w:b/>
                <w:sz w:val="18"/>
                <w:szCs w:val="18"/>
              </w:rPr>
            </w:pPr>
            <w:r w:rsidRPr="007222E9">
              <w:rPr>
                <w:sz w:val="18"/>
                <w:szCs w:val="18"/>
              </w:rPr>
              <w:t>short-term accommodation</w:t>
            </w:r>
            <w:r>
              <w:rPr>
                <w:sz w:val="18"/>
                <w:szCs w:val="18"/>
              </w:rPr>
              <w:t>.</w:t>
            </w:r>
          </w:p>
        </w:tc>
        <w:tc>
          <w:tcPr>
            <w:tcW w:w="4695" w:type="dxa"/>
          </w:tcPr>
          <w:p w14:paraId="3ECCE34B" w14:textId="5847564E"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084AFB" w14:paraId="2F565D0E" w14:textId="5538858B" w:rsidTr="0027774B">
        <w:tc>
          <w:tcPr>
            <w:tcW w:w="14085" w:type="dxa"/>
            <w:gridSpan w:val="3"/>
            <w:shd w:val="clear" w:color="auto" w:fill="D9D9D9"/>
          </w:tcPr>
          <w:p w14:paraId="74680268" w14:textId="4D5AACE3" w:rsidR="00874A96" w:rsidRDefault="00874A96" w:rsidP="003352DF">
            <w:pPr>
              <w:pStyle w:val="ListParagraph"/>
              <w:ind w:left="0"/>
              <w:rPr>
                <w:rFonts w:cs="Arial"/>
                <w:b/>
                <w:i/>
                <w:sz w:val="18"/>
                <w:szCs w:val="18"/>
              </w:rPr>
            </w:pPr>
            <w:r>
              <w:rPr>
                <w:rFonts w:cs="Arial"/>
                <w:b/>
                <w:i/>
                <w:sz w:val="18"/>
                <w:szCs w:val="18"/>
              </w:rPr>
              <w:t>Building height, built form and urban design</w:t>
            </w:r>
          </w:p>
        </w:tc>
      </w:tr>
      <w:tr w:rsidR="00874A96" w:rsidRPr="00B86B8D" w14:paraId="54878F1F" w14:textId="5531329C" w:rsidTr="00874A96">
        <w:tc>
          <w:tcPr>
            <w:tcW w:w="4695" w:type="dxa"/>
            <w:shd w:val="clear" w:color="auto" w:fill="auto"/>
          </w:tcPr>
          <w:p w14:paraId="1F3CA227" w14:textId="77777777" w:rsidR="00874A96" w:rsidRPr="00084AFB" w:rsidRDefault="00874A96" w:rsidP="003352DF">
            <w:pPr>
              <w:pStyle w:val="ListParagraph"/>
              <w:ind w:left="0"/>
              <w:rPr>
                <w:rFonts w:cs="Arial"/>
                <w:b/>
                <w:sz w:val="18"/>
                <w:szCs w:val="18"/>
              </w:rPr>
            </w:pPr>
            <w:r>
              <w:rPr>
                <w:rFonts w:cs="Arial"/>
                <w:b/>
                <w:sz w:val="18"/>
                <w:szCs w:val="18"/>
              </w:rPr>
              <w:t>PO7</w:t>
            </w:r>
          </w:p>
          <w:p w14:paraId="74257141" w14:textId="77777777" w:rsidR="00874A96" w:rsidRPr="00084AFB" w:rsidRDefault="00874A96" w:rsidP="003352DF">
            <w:pPr>
              <w:pStyle w:val="ListParagraph"/>
              <w:ind w:left="0"/>
              <w:rPr>
                <w:rFonts w:cs="Arial"/>
                <w:sz w:val="18"/>
                <w:szCs w:val="18"/>
              </w:rPr>
            </w:pPr>
            <w:r>
              <w:rPr>
                <w:sz w:val="18"/>
                <w:szCs w:val="18"/>
              </w:rPr>
              <w:t xml:space="preserve">Development has </w:t>
            </w:r>
            <w:r w:rsidRPr="007222E9">
              <w:rPr>
                <w:sz w:val="18"/>
                <w:szCs w:val="18"/>
              </w:rPr>
              <w:t>a maximum</w:t>
            </w:r>
            <w:r>
              <w:rPr>
                <w:sz w:val="18"/>
                <w:szCs w:val="18"/>
              </w:rPr>
              <w:t xml:space="preserve"> building</w:t>
            </w:r>
            <w:r w:rsidRPr="007222E9">
              <w:rPr>
                <w:sz w:val="18"/>
                <w:szCs w:val="18"/>
              </w:rPr>
              <w:t xml:space="preserve"> height of </w:t>
            </w:r>
            <w:r>
              <w:rPr>
                <w:sz w:val="18"/>
                <w:szCs w:val="18"/>
              </w:rPr>
              <w:t>3</w:t>
            </w:r>
            <w:r w:rsidRPr="007222E9">
              <w:rPr>
                <w:sz w:val="18"/>
                <w:szCs w:val="18"/>
              </w:rPr>
              <w:t xml:space="preserve"> storeys and 1</w:t>
            </w:r>
            <w:r>
              <w:rPr>
                <w:sz w:val="18"/>
                <w:szCs w:val="18"/>
              </w:rPr>
              <w:t>2m.</w:t>
            </w:r>
          </w:p>
        </w:tc>
        <w:tc>
          <w:tcPr>
            <w:tcW w:w="4695" w:type="dxa"/>
            <w:shd w:val="clear" w:color="auto" w:fill="auto"/>
          </w:tcPr>
          <w:p w14:paraId="5B76C891" w14:textId="77777777" w:rsidR="00874A96" w:rsidRPr="00084AFB" w:rsidRDefault="00874A96" w:rsidP="003352DF">
            <w:pPr>
              <w:pStyle w:val="ListParagraph"/>
              <w:ind w:left="0"/>
              <w:rPr>
                <w:rFonts w:cs="Arial"/>
                <w:b/>
                <w:sz w:val="18"/>
                <w:szCs w:val="18"/>
              </w:rPr>
            </w:pPr>
            <w:r>
              <w:rPr>
                <w:rFonts w:cs="Arial"/>
                <w:b/>
                <w:sz w:val="18"/>
                <w:szCs w:val="18"/>
              </w:rPr>
              <w:t>AO7</w:t>
            </w:r>
          </w:p>
          <w:p w14:paraId="76F9498D" w14:textId="77777777" w:rsidR="00874A96" w:rsidRPr="00B86B8D" w:rsidRDefault="00874A96" w:rsidP="003352DF">
            <w:pPr>
              <w:pStyle w:val="CommentText"/>
              <w:rPr>
                <w:rFonts w:cs="Arial"/>
                <w:sz w:val="18"/>
                <w:szCs w:val="18"/>
              </w:rPr>
            </w:pPr>
            <w:r>
              <w:rPr>
                <w:sz w:val="18"/>
                <w:szCs w:val="18"/>
              </w:rPr>
              <w:t>No acceptable outcome provided.</w:t>
            </w:r>
          </w:p>
        </w:tc>
        <w:tc>
          <w:tcPr>
            <w:tcW w:w="4695" w:type="dxa"/>
          </w:tcPr>
          <w:p w14:paraId="5B6F7AFD" w14:textId="29BBB969" w:rsidR="00874A96"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B2594D" w14:paraId="70909FCA" w14:textId="5ECE2076" w:rsidTr="00874A96">
        <w:tc>
          <w:tcPr>
            <w:tcW w:w="4695" w:type="dxa"/>
            <w:shd w:val="clear" w:color="auto" w:fill="auto"/>
          </w:tcPr>
          <w:p w14:paraId="6F8A7D7D" w14:textId="77777777" w:rsidR="00874A96" w:rsidRPr="006635AD" w:rsidRDefault="00874A96" w:rsidP="003352DF">
            <w:pPr>
              <w:pStyle w:val="ListParagraph"/>
              <w:ind w:left="0"/>
              <w:rPr>
                <w:rFonts w:cs="Arial"/>
                <w:b/>
                <w:sz w:val="18"/>
                <w:szCs w:val="18"/>
              </w:rPr>
            </w:pPr>
            <w:r w:rsidRPr="006635AD">
              <w:rPr>
                <w:rFonts w:cs="Arial"/>
                <w:b/>
                <w:sz w:val="18"/>
                <w:szCs w:val="18"/>
              </w:rPr>
              <w:t>PO</w:t>
            </w:r>
            <w:r>
              <w:rPr>
                <w:rFonts w:cs="Arial"/>
                <w:b/>
                <w:sz w:val="18"/>
                <w:szCs w:val="18"/>
              </w:rPr>
              <w:t>8</w:t>
            </w:r>
          </w:p>
          <w:p w14:paraId="2EFD0D76" w14:textId="77777777" w:rsidR="00874A96" w:rsidRPr="006635AD" w:rsidRDefault="00874A96" w:rsidP="003352DF">
            <w:pPr>
              <w:pStyle w:val="ListParagraph"/>
              <w:ind w:left="0"/>
              <w:rPr>
                <w:rFonts w:cs="Arial"/>
                <w:b/>
                <w:sz w:val="18"/>
                <w:szCs w:val="18"/>
              </w:rPr>
            </w:pPr>
            <w:r>
              <w:rPr>
                <w:rFonts w:cs="Arial"/>
                <w:sz w:val="18"/>
                <w:szCs w:val="18"/>
              </w:rPr>
              <w:t>T</w:t>
            </w:r>
            <w:r w:rsidRPr="0051019C">
              <w:rPr>
                <w:rFonts w:cs="Arial"/>
                <w:sz w:val="18"/>
                <w:szCs w:val="18"/>
              </w:rPr>
              <w:t>he structure and form of development within the zone provides high levels of connectivity between uses and the public realm so that each district activity centre does not function as a conventional enclosed shopping centre with internalised malls and inward facing retail uses</w:t>
            </w:r>
            <w:r>
              <w:rPr>
                <w:rFonts w:cs="Arial"/>
                <w:sz w:val="18"/>
                <w:szCs w:val="18"/>
              </w:rPr>
              <w:t>.</w:t>
            </w:r>
          </w:p>
        </w:tc>
        <w:tc>
          <w:tcPr>
            <w:tcW w:w="4695" w:type="dxa"/>
            <w:shd w:val="clear" w:color="auto" w:fill="auto"/>
          </w:tcPr>
          <w:p w14:paraId="3CFA34D2"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8</w:t>
            </w:r>
          </w:p>
          <w:p w14:paraId="65C924AB" w14:textId="77777777" w:rsidR="00874A96" w:rsidRPr="00B2594D" w:rsidRDefault="00874A96"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24C045EE" w14:textId="3B9A3178"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9A03DC" w14:paraId="6BFCA75E" w14:textId="7F4786FC" w:rsidTr="00874A96">
        <w:tc>
          <w:tcPr>
            <w:tcW w:w="4695" w:type="dxa"/>
            <w:shd w:val="clear" w:color="auto" w:fill="auto"/>
          </w:tcPr>
          <w:p w14:paraId="774F0942" w14:textId="77777777" w:rsidR="00874A96" w:rsidRDefault="00874A96" w:rsidP="003352DF">
            <w:pPr>
              <w:pStyle w:val="ListParagraph"/>
              <w:keepNext/>
              <w:ind w:left="0"/>
              <w:rPr>
                <w:rFonts w:cs="Arial"/>
                <w:b/>
                <w:sz w:val="18"/>
                <w:szCs w:val="18"/>
              </w:rPr>
            </w:pPr>
            <w:r>
              <w:rPr>
                <w:rFonts w:cs="Arial"/>
                <w:b/>
                <w:sz w:val="18"/>
                <w:szCs w:val="18"/>
              </w:rPr>
              <w:lastRenderedPageBreak/>
              <w:t>PO9</w:t>
            </w:r>
          </w:p>
          <w:p w14:paraId="2E231300" w14:textId="77777777" w:rsidR="00874A96" w:rsidRPr="009A03DC" w:rsidRDefault="00874A96" w:rsidP="003352DF">
            <w:pPr>
              <w:pStyle w:val="ListParagraph"/>
              <w:ind w:left="0"/>
              <w:rPr>
                <w:rFonts w:cs="Arial"/>
                <w:sz w:val="18"/>
                <w:szCs w:val="18"/>
              </w:rPr>
            </w:pPr>
            <w:r>
              <w:rPr>
                <w:rFonts w:cs="Arial"/>
                <w:sz w:val="18"/>
                <w:szCs w:val="18"/>
              </w:rPr>
              <w:t>T</w:t>
            </w:r>
            <w:r w:rsidRPr="007222E9">
              <w:rPr>
                <w:rFonts w:cs="Arial"/>
                <w:sz w:val="18"/>
                <w:szCs w:val="18"/>
              </w:rPr>
              <w:t>he built form and urban design of development incorporates a high standard of architecture, urban design and landscaping that creates attractive and functional buildings, streets and places</w:t>
            </w:r>
            <w:r>
              <w:rPr>
                <w:rFonts w:cs="Arial"/>
                <w:sz w:val="18"/>
                <w:szCs w:val="18"/>
              </w:rPr>
              <w:t>.</w:t>
            </w:r>
          </w:p>
        </w:tc>
        <w:tc>
          <w:tcPr>
            <w:tcW w:w="4695" w:type="dxa"/>
            <w:shd w:val="clear" w:color="auto" w:fill="auto"/>
          </w:tcPr>
          <w:p w14:paraId="129CC1BE"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9</w:t>
            </w:r>
          </w:p>
          <w:p w14:paraId="22C1483A" w14:textId="77777777" w:rsidR="00874A96" w:rsidRPr="009A03DC" w:rsidRDefault="00874A96" w:rsidP="003352DF">
            <w:pPr>
              <w:pStyle w:val="ListParagraph"/>
              <w:ind w:left="0"/>
              <w:rPr>
                <w:rFonts w:cs="Arial"/>
                <w:sz w:val="18"/>
                <w:szCs w:val="18"/>
              </w:rPr>
            </w:pPr>
            <w:r w:rsidRPr="00084AFB">
              <w:rPr>
                <w:rFonts w:cs="Arial"/>
                <w:sz w:val="18"/>
                <w:szCs w:val="18"/>
              </w:rPr>
              <w:t>No acceptable outcome provided</w:t>
            </w:r>
            <w:r>
              <w:rPr>
                <w:rFonts w:cs="Arial"/>
                <w:sz w:val="18"/>
                <w:szCs w:val="18"/>
              </w:rPr>
              <w:t>.</w:t>
            </w:r>
          </w:p>
        </w:tc>
        <w:tc>
          <w:tcPr>
            <w:tcW w:w="4695" w:type="dxa"/>
          </w:tcPr>
          <w:p w14:paraId="76127558" w14:textId="11F0631B"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B2594D" w14:paraId="1F8A731F" w14:textId="3D2C9E4A" w:rsidTr="00874A96">
        <w:tc>
          <w:tcPr>
            <w:tcW w:w="4695" w:type="dxa"/>
            <w:shd w:val="clear" w:color="auto" w:fill="auto"/>
          </w:tcPr>
          <w:p w14:paraId="56ADBA3B" w14:textId="77777777" w:rsidR="00874A96" w:rsidRPr="006635AD" w:rsidRDefault="00874A96" w:rsidP="003352DF">
            <w:pPr>
              <w:pStyle w:val="ListParagraph"/>
              <w:ind w:left="0"/>
              <w:rPr>
                <w:rFonts w:cs="Arial"/>
                <w:b/>
                <w:sz w:val="18"/>
                <w:szCs w:val="18"/>
              </w:rPr>
            </w:pPr>
            <w:r w:rsidRPr="006635AD">
              <w:rPr>
                <w:rFonts w:cs="Arial"/>
                <w:b/>
                <w:sz w:val="18"/>
                <w:szCs w:val="18"/>
              </w:rPr>
              <w:t>PO</w:t>
            </w:r>
            <w:r>
              <w:rPr>
                <w:rFonts w:cs="Arial"/>
                <w:b/>
                <w:sz w:val="18"/>
                <w:szCs w:val="18"/>
              </w:rPr>
              <w:t>10</w:t>
            </w:r>
          </w:p>
          <w:p w14:paraId="61CE57A7" w14:textId="77777777" w:rsidR="00874A96" w:rsidRDefault="00874A96" w:rsidP="003352DF">
            <w:pPr>
              <w:pStyle w:val="ListParagraph"/>
              <w:ind w:left="0"/>
              <w:rPr>
                <w:rFonts w:cs="Arial"/>
                <w:b/>
                <w:sz w:val="18"/>
                <w:szCs w:val="18"/>
              </w:rPr>
            </w:pPr>
            <w:r>
              <w:rPr>
                <w:rFonts w:cs="Arial"/>
                <w:sz w:val="18"/>
                <w:szCs w:val="18"/>
              </w:rPr>
              <w:t>D</w:t>
            </w:r>
            <w:r w:rsidRPr="007222E9">
              <w:rPr>
                <w:rFonts w:cs="Arial"/>
                <w:sz w:val="18"/>
                <w:szCs w:val="18"/>
              </w:rPr>
              <w:t>evelopment contributes to the creation of an active, safe and legible public realm, incorporating public open spaces including outdoor plazas or other breakout areas</w:t>
            </w:r>
            <w:r>
              <w:rPr>
                <w:rFonts w:cs="Arial"/>
                <w:sz w:val="18"/>
                <w:szCs w:val="18"/>
              </w:rPr>
              <w:t>,</w:t>
            </w:r>
            <w:r w:rsidRPr="007222E9">
              <w:rPr>
                <w:rFonts w:cs="Arial"/>
                <w:sz w:val="18"/>
                <w:szCs w:val="18"/>
              </w:rPr>
              <w:t xml:space="preserve"> where appropriate and practicable</w:t>
            </w:r>
            <w:r>
              <w:rPr>
                <w:rFonts w:cs="Arial"/>
                <w:sz w:val="18"/>
                <w:szCs w:val="18"/>
              </w:rPr>
              <w:t>.</w:t>
            </w:r>
          </w:p>
        </w:tc>
        <w:tc>
          <w:tcPr>
            <w:tcW w:w="4695" w:type="dxa"/>
            <w:shd w:val="clear" w:color="auto" w:fill="auto"/>
          </w:tcPr>
          <w:p w14:paraId="440582ED"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10</w:t>
            </w:r>
          </w:p>
          <w:p w14:paraId="227C8F19" w14:textId="77777777" w:rsidR="00874A96" w:rsidRPr="00B2594D" w:rsidRDefault="00874A96"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73C15752" w14:textId="04C909DC"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B2594D" w14:paraId="39904C75" w14:textId="5B3FC7D8" w:rsidTr="00874A96">
        <w:tc>
          <w:tcPr>
            <w:tcW w:w="4695" w:type="dxa"/>
            <w:shd w:val="clear" w:color="auto" w:fill="auto"/>
          </w:tcPr>
          <w:p w14:paraId="1D6F3937" w14:textId="77777777" w:rsidR="00874A96" w:rsidRPr="00882157" w:rsidRDefault="00874A96" w:rsidP="003352DF">
            <w:pPr>
              <w:pStyle w:val="ListParagraph"/>
              <w:ind w:left="0"/>
              <w:rPr>
                <w:b/>
                <w:sz w:val="18"/>
                <w:szCs w:val="18"/>
              </w:rPr>
            </w:pPr>
            <w:r w:rsidRPr="00882157">
              <w:rPr>
                <w:b/>
                <w:sz w:val="18"/>
                <w:szCs w:val="18"/>
              </w:rPr>
              <w:t>PO</w:t>
            </w:r>
            <w:r>
              <w:rPr>
                <w:b/>
                <w:sz w:val="18"/>
                <w:szCs w:val="18"/>
              </w:rPr>
              <w:t>11</w:t>
            </w:r>
          </w:p>
          <w:p w14:paraId="4EF2BB5C" w14:textId="77777777" w:rsidR="00874A96" w:rsidRPr="008F4C13" w:rsidRDefault="00874A96" w:rsidP="003352DF">
            <w:pPr>
              <w:pStyle w:val="ListParagraph"/>
              <w:ind w:left="0"/>
              <w:rPr>
                <w:rFonts w:cs="Arial"/>
                <w:b/>
                <w:sz w:val="18"/>
                <w:szCs w:val="18"/>
              </w:rPr>
            </w:pPr>
            <w:r>
              <w:rPr>
                <w:sz w:val="18"/>
                <w:szCs w:val="18"/>
              </w:rPr>
              <w:t>D</w:t>
            </w:r>
            <w:r w:rsidRPr="007222E9">
              <w:rPr>
                <w:sz w:val="18"/>
                <w:szCs w:val="18"/>
              </w:rPr>
              <w:t>evelopment in the rural district activity centres of Childers and Gin Gin</w:t>
            </w:r>
            <w:r>
              <w:rPr>
                <w:sz w:val="18"/>
                <w:szCs w:val="18"/>
              </w:rPr>
              <w:t xml:space="preserve"> </w:t>
            </w:r>
            <w:r w:rsidRPr="007222E9">
              <w:rPr>
                <w:rFonts w:cs="Arial"/>
                <w:sz w:val="18"/>
                <w:szCs w:val="18"/>
              </w:rPr>
              <w:t xml:space="preserve">maintains and reinforces the traditional “main street” character of these towns and is sensitive to </w:t>
            </w:r>
            <w:r>
              <w:rPr>
                <w:rFonts w:cs="Arial"/>
                <w:sz w:val="18"/>
                <w:szCs w:val="18"/>
              </w:rPr>
              <w:t>their rural setting and historical context.</w:t>
            </w:r>
          </w:p>
        </w:tc>
        <w:tc>
          <w:tcPr>
            <w:tcW w:w="4695" w:type="dxa"/>
            <w:shd w:val="clear" w:color="auto" w:fill="auto"/>
          </w:tcPr>
          <w:p w14:paraId="510AA418"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11</w:t>
            </w:r>
          </w:p>
          <w:p w14:paraId="2046073C" w14:textId="77777777" w:rsidR="00874A96" w:rsidRPr="00B2594D" w:rsidRDefault="00874A96"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38E28867" w14:textId="0E677B6D"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B2594D" w14:paraId="564A077D" w14:textId="6597B693" w:rsidTr="00874A96">
        <w:tc>
          <w:tcPr>
            <w:tcW w:w="4695" w:type="dxa"/>
            <w:shd w:val="clear" w:color="auto" w:fill="auto"/>
          </w:tcPr>
          <w:p w14:paraId="6FD1FF2A" w14:textId="77777777" w:rsidR="00874A96" w:rsidRPr="008F4C13" w:rsidRDefault="00874A96" w:rsidP="003352DF">
            <w:pPr>
              <w:pStyle w:val="ListParagraph"/>
              <w:ind w:left="0"/>
              <w:rPr>
                <w:rFonts w:cs="Arial"/>
                <w:b/>
                <w:sz w:val="18"/>
                <w:szCs w:val="18"/>
              </w:rPr>
            </w:pPr>
            <w:r w:rsidRPr="008F4C13">
              <w:rPr>
                <w:rFonts w:cs="Arial"/>
                <w:b/>
                <w:sz w:val="18"/>
                <w:szCs w:val="18"/>
              </w:rPr>
              <w:t>PO</w:t>
            </w:r>
            <w:r>
              <w:rPr>
                <w:rFonts w:cs="Arial"/>
                <w:b/>
                <w:sz w:val="18"/>
                <w:szCs w:val="18"/>
              </w:rPr>
              <w:t>12</w:t>
            </w:r>
          </w:p>
          <w:p w14:paraId="6636E637" w14:textId="77777777" w:rsidR="00874A96" w:rsidRPr="006635AD" w:rsidRDefault="00874A96" w:rsidP="003352DF">
            <w:pPr>
              <w:pStyle w:val="ListParagraph"/>
              <w:ind w:left="0"/>
              <w:rPr>
                <w:rFonts w:cs="Arial"/>
                <w:b/>
                <w:sz w:val="18"/>
                <w:szCs w:val="18"/>
              </w:rPr>
            </w:pPr>
            <w:r>
              <w:rPr>
                <w:rFonts w:cs="Arial"/>
                <w:sz w:val="18"/>
                <w:szCs w:val="18"/>
              </w:rPr>
              <w:t xml:space="preserve">District centre may include permanent and short-term residential activities provided that </w:t>
            </w:r>
            <w:r w:rsidRPr="007222E9">
              <w:rPr>
                <w:rFonts w:cs="Arial"/>
                <w:sz w:val="18"/>
                <w:szCs w:val="18"/>
              </w:rPr>
              <w:t>buildings incorporat</w:t>
            </w:r>
            <w:r>
              <w:rPr>
                <w:rFonts w:cs="Arial"/>
                <w:sz w:val="18"/>
                <w:szCs w:val="18"/>
              </w:rPr>
              <w:t>e</w:t>
            </w:r>
            <w:r w:rsidRPr="007222E9">
              <w:rPr>
                <w:rFonts w:cs="Arial"/>
                <w:sz w:val="18"/>
                <w:szCs w:val="18"/>
              </w:rPr>
              <w:t xml:space="preserve"> non-residential uses at street level to activate the public realm</w:t>
            </w:r>
            <w:r>
              <w:rPr>
                <w:rFonts w:cs="Arial"/>
                <w:sz w:val="18"/>
                <w:szCs w:val="18"/>
              </w:rPr>
              <w:t>.</w:t>
            </w:r>
          </w:p>
        </w:tc>
        <w:tc>
          <w:tcPr>
            <w:tcW w:w="4695" w:type="dxa"/>
            <w:shd w:val="clear" w:color="auto" w:fill="auto"/>
          </w:tcPr>
          <w:p w14:paraId="632AC4D7"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12</w:t>
            </w:r>
          </w:p>
          <w:p w14:paraId="7ACE456B" w14:textId="77777777" w:rsidR="00874A96" w:rsidRPr="00B2594D" w:rsidRDefault="00874A96"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08441978" w14:textId="54424C36"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084AFB" w14:paraId="4A3C57C7" w14:textId="3791D1EF" w:rsidTr="00620188">
        <w:tc>
          <w:tcPr>
            <w:tcW w:w="14085" w:type="dxa"/>
            <w:gridSpan w:val="3"/>
            <w:shd w:val="clear" w:color="auto" w:fill="D9D9D9"/>
          </w:tcPr>
          <w:p w14:paraId="702F8048" w14:textId="6F3558DC" w:rsidR="00874A96" w:rsidRDefault="00874A96" w:rsidP="003352DF">
            <w:pPr>
              <w:pStyle w:val="ListParagraph"/>
              <w:ind w:left="0"/>
              <w:rPr>
                <w:rFonts w:cs="Arial"/>
                <w:b/>
                <w:i/>
                <w:sz w:val="18"/>
                <w:szCs w:val="18"/>
              </w:rPr>
            </w:pPr>
            <w:r>
              <w:rPr>
                <w:rFonts w:cs="Arial"/>
                <w:b/>
                <w:i/>
                <w:sz w:val="18"/>
                <w:szCs w:val="18"/>
              </w:rPr>
              <w:t>Transport networks</w:t>
            </w:r>
          </w:p>
        </w:tc>
      </w:tr>
      <w:tr w:rsidR="00874A96" w:rsidRPr="00436005" w14:paraId="31B717EE" w14:textId="69594EC7" w:rsidTr="00874A96">
        <w:tc>
          <w:tcPr>
            <w:tcW w:w="4695" w:type="dxa"/>
            <w:shd w:val="clear" w:color="auto" w:fill="auto"/>
          </w:tcPr>
          <w:p w14:paraId="08004DBB" w14:textId="77777777" w:rsidR="00874A96" w:rsidRPr="00084AFB" w:rsidRDefault="00874A96" w:rsidP="003352DF">
            <w:pPr>
              <w:pStyle w:val="ListParagraph"/>
              <w:ind w:left="0"/>
              <w:rPr>
                <w:rFonts w:cs="Arial"/>
                <w:b/>
                <w:sz w:val="18"/>
                <w:szCs w:val="18"/>
              </w:rPr>
            </w:pPr>
            <w:r>
              <w:rPr>
                <w:rFonts w:cs="Arial"/>
                <w:b/>
                <w:sz w:val="18"/>
                <w:szCs w:val="18"/>
              </w:rPr>
              <w:t>PO13</w:t>
            </w:r>
          </w:p>
          <w:p w14:paraId="0EB2A9A5" w14:textId="77777777" w:rsidR="00874A96" w:rsidRPr="00084AFB" w:rsidRDefault="00874A96" w:rsidP="003352DF">
            <w:pPr>
              <w:pStyle w:val="ListParagraph"/>
              <w:ind w:left="0"/>
              <w:rPr>
                <w:rFonts w:cs="Arial"/>
                <w:sz w:val="18"/>
                <w:szCs w:val="18"/>
              </w:rPr>
            </w:pPr>
            <w:r>
              <w:rPr>
                <w:rFonts w:cs="Arial"/>
                <w:sz w:val="18"/>
                <w:szCs w:val="18"/>
              </w:rPr>
              <w:t>D</w:t>
            </w:r>
            <w:r w:rsidRPr="007222E9">
              <w:rPr>
                <w:rFonts w:cs="Arial"/>
                <w:sz w:val="18"/>
                <w:szCs w:val="18"/>
              </w:rPr>
              <w:t>evelopment encourages public transport accessibility and use and also provides for pedestrian, bicycle and vehicular movement networks that maximise connectivity, permeability and ease of movement within and to the centre</w:t>
            </w:r>
            <w:r>
              <w:rPr>
                <w:rFonts w:cs="Arial"/>
                <w:sz w:val="18"/>
                <w:szCs w:val="18"/>
              </w:rPr>
              <w:t>.</w:t>
            </w:r>
          </w:p>
        </w:tc>
        <w:tc>
          <w:tcPr>
            <w:tcW w:w="4695" w:type="dxa"/>
            <w:shd w:val="clear" w:color="auto" w:fill="auto"/>
          </w:tcPr>
          <w:p w14:paraId="7722E6F2"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13</w:t>
            </w:r>
          </w:p>
          <w:p w14:paraId="1102C11C" w14:textId="77777777" w:rsidR="00874A96" w:rsidRPr="00436005" w:rsidRDefault="00874A96" w:rsidP="003352DF">
            <w:pPr>
              <w:pStyle w:val="CommentText"/>
              <w:rPr>
                <w:rFonts w:cs="Arial"/>
                <w:sz w:val="18"/>
                <w:szCs w:val="18"/>
              </w:rPr>
            </w:pPr>
            <w:r w:rsidRPr="00084AFB">
              <w:rPr>
                <w:rFonts w:cs="Arial"/>
                <w:sz w:val="18"/>
                <w:szCs w:val="18"/>
              </w:rPr>
              <w:t>No acceptable outcome provided</w:t>
            </w:r>
            <w:r>
              <w:rPr>
                <w:rFonts w:cs="Arial"/>
                <w:sz w:val="18"/>
                <w:szCs w:val="18"/>
              </w:rPr>
              <w:t>.</w:t>
            </w:r>
          </w:p>
        </w:tc>
        <w:tc>
          <w:tcPr>
            <w:tcW w:w="4695" w:type="dxa"/>
          </w:tcPr>
          <w:p w14:paraId="2230159E" w14:textId="048B3B3F"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084AFB" w14:paraId="0971A829" w14:textId="29BA0266" w:rsidTr="001C7006">
        <w:tc>
          <w:tcPr>
            <w:tcW w:w="14085" w:type="dxa"/>
            <w:gridSpan w:val="3"/>
            <w:shd w:val="clear" w:color="auto" w:fill="D9D9D9"/>
          </w:tcPr>
          <w:p w14:paraId="5FFADF24" w14:textId="66EBFAAC" w:rsidR="00874A96" w:rsidRDefault="00874A96" w:rsidP="003352DF">
            <w:pPr>
              <w:pStyle w:val="ListParagraph"/>
              <w:ind w:left="0"/>
              <w:rPr>
                <w:rFonts w:cs="Arial"/>
                <w:b/>
                <w:i/>
                <w:sz w:val="18"/>
                <w:szCs w:val="18"/>
              </w:rPr>
            </w:pPr>
            <w:r>
              <w:rPr>
                <w:rFonts w:cs="Arial"/>
                <w:b/>
                <w:i/>
                <w:sz w:val="18"/>
                <w:szCs w:val="18"/>
              </w:rPr>
              <w:t>Infrastructure and services</w:t>
            </w:r>
          </w:p>
        </w:tc>
      </w:tr>
      <w:tr w:rsidR="00874A96" w:rsidRPr="00084AFB" w14:paraId="162E34EE" w14:textId="364F4AFC" w:rsidTr="00874A96">
        <w:tc>
          <w:tcPr>
            <w:tcW w:w="4695" w:type="dxa"/>
            <w:shd w:val="clear" w:color="auto" w:fill="auto"/>
          </w:tcPr>
          <w:p w14:paraId="684CF26D" w14:textId="77777777" w:rsidR="00874A96" w:rsidRPr="00B2594D" w:rsidRDefault="00874A96" w:rsidP="003352DF">
            <w:pPr>
              <w:pStyle w:val="ListParagraph"/>
              <w:ind w:left="0"/>
              <w:rPr>
                <w:rFonts w:cs="Arial"/>
                <w:b/>
                <w:sz w:val="18"/>
                <w:szCs w:val="18"/>
              </w:rPr>
            </w:pPr>
            <w:r w:rsidRPr="00B2594D">
              <w:rPr>
                <w:rFonts w:cs="Arial"/>
                <w:b/>
                <w:sz w:val="18"/>
                <w:szCs w:val="18"/>
              </w:rPr>
              <w:t>PO</w:t>
            </w:r>
            <w:r>
              <w:rPr>
                <w:rFonts w:cs="Arial"/>
                <w:b/>
                <w:sz w:val="18"/>
                <w:szCs w:val="18"/>
              </w:rPr>
              <w:t>14</w:t>
            </w:r>
          </w:p>
          <w:p w14:paraId="6AFD2F04" w14:textId="77777777" w:rsidR="00874A96" w:rsidRPr="00084AFB" w:rsidRDefault="00874A96" w:rsidP="003352DF">
            <w:pPr>
              <w:pStyle w:val="ListParagraph"/>
              <w:ind w:left="0"/>
              <w:rPr>
                <w:rFonts w:cs="Arial"/>
                <w:b/>
                <w:sz w:val="18"/>
                <w:szCs w:val="18"/>
              </w:rPr>
            </w:pPr>
            <w:r>
              <w:rPr>
                <w:rFonts w:cs="Arial"/>
                <w:sz w:val="18"/>
                <w:szCs w:val="18"/>
              </w:rPr>
              <w:t>D</w:t>
            </w:r>
            <w:r w:rsidRPr="00262303">
              <w:rPr>
                <w:rFonts w:cs="Arial"/>
                <w:sz w:val="18"/>
                <w:szCs w:val="18"/>
              </w:rPr>
              <w:t>evelopment is provided with urban services to support the needs of the community, including parks, reticulated water, sewerage, stormwater drainage, sealed roads, pathways, electricity and telecommunication infrastructure</w:t>
            </w:r>
            <w:r>
              <w:rPr>
                <w:rFonts w:cs="Arial"/>
                <w:sz w:val="18"/>
                <w:szCs w:val="18"/>
              </w:rPr>
              <w:t>.</w:t>
            </w:r>
          </w:p>
        </w:tc>
        <w:tc>
          <w:tcPr>
            <w:tcW w:w="4695" w:type="dxa"/>
            <w:shd w:val="clear" w:color="auto" w:fill="auto"/>
          </w:tcPr>
          <w:p w14:paraId="0E018A1E"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14</w:t>
            </w:r>
          </w:p>
          <w:p w14:paraId="6C1C5678" w14:textId="77777777" w:rsidR="00874A96" w:rsidRPr="00084AFB" w:rsidRDefault="00874A96"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1AFC7666" w14:textId="297E23F0"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084AFB" w14:paraId="188ED88F" w14:textId="6256DA27" w:rsidTr="00874A96">
        <w:tc>
          <w:tcPr>
            <w:tcW w:w="4695" w:type="dxa"/>
            <w:shd w:val="clear" w:color="auto" w:fill="auto"/>
          </w:tcPr>
          <w:p w14:paraId="05B14157" w14:textId="77777777" w:rsidR="00874A96" w:rsidRPr="00B2594D" w:rsidRDefault="00874A96" w:rsidP="003352DF">
            <w:pPr>
              <w:pStyle w:val="ListParagraph"/>
              <w:ind w:left="0"/>
              <w:rPr>
                <w:rFonts w:cs="Arial"/>
                <w:b/>
                <w:sz w:val="18"/>
                <w:szCs w:val="18"/>
              </w:rPr>
            </w:pPr>
            <w:r w:rsidRPr="00B2594D">
              <w:rPr>
                <w:rFonts w:cs="Arial"/>
                <w:b/>
                <w:sz w:val="18"/>
                <w:szCs w:val="18"/>
              </w:rPr>
              <w:t>PO</w:t>
            </w:r>
            <w:r>
              <w:rPr>
                <w:rFonts w:cs="Arial"/>
                <w:b/>
                <w:sz w:val="18"/>
                <w:szCs w:val="18"/>
              </w:rPr>
              <w:t>15</w:t>
            </w:r>
          </w:p>
          <w:p w14:paraId="7C2466E4" w14:textId="77777777" w:rsidR="00874A96" w:rsidRPr="00262303" w:rsidRDefault="00874A96" w:rsidP="003352DF">
            <w:pPr>
              <w:pStyle w:val="ListParagraph"/>
              <w:ind w:left="0"/>
              <w:rPr>
                <w:rFonts w:cs="Arial"/>
                <w:sz w:val="18"/>
                <w:szCs w:val="18"/>
              </w:rPr>
            </w:pPr>
            <w:r>
              <w:rPr>
                <w:rFonts w:cs="Arial"/>
                <w:sz w:val="18"/>
                <w:szCs w:val="18"/>
              </w:rPr>
              <w:t>D</w:t>
            </w:r>
            <w:r w:rsidRPr="00262303">
              <w:rPr>
                <w:rFonts w:cs="Arial"/>
                <w:sz w:val="18"/>
                <w:szCs w:val="18"/>
              </w:rPr>
              <w:t>evelopment does not adversely impact on the continued operation, viability and maintenance of existing infrastructure or compromise the future provision of planned infrastructure</w:t>
            </w:r>
            <w:r>
              <w:rPr>
                <w:rFonts w:cs="Arial"/>
                <w:sz w:val="18"/>
                <w:szCs w:val="18"/>
              </w:rPr>
              <w:t>.</w:t>
            </w:r>
          </w:p>
        </w:tc>
        <w:tc>
          <w:tcPr>
            <w:tcW w:w="4695" w:type="dxa"/>
            <w:shd w:val="clear" w:color="auto" w:fill="auto"/>
          </w:tcPr>
          <w:p w14:paraId="1B8C3330"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15</w:t>
            </w:r>
          </w:p>
          <w:p w14:paraId="6C9483BD" w14:textId="77777777" w:rsidR="00874A96" w:rsidRPr="00084AFB" w:rsidRDefault="00874A96"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95" w:type="dxa"/>
          </w:tcPr>
          <w:p w14:paraId="38FC05BA" w14:textId="44EB7FDE"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084AFB" w14:paraId="6C0BC7A6" w14:textId="37747834" w:rsidTr="00594363">
        <w:tc>
          <w:tcPr>
            <w:tcW w:w="14085" w:type="dxa"/>
            <w:gridSpan w:val="3"/>
            <w:shd w:val="clear" w:color="auto" w:fill="D9D9D9"/>
          </w:tcPr>
          <w:p w14:paraId="0A342F3F" w14:textId="66BC153F" w:rsidR="00874A96" w:rsidRDefault="00874A96" w:rsidP="003352DF">
            <w:pPr>
              <w:pStyle w:val="ListParagraph"/>
              <w:keepNext/>
              <w:ind w:left="0"/>
              <w:rPr>
                <w:rFonts w:cs="Arial"/>
                <w:b/>
                <w:i/>
                <w:sz w:val="18"/>
                <w:szCs w:val="18"/>
              </w:rPr>
            </w:pPr>
            <w:r>
              <w:rPr>
                <w:rFonts w:cs="Arial"/>
                <w:b/>
                <w:i/>
                <w:sz w:val="18"/>
                <w:szCs w:val="18"/>
              </w:rPr>
              <w:lastRenderedPageBreak/>
              <w:t>Additional requirements for the Kepnock district activity centre</w:t>
            </w:r>
          </w:p>
        </w:tc>
      </w:tr>
      <w:tr w:rsidR="00874A96" w:rsidRPr="000B0405" w14:paraId="61ABC3ED" w14:textId="0F053AE3" w:rsidTr="00874A96">
        <w:tc>
          <w:tcPr>
            <w:tcW w:w="4695" w:type="dxa"/>
            <w:shd w:val="clear" w:color="auto" w:fill="auto"/>
          </w:tcPr>
          <w:p w14:paraId="1AF71615" w14:textId="77777777" w:rsidR="00874A96" w:rsidRPr="00B2594D" w:rsidRDefault="00874A96" w:rsidP="003352DF">
            <w:pPr>
              <w:pStyle w:val="ListParagraph"/>
              <w:keepNext/>
              <w:ind w:left="0"/>
              <w:rPr>
                <w:rFonts w:cs="Arial"/>
                <w:b/>
                <w:sz w:val="18"/>
                <w:szCs w:val="18"/>
              </w:rPr>
            </w:pPr>
            <w:r w:rsidRPr="00B2594D">
              <w:rPr>
                <w:rFonts w:cs="Arial"/>
                <w:b/>
                <w:sz w:val="18"/>
                <w:szCs w:val="18"/>
              </w:rPr>
              <w:t>PO</w:t>
            </w:r>
            <w:r>
              <w:rPr>
                <w:rFonts w:cs="Arial"/>
                <w:b/>
                <w:sz w:val="18"/>
                <w:szCs w:val="18"/>
              </w:rPr>
              <w:t>16</w:t>
            </w:r>
          </w:p>
          <w:p w14:paraId="1416D0F7" w14:textId="77777777" w:rsidR="00874A96" w:rsidRPr="00400D1A" w:rsidRDefault="00874A96" w:rsidP="003352DF">
            <w:pPr>
              <w:pStyle w:val="ListParagraph"/>
              <w:ind w:left="0"/>
              <w:rPr>
                <w:rFonts w:cs="Arial"/>
                <w:sz w:val="18"/>
                <w:szCs w:val="18"/>
              </w:rPr>
            </w:pPr>
            <w:r w:rsidRPr="00400D1A">
              <w:rPr>
                <w:rFonts w:cs="Arial"/>
                <w:sz w:val="18"/>
                <w:szCs w:val="18"/>
              </w:rPr>
              <w:t>Development in the Kepnock district activity centre:-</w:t>
            </w:r>
          </w:p>
          <w:p w14:paraId="4A5B4316" w14:textId="77777777" w:rsidR="00874A96" w:rsidRPr="00400D1A" w:rsidRDefault="00874A96" w:rsidP="00874A96">
            <w:pPr>
              <w:pStyle w:val="ListParagraph"/>
              <w:numPr>
                <w:ilvl w:val="0"/>
                <w:numId w:val="98"/>
              </w:numPr>
              <w:ind w:left="425" w:hanging="425"/>
              <w:rPr>
                <w:rFonts w:cs="Arial"/>
                <w:sz w:val="18"/>
                <w:szCs w:val="18"/>
              </w:rPr>
            </w:pPr>
            <w:r w:rsidRPr="00400D1A">
              <w:rPr>
                <w:rFonts w:cs="Arial"/>
                <w:sz w:val="18"/>
                <w:szCs w:val="18"/>
              </w:rPr>
              <w:t>services resident</w:t>
            </w:r>
            <w:r>
              <w:rPr>
                <w:rFonts w:cs="Arial"/>
                <w:sz w:val="18"/>
                <w:szCs w:val="18"/>
              </w:rPr>
              <w:t>s of the Kalkie-</w:t>
            </w:r>
            <w:r w:rsidRPr="00400D1A">
              <w:rPr>
                <w:rFonts w:cs="Arial"/>
                <w:sz w:val="18"/>
                <w:szCs w:val="18"/>
              </w:rPr>
              <w:t>Ashfield local development area and the eastern suburbs of the Bundaberg urban area;</w:t>
            </w:r>
          </w:p>
          <w:p w14:paraId="2A29750A" w14:textId="77777777" w:rsidR="00874A96" w:rsidRPr="00400D1A" w:rsidRDefault="00874A96" w:rsidP="00874A96">
            <w:pPr>
              <w:pStyle w:val="ListParagraph"/>
              <w:numPr>
                <w:ilvl w:val="0"/>
                <w:numId w:val="98"/>
              </w:numPr>
              <w:ind w:left="425" w:hanging="425"/>
              <w:rPr>
                <w:rFonts w:cs="Arial"/>
                <w:b/>
                <w:sz w:val="18"/>
                <w:szCs w:val="18"/>
              </w:rPr>
            </w:pPr>
            <w:r>
              <w:rPr>
                <w:rFonts w:cs="Arial"/>
                <w:sz w:val="18"/>
                <w:szCs w:val="18"/>
              </w:rPr>
              <w:t>includes one full line supermarket and other retail uses servicing weekly shopping needs;</w:t>
            </w:r>
          </w:p>
          <w:p w14:paraId="137BD681" w14:textId="77777777" w:rsidR="00874A96" w:rsidRPr="00400D1A" w:rsidRDefault="00874A96" w:rsidP="00874A96">
            <w:pPr>
              <w:pStyle w:val="ListParagraph"/>
              <w:numPr>
                <w:ilvl w:val="0"/>
                <w:numId w:val="98"/>
              </w:numPr>
              <w:ind w:left="425" w:hanging="425"/>
              <w:rPr>
                <w:rFonts w:cs="Arial"/>
                <w:b/>
                <w:sz w:val="18"/>
                <w:szCs w:val="18"/>
              </w:rPr>
            </w:pPr>
            <w:r>
              <w:rPr>
                <w:rFonts w:cs="Arial"/>
                <w:sz w:val="18"/>
                <w:szCs w:val="18"/>
              </w:rPr>
              <w:t>includes a mix of commercial and community services meeting a range of convenience needs, in addition to entertainment and recreational facilities; and</w:t>
            </w:r>
          </w:p>
          <w:p w14:paraId="10E0CC7D" w14:textId="77777777" w:rsidR="00874A96" w:rsidRPr="00FC4A18" w:rsidRDefault="00874A96" w:rsidP="00874A96">
            <w:pPr>
              <w:pStyle w:val="ListParagraph"/>
              <w:numPr>
                <w:ilvl w:val="0"/>
                <w:numId w:val="98"/>
              </w:numPr>
              <w:ind w:left="425" w:hanging="425"/>
              <w:rPr>
                <w:rFonts w:cs="Arial"/>
                <w:b/>
                <w:sz w:val="18"/>
                <w:szCs w:val="18"/>
              </w:rPr>
            </w:pPr>
            <w:r>
              <w:rPr>
                <w:rFonts w:cs="Arial"/>
                <w:sz w:val="18"/>
                <w:szCs w:val="18"/>
              </w:rPr>
              <w:t>in the longer term, may also include a discount department store, subject to demonstrated need and avoidance of undue adverse impacts on the Bundaberg CBD principal activity centre and the Sugarland shopping centre and environs major activity centre.</w:t>
            </w:r>
          </w:p>
        </w:tc>
        <w:tc>
          <w:tcPr>
            <w:tcW w:w="4695" w:type="dxa"/>
            <w:shd w:val="clear" w:color="auto" w:fill="auto"/>
          </w:tcPr>
          <w:p w14:paraId="1B117EAD" w14:textId="77777777" w:rsidR="00874A96" w:rsidRPr="00B2594D" w:rsidRDefault="00874A96" w:rsidP="003352DF">
            <w:pPr>
              <w:pStyle w:val="ListParagraph"/>
              <w:ind w:left="0"/>
              <w:rPr>
                <w:rFonts w:cs="Arial"/>
                <w:b/>
                <w:sz w:val="18"/>
                <w:szCs w:val="18"/>
              </w:rPr>
            </w:pPr>
            <w:r w:rsidRPr="00B2594D">
              <w:rPr>
                <w:rFonts w:cs="Arial"/>
                <w:b/>
                <w:sz w:val="18"/>
                <w:szCs w:val="18"/>
              </w:rPr>
              <w:t>AO</w:t>
            </w:r>
            <w:r>
              <w:rPr>
                <w:rFonts w:cs="Arial"/>
                <w:b/>
                <w:sz w:val="18"/>
                <w:szCs w:val="18"/>
              </w:rPr>
              <w:t>16</w:t>
            </w:r>
          </w:p>
          <w:p w14:paraId="09356D38" w14:textId="77777777" w:rsidR="00874A96" w:rsidRPr="000B0405" w:rsidRDefault="00874A96" w:rsidP="003352DF">
            <w:pPr>
              <w:pStyle w:val="ListParagraph"/>
              <w:ind w:left="0"/>
              <w:rPr>
                <w:rFonts w:cs="Arial"/>
                <w:sz w:val="18"/>
                <w:szCs w:val="18"/>
              </w:rPr>
            </w:pPr>
            <w:r w:rsidRPr="00245F82">
              <w:rPr>
                <w:rFonts w:cs="Arial"/>
                <w:sz w:val="18"/>
                <w:szCs w:val="18"/>
              </w:rPr>
              <w:t>No acceptable outcome provided.</w:t>
            </w:r>
          </w:p>
        </w:tc>
        <w:tc>
          <w:tcPr>
            <w:tcW w:w="4695" w:type="dxa"/>
          </w:tcPr>
          <w:p w14:paraId="56B0D661" w14:textId="74977FCB" w:rsidR="00874A96" w:rsidRPr="00B2594D" w:rsidRDefault="00874A96"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630F9D" w14:paraId="0BBBCF8A" w14:textId="591D1EC1" w:rsidTr="00874A96">
        <w:tc>
          <w:tcPr>
            <w:tcW w:w="4695" w:type="dxa"/>
            <w:shd w:val="clear" w:color="auto" w:fill="auto"/>
          </w:tcPr>
          <w:p w14:paraId="158838FC" w14:textId="77777777" w:rsidR="00874A96" w:rsidRPr="00FC1C32" w:rsidRDefault="00874A96" w:rsidP="003352DF">
            <w:pPr>
              <w:rPr>
                <w:rFonts w:cs="Arial"/>
                <w:b/>
                <w:sz w:val="18"/>
                <w:szCs w:val="18"/>
              </w:rPr>
            </w:pPr>
            <w:r w:rsidRPr="00FC1C32">
              <w:rPr>
                <w:rFonts w:cs="Arial"/>
                <w:b/>
                <w:sz w:val="18"/>
                <w:szCs w:val="18"/>
              </w:rPr>
              <w:t>PO17</w:t>
            </w:r>
          </w:p>
          <w:p w14:paraId="25FEE5E1" w14:textId="77777777" w:rsidR="00874A96" w:rsidRPr="00FC1C32" w:rsidRDefault="00874A96" w:rsidP="003352DF">
            <w:pPr>
              <w:rPr>
                <w:rFonts w:cs="Arial"/>
                <w:sz w:val="18"/>
                <w:szCs w:val="18"/>
              </w:rPr>
            </w:pPr>
            <w:r w:rsidRPr="00FC1C32">
              <w:rPr>
                <w:rFonts w:cs="Arial"/>
                <w:sz w:val="18"/>
                <w:szCs w:val="18"/>
              </w:rPr>
              <w:t>Development within the Kepnock district activity centre has a physical form generally in accordance with Figure 6.2.6 (Kepnock district activity centre concept plan), including:</w:t>
            </w:r>
          </w:p>
          <w:p w14:paraId="3EC5A368" w14:textId="77777777" w:rsidR="00874A96" w:rsidRPr="00FC1C32" w:rsidRDefault="00874A96" w:rsidP="00874A96">
            <w:pPr>
              <w:pStyle w:val="ListParagraph"/>
              <w:numPr>
                <w:ilvl w:val="0"/>
                <w:numId w:val="123"/>
              </w:numPr>
              <w:ind w:left="425" w:hanging="425"/>
              <w:rPr>
                <w:rFonts w:cs="Arial"/>
                <w:sz w:val="18"/>
                <w:szCs w:val="18"/>
              </w:rPr>
            </w:pPr>
            <w:r w:rsidRPr="00FC1C32">
              <w:rPr>
                <w:rFonts w:cs="Arial"/>
                <w:sz w:val="18"/>
                <w:szCs w:val="18"/>
              </w:rPr>
              <w:t>bulky goods retailing (showrooms and  bulky goods outlets and other large format retail and business activities such as garden centres, hardware and trade supplies) and a service station in the eastern part of the site;</w:t>
            </w:r>
          </w:p>
          <w:p w14:paraId="3F1AAF3D" w14:textId="77777777" w:rsidR="00874A96" w:rsidRPr="00FC1C32" w:rsidRDefault="00874A96" w:rsidP="00874A96">
            <w:pPr>
              <w:pStyle w:val="ListParagraph"/>
              <w:numPr>
                <w:ilvl w:val="0"/>
                <w:numId w:val="123"/>
              </w:numPr>
              <w:ind w:left="425" w:hanging="425"/>
              <w:rPr>
                <w:rFonts w:cs="Arial"/>
                <w:sz w:val="18"/>
                <w:szCs w:val="18"/>
              </w:rPr>
            </w:pPr>
            <w:r w:rsidRPr="00FC1C32">
              <w:rPr>
                <w:rFonts w:cs="Arial"/>
                <w:sz w:val="18"/>
                <w:szCs w:val="18"/>
              </w:rPr>
              <w:t>community activities, such as a child care centre or educational facilities in the south eastern corner of the site on the corner of Kepnock and Greathead Roads; and</w:t>
            </w:r>
          </w:p>
          <w:p w14:paraId="7DC1848F" w14:textId="77777777" w:rsidR="00874A96" w:rsidRPr="00FC1C32" w:rsidRDefault="00874A96" w:rsidP="00874A96">
            <w:pPr>
              <w:pStyle w:val="ListParagraph"/>
              <w:numPr>
                <w:ilvl w:val="0"/>
                <w:numId w:val="123"/>
              </w:numPr>
              <w:ind w:left="425" w:hanging="425"/>
              <w:rPr>
                <w:rFonts w:cs="Arial"/>
                <w:sz w:val="18"/>
                <w:szCs w:val="18"/>
              </w:rPr>
            </w:pPr>
            <w:r w:rsidRPr="00FC1C32">
              <w:rPr>
                <w:rFonts w:cs="Arial"/>
                <w:sz w:val="18"/>
                <w:szCs w:val="18"/>
              </w:rPr>
              <w:t>residential development to provide a buffer between the commercial land uses and the existing low density residential area of Liddell Court and Scherer Boulevard.</w:t>
            </w:r>
          </w:p>
          <w:p w14:paraId="04075425" w14:textId="77777777" w:rsidR="00874A96" w:rsidRPr="00FC1C32" w:rsidRDefault="00874A96" w:rsidP="003352DF">
            <w:pPr>
              <w:pStyle w:val="ListParagraph"/>
              <w:rPr>
                <w:rFonts w:cs="Arial"/>
                <w:sz w:val="18"/>
                <w:szCs w:val="18"/>
              </w:rPr>
            </w:pPr>
          </w:p>
          <w:p w14:paraId="2833BC07" w14:textId="77777777" w:rsidR="00874A96" w:rsidRPr="00FC1C32" w:rsidRDefault="00874A96" w:rsidP="003352DF">
            <w:pPr>
              <w:rPr>
                <w:rFonts w:eastAsia="Calibri" w:cs="Arial"/>
                <w:b/>
                <w:sz w:val="18"/>
                <w:szCs w:val="18"/>
                <w:lang w:eastAsia="en-US"/>
              </w:rPr>
            </w:pPr>
            <w:r w:rsidRPr="00FC1C32">
              <w:rPr>
                <w:rFonts w:cs="Arial"/>
                <w:sz w:val="16"/>
                <w:szCs w:val="16"/>
              </w:rPr>
              <w:t>Note</w:t>
            </w:r>
            <w:r w:rsidRPr="00FC1C32">
              <w:rPr>
                <w:sz w:val="16"/>
                <w:szCs w:val="16"/>
              </w:rPr>
              <w:t>—</w:t>
            </w:r>
            <w:r w:rsidRPr="00FC1C32">
              <w:rPr>
                <w:rFonts w:cs="Arial"/>
                <w:sz w:val="16"/>
                <w:szCs w:val="16"/>
              </w:rPr>
              <w:t>the land use areas and infrastructure elements shown on this figure are indicative only and represent a conceptual response to the overall outcomes and assessment benchmarks of the District centre zone code.  The exact location and spatial extent of the various land use areas and infrastructure elements within the Kepnock district activity centre will be subject to more detailed ground truthing and site-specific assessments undertaken as part of future development application processes</w:t>
            </w:r>
            <w:r w:rsidRPr="00FC1C32">
              <w:rPr>
                <w:rFonts w:cs="Arial"/>
                <w:sz w:val="18"/>
                <w:szCs w:val="18"/>
              </w:rPr>
              <w:t xml:space="preserve">.  </w:t>
            </w:r>
          </w:p>
        </w:tc>
        <w:tc>
          <w:tcPr>
            <w:tcW w:w="4695" w:type="dxa"/>
            <w:shd w:val="clear" w:color="auto" w:fill="auto"/>
          </w:tcPr>
          <w:p w14:paraId="63C10EF0" w14:textId="77777777" w:rsidR="00874A96" w:rsidRPr="00FC1C32" w:rsidRDefault="00874A96" w:rsidP="003352DF">
            <w:pPr>
              <w:rPr>
                <w:rFonts w:cs="Arial"/>
                <w:b/>
                <w:sz w:val="18"/>
                <w:szCs w:val="18"/>
              </w:rPr>
            </w:pPr>
            <w:r w:rsidRPr="00FC1C32">
              <w:rPr>
                <w:rFonts w:cs="Arial"/>
                <w:b/>
                <w:sz w:val="18"/>
                <w:szCs w:val="18"/>
              </w:rPr>
              <w:t>AO17</w:t>
            </w:r>
          </w:p>
          <w:p w14:paraId="00670873" w14:textId="77777777" w:rsidR="00874A96" w:rsidRPr="00630F9D" w:rsidRDefault="00874A96" w:rsidP="003352DF">
            <w:pPr>
              <w:rPr>
                <w:rFonts w:cs="Arial"/>
                <w:sz w:val="18"/>
                <w:szCs w:val="18"/>
              </w:rPr>
            </w:pPr>
            <w:r w:rsidRPr="00FC1C32">
              <w:rPr>
                <w:rFonts w:cs="Arial"/>
                <w:sz w:val="18"/>
                <w:szCs w:val="18"/>
              </w:rPr>
              <w:t>No acceptable outcome provided.</w:t>
            </w:r>
          </w:p>
        </w:tc>
        <w:tc>
          <w:tcPr>
            <w:tcW w:w="4695" w:type="dxa"/>
          </w:tcPr>
          <w:p w14:paraId="4D31B1F2" w14:textId="22E24AFE" w:rsidR="00874A96" w:rsidRPr="00FC1C32"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3C6A96" w14:paraId="206E469D" w14:textId="068476F8" w:rsidTr="00874A96">
        <w:tc>
          <w:tcPr>
            <w:tcW w:w="4695" w:type="dxa"/>
            <w:shd w:val="clear" w:color="auto" w:fill="auto"/>
          </w:tcPr>
          <w:p w14:paraId="3F15979C" w14:textId="77777777" w:rsidR="00874A96" w:rsidRPr="00AA4384" w:rsidRDefault="00874A96" w:rsidP="003352DF">
            <w:pPr>
              <w:rPr>
                <w:rFonts w:eastAsia="Calibri" w:cs="Arial"/>
                <w:b/>
                <w:sz w:val="18"/>
                <w:szCs w:val="18"/>
                <w:lang w:eastAsia="en-US"/>
              </w:rPr>
            </w:pPr>
            <w:r w:rsidRPr="00AA4384">
              <w:rPr>
                <w:rFonts w:eastAsia="Calibri" w:cs="Arial"/>
                <w:b/>
                <w:sz w:val="18"/>
                <w:szCs w:val="18"/>
                <w:lang w:eastAsia="en-US"/>
              </w:rPr>
              <w:lastRenderedPageBreak/>
              <w:t>PO1</w:t>
            </w:r>
            <w:r>
              <w:rPr>
                <w:rFonts w:eastAsia="Calibri" w:cs="Arial"/>
                <w:b/>
                <w:sz w:val="18"/>
                <w:szCs w:val="18"/>
                <w:lang w:eastAsia="en-US"/>
              </w:rPr>
              <w:t>8</w:t>
            </w:r>
          </w:p>
          <w:p w14:paraId="3A65FF8C" w14:textId="77777777" w:rsidR="00874A96" w:rsidRPr="00AA4384" w:rsidRDefault="00874A96" w:rsidP="003352DF">
            <w:pPr>
              <w:rPr>
                <w:rFonts w:eastAsia="Calibri" w:cs="Arial"/>
                <w:sz w:val="18"/>
                <w:szCs w:val="18"/>
                <w:lang w:eastAsia="en-US"/>
              </w:rPr>
            </w:pPr>
            <w:r w:rsidRPr="00AA4384">
              <w:rPr>
                <w:rFonts w:eastAsia="Calibri" w:cs="Arial"/>
                <w:sz w:val="18"/>
                <w:szCs w:val="18"/>
                <w:lang w:eastAsia="en-US"/>
              </w:rPr>
              <w:t>Residential development within the Kepnock district activity centre:-</w:t>
            </w:r>
          </w:p>
          <w:p w14:paraId="76097E24" w14:textId="77777777" w:rsidR="00874A96" w:rsidRPr="00AA4384" w:rsidRDefault="00874A96" w:rsidP="00874A96">
            <w:pPr>
              <w:pStyle w:val="ListParagraph"/>
              <w:numPr>
                <w:ilvl w:val="0"/>
                <w:numId w:val="119"/>
              </w:numPr>
              <w:ind w:left="437" w:hanging="437"/>
              <w:rPr>
                <w:rFonts w:eastAsia="Calibri" w:cs="Arial"/>
                <w:sz w:val="18"/>
                <w:szCs w:val="18"/>
                <w:lang w:eastAsia="en-US"/>
              </w:rPr>
            </w:pPr>
            <w:r w:rsidRPr="00AA4384">
              <w:rPr>
                <w:rFonts w:eastAsia="Calibri" w:cs="Arial"/>
                <w:sz w:val="18"/>
                <w:szCs w:val="18"/>
                <w:lang w:eastAsia="en-US"/>
              </w:rPr>
              <w:t>provides sufficient local residential population to support the primary commercial function of the centre;</w:t>
            </w:r>
          </w:p>
          <w:p w14:paraId="65391493" w14:textId="77777777" w:rsidR="00874A96" w:rsidRDefault="00874A96" w:rsidP="00874A96">
            <w:pPr>
              <w:pStyle w:val="ListParagraph"/>
              <w:numPr>
                <w:ilvl w:val="0"/>
                <w:numId w:val="119"/>
              </w:numPr>
              <w:ind w:left="437" w:hanging="437"/>
              <w:rPr>
                <w:rFonts w:eastAsia="Calibri" w:cs="Arial"/>
                <w:sz w:val="18"/>
                <w:szCs w:val="18"/>
                <w:lang w:eastAsia="en-US"/>
              </w:rPr>
            </w:pPr>
            <w:r w:rsidRPr="00AA4384">
              <w:rPr>
                <w:rFonts w:eastAsia="Calibri" w:cs="Arial"/>
                <w:sz w:val="18"/>
                <w:szCs w:val="18"/>
                <w:lang w:eastAsia="en-US"/>
              </w:rPr>
              <w:t xml:space="preserve">provides </w:t>
            </w:r>
            <w:r w:rsidRPr="00D90A67">
              <w:rPr>
                <w:rFonts w:cs="Arial"/>
                <w:sz w:val="18"/>
                <w:szCs w:val="18"/>
              </w:rPr>
              <w:t xml:space="preserve">medium density </w:t>
            </w:r>
            <w:r w:rsidRPr="00AA4384">
              <w:rPr>
                <w:rFonts w:eastAsia="Calibri" w:cs="Arial"/>
                <w:sz w:val="18"/>
                <w:szCs w:val="18"/>
                <w:lang w:eastAsia="en-US"/>
              </w:rPr>
              <w:t>housing options within close proximity of retail and other shopping and community facilities;</w:t>
            </w:r>
          </w:p>
          <w:p w14:paraId="59D74203" w14:textId="77777777" w:rsidR="00874A96" w:rsidRPr="00AA4384" w:rsidRDefault="00874A96" w:rsidP="00874A96">
            <w:pPr>
              <w:pStyle w:val="ListParagraph"/>
              <w:numPr>
                <w:ilvl w:val="0"/>
                <w:numId w:val="119"/>
              </w:numPr>
              <w:ind w:left="437" w:hanging="437"/>
              <w:rPr>
                <w:rFonts w:eastAsia="Calibri" w:cs="Arial"/>
                <w:sz w:val="18"/>
                <w:szCs w:val="18"/>
                <w:lang w:eastAsia="en-US"/>
              </w:rPr>
            </w:pPr>
            <w:r>
              <w:rPr>
                <w:rFonts w:eastAsia="Calibri" w:cs="Arial"/>
                <w:sz w:val="18"/>
                <w:szCs w:val="18"/>
                <w:lang w:eastAsia="en-US"/>
              </w:rPr>
              <w:t xml:space="preserve">provides landscape buffering to </w:t>
            </w:r>
            <w:r w:rsidRPr="00FA64FC">
              <w:rPr>
                <w:rFonts w:eastAsia="Calibri" w:cs="Arial"/>
                <w:sz w:val="18"/>
                <w:szCs w:val="18"/>
                <w:lang w:eastAsia="en-US"/>
              </w:rPr>
              <w:t>Scherer Boulevard</w:t>
            </w:r>
            <w:r>
              <w:rPr>
                <w:rFonts w:eastAsia="Calibri" w:cs="Arial"/>
                <w:sz w:val="18"/>
                <w:szCs w:val="18"/>
                <w:lang w:eastAsia="en-US"/>
              </w:rPr>
              <w:t xml:space="preserve"> and existing residences on Liddel Street;</w:t>
            </w:r>
          </w:p>
          <w:p w14:paraId="320C5B89" w14:textId="77777777" w:rsidR="00874A96" w:rsidRDefault="00874A96" w:rsidP="00874A96">
            <w:pPr>
              <w:pStyle w:val="ListParagraph"/>
              <w:numPr>
                <w:ilvl w:val="0"/>
                <w:numId w:val="119"/>
              </w:numPr>
              <w:ind w:left="437" w:hanging="437"/>
              <w:rPr>
                <w:rFonts w:eastAsia="Calibri" w:cs="Arial"/>
                <w:sz w:val="18"/>
                <w:szCs w:val="18"/>
                <w:lang w:eastAsia="en-US"/>
              </w:rPr>
            </w:pPr>
            <w:r w:rsidRPr="00AA4384">
              <w:rPr>
                <w:rFonts w:eastAsia="Calibri" w:cs="Arial"/>
                <w:sz w:val="18"/>
                <w:szCs w:val="18"/>
                <w:lang w:eastAsia="en-US"/>
              </w:rPr>
              <w:t xml:space="preserve">when located within the retail/mixed use area, is integrated with commercial uses to contribute to a dynamic main street and provide affordable housing options; </w:t>
            </w:r>
          </w:p>
          <w:p w14:paraId="1F206692" w14:textId="77777777" w:rsidR="00874A96" w:rsidRPr="00AA4384" w:rsidRDefault="00874A96" w:rsidP="00874A96">
            <w:pPr>
              <w:pStyle w:val="ListParagraph"/>
              <w:numPr>
                <w:ilvl w:val="0"/>
                <w:numId w:val="119"/>
              </w:numPr>
              <w:ind w:left="437" w:hanging="437"/>
              <w:rPr>
                <w:rFonts w:eastAsia="Calibri" w:cs="Arial"/>
                <w:sz w:val="18"/>
                <w:szCs w:val="18"/>
                <w:lang w:eastAsia="en-US"/>
              </w:rPr>
            </w:pPr>
            <w:r>
              <w:rPr>
                <w:rFonts w:eastAsia="Calibri" w:cs="Arial"/>
                <w:sz w:val="18"/>
                <w:szCs w:val="18"/>
                <w:lang w:eastAsia="en-US"/>
              </w:rPr>
              <w:t>in the medium density residential area, includes n</w:t>
            </w:r>
            <w:r w:rsidRPr="00D90A67">
              <w:rPr>
                <w:rFonts w:cs="Arial"/>
                <w:sz w:val="18"/>
                <w:szCs w:val="18"/>
              </w:rPr>
              <w:t>on-residential activities, provided they are of a small scale and low intensity</w:t>
            </w:r>
            <w:r>
              <w:rPr>
                <w:rFonts w:cs="Arial"/>
                <w:sz w:val="18"/>
                <w:szCs w:val="18"/>
              </w:rPr>
              <w:t>,</w:t>
            </w:r>
            <w:r w:rsidRPr="00D90A67">
              <w:rPr>
                <w:rFonts w:cs="Arial"/>
                <w:sz w:val="18"/>
                <w:szCs w:val="18"/>
              </w:rPr>
              <w:t xml:space="preserve"> are compatible with the prevailing residential character and amenity, and are located to front the major internal roads</w:t>
            </w:r>
            <w:r>
              <w:rPr>
                <w:rFonts w:cs="Arial"/>
                <w:sz w:val="18"/>
                <w:szCs w:val="18"/>
              </w:rPr>
              <w:t>;</w:t>
            </w:r>
            <w:r>
              <w:rPr>
                <w:rFonts w:eastAsia="Calibri" w:cs="Arial"/>
                <w:sz w:val="18"/>
                <w:szCs w:val="18"/>
                <w:lang w:eastAsia="en-US"/>
              </w:rPr>
              <w:t xml:space="preserve"> </w:t>
            </w:r>
            <w:r w:rsidRPr="00AA4384">
              <w:rPr>
                <w:rFonts w:eastAsia="Calibri" w:cs="Arial"/>
                <w:sz w:val="18"/>
                <w:szCs w:val="18"/>
                <w:lang w:eastAsia="en-US"/>
              </w:rPr>
              <w:t xml:space="preserve">and </w:t>
            </w:r>
          </w:p>
          <w:p w14:paraId="390BB3AD" w14:textId="77777777" w:rsidR="00874A96" w:rsidRPr="00AA4384" w:rsidRDefault="00874A96" w:rsidP="00874A96">
            <w:pPr>
              <w:pStyle w:val="ListParagraph"/>
              <w:numPr>
                <w:ilvl w:val="0"/>
                <w:numId w:val="119"/>
              </w:numPr>
              <w:ind w:left="437" w:hanging="437"/>
              <w:rPr>
                <w:rFonts w:eastAsia="Calibri" w:cs="Arial"/>
                <w:sz w:val="18"/>
                <w:szCs w:val="18"/>
                <w:lang w:eastAsia="en-US"/>
              </w:rPr>
            </w:pPr>
            <w:r w:rsidRPr="00AA4384">
              <w:rPr>
                <w:rFonts w:eastAsia="Calibri" w:cs="Arial"/>
                <w:sz w:val="18"/>
                <w:szCs w:val="18"/>
                <w:lang w:eastAsia="en-US"/>
              </w:rPr>
              <w:t>is well connected via pedestrian and cycle paths to the adjoining commercial uses.</w:t>
            </w:r>
          </w:p>
        </w:tc>
        <w:tc>
          <w:tcPr>
            <w:tcW w:w="4695" w:type="dxa"/>
            <w:shd w:val="clear" w:color="auto" w:fill="auto"/>
          </w:tcPr>
          <w:p w14:paraId="10F8B603" w14:textId="77777777" w:rsidR="00874A96" w:rsidRPr="00AA4384" w:rsidRDefault="00874A96" w:rsidP="003352DF">
            <w:pPr>
              <w:rPr>
                <w:rFonts w:cs="Arial"/>
                <w:b/>
                <w:sz w:val="18"/>
                <w:szCs w:val="18"/>
              </w:rPr>
            </w:pPr>
            <w:r w:rsidRPr="00AA4384">
              <w:rPr>
                <w:rFonts w:cs="Arial"/>
                <w:b/>
                <w:sz w:val="18"/>
                <w:szCs w:val="18"/>
              </w:rPr>
              <w:t>AO1</w:t>
            </w:r>
            <w:r>
              <w:rPr>
                <w:rFonts w:cs="Arial"/>
                <w:b/>
                <w:sz w:val="18"/>
                <w:szCs w:val="18"/>
              </w:rPr>
              <w:t>8</w:t>
            </w:r>
          </w:p>
          <w:p w14:paraId="306B537A" w14:textId="77777777" w:rsidR="00874A96" w:rsidRPr="003C6A96" w:rsidRDefault="00874A96" w:rsidP="003352DF">
            <w:pPr>
              <w:pStyle w:val="ListParagraph"/>
              <w:ind w:left="0"/>
              <w:rPr>
                <w:rFonts w:cs="Arial"/>
                <w:sz w:val="18"/>
                <w:szCs w:val="18"/>
              </w:rPr>
            </w:pPr>
            <w:r w:rsidRPr="00245F82">
              <w:rPr>
                <w:rFonts w:cs="Arial"/>
                <w:sz w:val="18"/>
                <w:szCs w:val="18"/>
              </w:rPr>
              <w:t>No acceptable outcome provided.</w:t>
            </w:r>
          </w:p>
        </w:tc>
        <w:tc>
          <w:tcPr>
            <w:tcW w:w="4695" w:type="dxa"/>
          </w:tcPr>
          <w:p w14:paraId="22D4CAB5" w14:textId="539168C9" w:rsidR="00874A96" w:rsidRPr="00AA4384"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AA4384" w14:paraId="667EA8E2" w14:textId="58714796" w:rsidTr="00874A96">
        <w:tc>
          <w:tcPr>
            <w:tcW w:w="4695" w:type="dxa"/>
            <w:shd w:val="clear" w:color="auto" w:fill="auto"/>
          </w:tcPr>
          <w:p w14:paraId="4197BFF7" w14:textId="77777777" w:rsidR="00874A96" w:rsidRPr="0079708C" w:rsidRDefault="00874A96" w:rsidP="003352DF">
            <w:pPr>
              <w:rPr>
                <w:rFonts w:eastAsia="Calibri" w:cs="Arial"/>
                <w:b/>
                <w:sz w:val="18"/>
                <w:szCs w:val="18"/>
                <w:lang w:eastAsia="en-US"/>
              </w:rPr>
            </w:pPr>
            <w:r>
              <w:rPr>
                <w:rFonts w:eastAsia="Calibri" w:cs="Arial"/>
                <w:b/>
                <w:sz w:val="18"/>
                <w:szCs w:val="18"/>
                <w:lang w:eastAsia="en-US"/>
              </w:rPr>
              <w:t>PO19</w:t>
            </w:r>
          </w:p>
          <w:p w14:paraId="75AC32C8" w14:textId="77777777" w:rsidR="00874A96" w:rsidRPr="0047040D" w:rsidRDefault="00874A96" w:rsidP="003352DF">
            <w:pPr>
              <w:rPr>
                <w:rFonts w:eastAsia="Calibri" w:cs="Arial"/>
                <w:sz w:val="18"/>
                <w:szCs w:val="18"/>
                <w:lang w:eastAsia="en-US"/>
              </w:rPr>
            </w:pPr>
            <w:r>
              <w:rPr>
                <w:rFonts w:cs="Arial"/>
                <w:sz w:val="18"/>
                <w:szCs w:val="18"/>
              </w:rPr>
              <w:t xml:space="preserve">Buildings in the medium density residential area </w:t>
            </w:r>
            <w:r w:rsidRPr="00A21F55">
              <w:rPr>
                <w:rFonts w:cs="Arial"/>
                <w:sz w:val="18"/>
                <w:szCs w:val="18"/>
              </w:rPr>
              <w:t>consist of single and two storey housing with 3 storey (maximum of 11m) where setback a minimum of 20m from Scherer Boulevard and land within the Low density residential zone</w:t>
            </w:r>
            <w:r>
              <w:rPr>
                <w:rFonts w:cs="Arial"/>
                <w:sz w:val="18"/>
                <w:szCs w:val="18"/>
              </w:rPr>
              <w:t xml:space="preserve"> so as to </w:t>
            </w:r>
            <w:r w:rsidRPr="0047040D">
              <w:rPr>
                <w:rFonts w:cs="Arial"/>
                <w:sz w:val="18"/>
                <w:szCs w:val="18"/>
              </w:rPr>
              <w:t xml:space="preserve">provide </w:t>
            </w:r>
            <w:r w:rsidRPr="0047040D">
              <w:rPr>
                <w:rFonts w:eastAsia="Calibri" w:cs="Arial"/>
                <w:sz w:val="18"/>
                <w:szCs w:val="18"/>
                <w:lang w:eastAsia="en-US"/>
              </w:rPr>
              <w:t>a transition between the commercial uses of the District centre and the existing adjoining low density residential areas.</w:t>
            </w:r>
          </w:p>
        </w:tc>
        <w:tc>
          <w:tcPr>
            <w:tcW w:w="4695" w:type="dxa"/>
            <w:shd w:val="clear" w:color="auto" w:fill="auto"/>
          </w:tcPr>
          <w:p w14:paraId="6A250A81" w14:textId="77777777" w:rsidR="00874A96" w:rsidRPr="00AA4384" w:rsidRDefault="00874A96" w:rsidP="003352DF">
            <w:pPr>
              <w:rPr>
                <w:rFonts w:eastAsia="Calibri" w:cs="Arial"/>
                <w:b/>
                <w:sz w:val="18"/>
                <w:szCs w:val="18"/>
                <w:lang w:eastAsia="en-US"/>
              </w:rPr>
            </w:pPr>
            <w:r>
              <w:rPr>
                <w:rFonts w:eastAsia="Calibri" w:cs="Arial"/>
                <w:b/>
                <w:sz w:val="18"/>
                <w:szCs w:val="18"/>
                <w:lang w:eastAsia="en-US"/>
              </w:rPr>
              <w:t>A</w:t>
            </w:r>
            <w:r w:rsidRPr="00AA4384">
              <w:rPr>
                <w:rFonts w:eastAsia="Calibri" w:cs="Arial"/>
                <w:b/>
                <w:sz w:val="18"/>
                <w:szCs w:val="18"/>
                <w:lang w:eastAsia="en-US"/>
              </w:rPr>
              <w:t>O1</w:t>
            </w:r>
            <w:r>
              <w:rPr>
                <w:rFonts w:eastAsia="Calibri" w:cs="Arial"/>
                <w:b/>
                <w:sz w:val="18"/>
                <w:szCs w:val="18"/>
                <w:lang w:eastAsia="en-US"/>
              </w:rPr>
              <w:t>9</w:t>
            </w:r>
          </w:p>
          <w:p w14:paraId="2A10EDC7" w14:textId="77777777" w:rsidR="00874A96" w:rsidRPr="00AA4384" w:rsidRDefault="00874A96" w:rsidP="003352DF">
            <w:pPr>
              <w:rPr>
                <w:rFonts w:cs="Arial"/>
                <w:b/>
                <w:sz w:val="18"/>
                <w:szCs w:val="18"/>
              </w:rPr>
            </w:pPr>
            <w:r>
              <w:rPr>
                <w:rFonts w:cs="Arial"/>
                <w:sz w:val="18"/>
                <w:szCs w:val="18"/>
              </w:rPr>
              <w:t>No acceptable outcome is provided.</w:t>
            </w:r>
          </w:p>
        </w:tc>
        <w:tc>
          <w:tcPr>
            <w:tcW w:w="4695" w:type="dxa"/>
          </w:tcPr>
          <w:p w14:paraId="0CD42A6D" w14:textId="7ED2D58B" w:rsidR="00874A96" w:rsidRDefault="00874A96" w:rsidP="003352DF">
            <w:pPr>
              <w:rPr>
                <w:rFonts w:eastAsia="Calibri" w:cs="Arial"/>
                <w:b/>
                <w:sz w:val="18"/>
                <w:szCs w:val="18"/>
                <w:lang w:eastAsia="en-US"/>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630F9D" w14:paraId="1240BA44" w14:textId="426C3E69" w:rsidTr="00874A96">
        <w:tc>
          <w:tcPr>
            <w:tcW w:w="4695" w:type="dxa"/>
            <w:shd w:val="clear" w:color="auto" w:fill="auto"/>
          </w:tcPr>
          <w:p w14:paraId="2421CBC8" w14:textId="77777777" w:rsidR="00874A96" w:rsidRPr="00AA4384" w:rsidRDefault="00874A96" w:rsidP="003352DF">
            <w:pPr>
              <w:rPr>
                <w:rFonts w:eastAsia="Calibri" w:cs="Arial"/>
                <w:b/>
                <w:sz w:val="18"/>
                <w:szCs w:val="18"/>
                <w:lang w:eastAsia="en-US"/>
              </w:rPr>
            </w:pPr>
            <w:r w:rsidRPr="00AA4384">
              <w:rPr>
                <w:rFonts w:eastAsia="Calibri" w:cs="Arial"/>
                <w:b/>
                <w:sz w:val="18"/>
                <w:szCs w:val="18"/>
                <w:lang w:eastAsia="en-US"/>
              </w:rPr>
              <w:t>PO</w:t>
            </w:r>
            <w:r>
              <w:rPr>
                <w:rFonts w:eastAsia="Calibri" w:cs="Arial"/>
                <w:b/>
                <w:sz w:val="18"/>
                <w:szCs w:val="18"/>
                <w:lang w:eastAsia="en-US"/>
              </w:rPr>
              <w:t>20</w:t>
            </w:r>
          </w:p>
          <w:p w14:paraId="3F937DCA" w14:textId="77777777" w:rsidR="00874A96" w:rsidRPr="00FC4A18" w:rsidRDefault="00874A96" w:rsidP="003352DF">
            <w:pPr>
              <w:rPr>
                <w:rFonts w:cs="Arial"/>
                <w:sz w:val="18"/>
                <w:szCs w:val="18"/>
              </w:rPr>
            </w:pPr>
            <w:r>
              <w:rPr>
                <w:rFonts w:cs="Arial"/>
                <w:sz w:val="18"/>
                <w:szCs w:val="18"/>
              </w:rPr>
              <w:t xml:space="preserve">Development </w:t>
            </w:r>
            <w:r w:rsidRPr="00FC4A18">
              <w:rPr>
                <w:rFonts w:cs="Arial"/>
                <w:sz w:val="18"/>
                <w:szCs w:val="18"/>
              </w:rPr>
              <w:t>contributes to a traditional, fine grained, pedestrian orientated ‘main street’ character, established through design elements including:</w:t>
            </w:r>
          </w:p>
          <w:p w14:paraId="184D88D3" w14:textId="77777777" w:rsidR="00874A96" w:rsidRDefault="00874A96" w:rsidP="00874A96">
            <w:pPr>
              <w:pStyle w:val="ListParagraph"/>
              <w:numPr>
                <w:ilvl w:val="1"/>
                <w:numId w:val="28"/>
              </w:numPr>
              <w:tabs>
                <w:tab w:val="clear" w:pos="1134"/>
                <w:tab w:val="left" w:pos="709"/>
              </w:tabs>
              <w:ind w:left="425" w:hanging="425"/>
              <w:rPr>
                <w:rFonts w:cs="Arial"/>
                <w:sz w:val="18"/>
                <w:szCs w:val="18"/>
              </w:rPr>
            </w:pPr>
            <w:r w:rsidRPr="00FC4A18">
              <w:rPr>
                <w:rFonts w:cs="Arial"/>
                <w:sz w:val="18"/>
                <w:szCs w:val="18"/>
              </w:rPr>
              <w:t xml:space="preserve">built form directly adjoining the site frontage at street level </w:t>
            </w:r>
            <w:r>
              <w:rPr>
                <w:rFonts w:cs="Arial"/>
                <w:sz w:val="18"/>
                <w:szCs w:val="18"/>
              </w:rPr>
              <w:t xml:space="preserve">on an internal road </w:t>
            </w:r>
            <w:r w:rsidRPr="00FC4A18">
              <w:rPr>
                <w:rFonts w:cs="Arial"/>
                <w:sz w:val="18"/>
                <w:szCs w:val="18"/>
              </w:rPr>
              <w:t>or with limited setbacks at street level to accommodate pedestrian movement and shelter or outdoor business activities;</w:t>
            </w:r>
          </w:p>
          <w:p w14:paraId="7186C357" w14:textId="77777777" w:rsidR="00874A96" w:rsidRDefault="00874A96" w:rsidP="00874A96">
            <w:pPr>
              <w:pStyle w:val="ListParagraph"/>
              <w:numPr>
                <w:ilvl w:val="1"/>
                <w:numId w:val="28"/>
              </w:numPr>
              <w:tabs>
                <w:tab w:val="clear" w:pos="1134"/>
                <w:tab w:val="left" w:pos="709"/>
              </w:tabs>
              <w:ind w:left="425" w:hanging="425"/>
              <w:rPr>
                <w:rFonts w:cs="Arial"/>
                <w:sz w:val="18"/>
                <w:szCs w:val="18"/>
              </w:rPr>
            </w:pPr>
            <w:r w:rsidRPr="00630F9D">
              <w:rPr>
                <w:rFonts w:cs="Arial"/>
                <w:sz w:val="18"/>
                <w:szCs w:val="18"/>
              </w:rPr>
              <w:t>regular street and footpath grid layout to promote permeability and legibility</w:t>
            </w:r>
          </w:p>
          <w:p w14:paraId="5A00E5C0" w14:textId="77777777" w:rsidR="00874A96" w:rsidRDefault="00874A96" w:rsidP="00874A96">
            <w:pPr>
              <w:pStyle w:val="ListParagraph"/>
              <w:numPr>
                <w:ilvl w:val="1"/>
                <w:numId w:val="28"/>
              </w:numPr>
              <w:tabs>
                <w:tab w:val="clear" w:pos="1134"/>
                <w:tab w:val="left" w:pos="709"/>
              </w:tabs>
              <w:ind w:left="425" w:hanging="425"/>
              <w:rPr>
                <w:rFonts w:cs="Arial"/>
                <w:sz w:val="18"/>
                <w:szCs w:val="18"/>
              </w:rPr>
            </w:pPr>
            <w:r w:rsidRPr="00630F9D">
              <w:rPr>
                <w:rFonts w:cs="Arial"/>
                <w:sz w:val="18"/>
                <w:szCs w:val="18"/>
              </w:rPr>
              <w:t>vehicle parking on the street, at the rear of buildings or underground;</w:t>
            </w:r>
          </w:p>
          <w:p w14:paraId="6F7AEE68" w14:textId="77777777" w:rsidR="00874A96" w:rsidRDefault="00874A96" w:rsidP="00874A96">
            <w:pPr>
              <w:pStyle w:val="ListParagraph"/>
              <w:numPr>
                <w:ilvl w:val="1"/>
                <w:numId w:val="28"/>
              </w:numPr>
              <w:tabs>
                <w:tab w:val="clear" w:pos="1134"/>
                <w:tab w:val="left" w:pos="709"/>
              </w:tabs>
              <w:ind w:left="425" w:hanging="425"/>
              <w:rPr>
                <w:rFonts w:cs="Arial"/>
                <w:sz w:val="18"/>
                <w:szCs w:val="18"/>
              </w:rPr>
            </w:pPr>
            <w:r w:rsidRPr="00630F9D">
              <w:rPr>
                <w:rFonts w:cs="Arial"/>
                <w:sz w:val="18"/>
                <w:szCs w:val="18"/>
              </w:rPr>
              <w:lastRenderedPageBreak/>
              <w:t>narrow frontages to the street and footpath for individual business premises;</w:t>
            </w:r>
          </w:p>
          <w:p w14:paraId="5A190F0E" w14:textId="77777777" w:rsidR="00874A96" w:rsidRDefault="00874A96" w:rsidP="00874A96">
            <w:pPr>
              <w:pStyle w:val="ListParagraph"/>
              <w:numPr>
                <w:ilvl w:val="1"/>
                <w:numId w:val="28"/>
              </w:numPr>
              <w:tabs>
                <w:tab w:val="clear" w:pos="1134"/>
                <w:tab w:val="left" w:pos="709"/>
              </w:tabs>
              <w:ind w:left="425" w:hanging="425"/>
              <w:rPr>
                <w:rFonts w:cs="Arial"/>
                <w:sz w:val="18"/>
                <w:szCs w:val="18"/>
              </w:rPr>
            </w:pPr>
            <w:r w:rsidRPr="00630F9D">
              <w:rPr>
                <w:rFonts w:cs="Arial"/>
                <w:sz w:val="18"/>
                <w:szCs w:val="18"/>
              </w:rPr>
              <w:t>larger format business uses and less intensive functions such as storage, administration and building services sleeved behind finer grain development along street frontages;</w:t>
            </w:r>
          </w:p>
          <w:p w14:paraId="0E636EEB" w14:textId="77777777" w:rsidR="00874A96" w:rsidRDefault="00874A96" w:rsidP="00874A96">
            <w:pPr>
              <w:pStyle w:val="ListParagraph"/>
              <w:numPr>
                <w:ilvl w:val="1"/>
                <w:numId w:val="28"/>
              </w:numPr>
              <w:tabs>
                <w:tab w:val="clear" w:pos="1134"/>
                <w:tab w:val="left" w:pos="709"/>
              </w:tabs>
              <w:ind w:left="425" w:hanging="425"/>
              <w:rPr>
                <w:rFonts w:cs="Arial"/>
                <w:sz w:val="18"/>
                <w:szCs w:val="18"/>
              </w:rPr>
            </w:pPr>
            <w:r w:rsidRPr="00630F9D">
              <w:rPr>
                <w:rFonts w:cs="Arial"/>
                <w:sz w:val="18"/>
                <w:szCs w:val="18"/>
              </w:rPr>
              <w:t>continuous awnings or other all-weather protection over footpaths;</w:t>
            </w:r>
          </w:p>
          <w:p w14:paraId="17A2F741" w14:textId="77777777" w:rsidR="00874A96" w:rsidRDefault="00874A96" w:rsidP="00874A96">
            <w:pPr>
              <w:pStyle w:val="ListParagraph"/>
              <w:numPr>
                <w:ilvl w:val="1"/>
                <w:numId w:val="28"/>
              </w:numPr>
              <w:tabs>
                <w:tab w:val="clear" w:pos="1134"/>
                <w:tab w:val="left" w:pos="709"/>
              </w:tabs>
              <w:ind w:left="425" w:hanging="425"/>
              <w:rPr>
                <w:rFonts w:cs="Arial"/>
                <w:sz w:val="18"/>
                <w:szCs w:val="18"/>
              </w:rPr>
            </w:pPr>
            <w:r w:rsidRPr="00630F9D">
              <w:rPr>
                <w:rFonts w:cs="Arial"/>
                <w:sz w:val="18"/>
                <w:szCs w:val="18"/>
              </w:rPr>
              <w:t>limited vehicle crossing of footpaths to minimise interruption of pedestrian movement;</w:t>
            </w:r>
          </w:p>
          <w:p w14:paraId="61F42FD5" w14:textId="77777777" w:rsidR="00874A96" w:rsidRPr="00630F9D" w:rsidRDefault="00874A96" w:rsidP="00874A96">
            <w:pPr>
              <w:pStyle w:val="ListParagraph"/>
              <w:numPr>
                <w:ilvl w:val="1"/>
                <w:numId w:val="28"/>
              </w:numPr>
              <w:tabs>
                <w:tab w:val="clear" w:pos="1134"/>
                <w:tab w:val="left" w:pos="709"/>
              </w:tabs>
              <w:ind w:left="425" w:hanging="425"/>
              <w:rPr>
                <w:rFonts w:cs="Arial"/>
                <w:sz w:val="18"/>
                <w:szCs w:val="18"/>
              </w:rPr>
            </w:pPr>
            <w:r w:rsidRPr="00630F9D">
              <w:rPr>
                <w:rFonts w:cs="Arial"/>
                <w:sz w:val="18"/>
                <w:szCs w:val="18"/>
              </w:rPr>
              <w:t>building openings and display windows that engage pedestrians and allow views to and from businesses and the street</w:t>
            </w:r>
            <w:r>
              <w:rPr>
                <w:rFonts w:cs="Arial"/>
                <w:sz w:val="18"/>
                <w:szCs w:val="18"/>
              </w:rPr>
              <w:t>.</w:t>
            </w:r>
          </w:p>
        </w:tc>
        <w:tc>
          <w:tcPr>
            <w:tcW w:w="4695" w:type="dxa"/>
            <w:shd w:val="clear" w:color="auto" w:fill="auto"/>
          </w:tcPr>
          <w:p w14:paraId="6FDBF98F" w14:textId="77777777" w:rsidR="00874A96" w:rsidRPr="00630F9D" w:rsidRDefault="00874A96" w:rsidP="003352DF">
            <w:pPr>
              <w:rPr>
                <w:rFonts w:cs="Arial"/>
                <w:b/>
                <w:sz w:val="18"/>
                <w:szCs w:val="18"/>
              </w:rPr>
            </w:pPr>
            <w:r>
              <w:rPr>
                <w:rFonts w:cs="Arial"/>
                <w:b/>
                <w:sz w:val="18"/>
                <w:szCs w:val="18"/>
              </w:rPr>
              <w:lastRenderedPageBreak/>
              <w:t>AO20</w:t>
            </w:r>
          </w:p>
          <w:p w14:paraId="6501D477" w14:textId="77777777" w:rsidR="00874A96" w:rsidRPr="00630F9D" w:rsidRDefault="00874A96" w:rsidP="003352DF">
            <w:pPr>
              <w:rPr>
                <w:rFonts w:cs="Arial"/>
                <w:b/>
                <w:sz w:val="18"/>
                <w:szCs w:val="18"/>
              </w:rPr>
            </w:pPr>
            <w:r w:rsidRPr="00630F9D">
              <w:rPr>
                <w:rFonts w:cs="Arial"/>
                <w:sz w:val="18"/>
                <w:szCs w:val="18"/>
              </w:rPr>
              <w:t>No acceptable outcome provided.</w:t>
            </w:r>
          </w:p>
        </w:tc>
        <w:tc>
          <w:tcPr>
            <w:tcW w:w="4695" w:type="dxa"/>
          </w:tcPr>
          <w:p w14:paraId="4DA31F6E" w14:textId="430F204D" w:rsidR="00874A96"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FC4A18" w14:paraId="35580BB0" w14:textId="05F99E46" w:rsidTr="00874A96">
        <w:tc>
          <w:tcPr>
            <w:tcW w:w="4695" w:type="dxa"/>
            <w:shd w:val="clear" w:color="auto" w:fill="auto"/>
          </w:tcPr>
          <w:p w14:paraId="58367ECB" w14:textId="77777777" w:rsidR="00874A96" w:rsidRPr="00630F9D" w:rsidRDefault="00874A96" w:rsidP="003352DF">
            <w:pPr>
              <w:rPr>
                <w:rFonts w:cs="Arial"/>
                <w:b/>
                <w:sz w:val="18"/>
                <w:szCs w:val="18"/>
              </w:rPr>
            </w:pPr>
            <w:r>
              <w:rPr>
                <w:rFonts w:cs="Arial"/>
                <w:b/>
                <w:sz w:val="18"/>
                <w:szCs w:val="18"/>
              </w:rPr>
              <w:t>PO21</w:t>
            </w:r>
          </w:p>
          <w:p w14:paraId="3DAB2583" w14:textId="77777777" w:rsidR="00874A96" w:rsidRPr="00AB0DBE" w:rsidRDefault="00874A96" w:rsidP="003352DF">
            <w:pPr>
              <w:rPr>
                <w:rFonts w:cs="Arial"/>
                <w:sz w:val="18"/>
                <w:szCs w:val="18"/>
              </w:rPr>
            </w:pPr>
            <w:r>
              <w:rPr>
                <w:rFonts w:cs="Arial"/>
                <w:sz w:val="18"/>
                <w:szCs w:val="18"/>
              </w:rPr>
              <w:t xml:space="preserve">Development </w:t>
            </w:r>
            <w:r w:rsidRPr="00630F9D">
              <w:rPr>
                <w:rFonts w:cs="Arial"/>
                <w:sz w:val="18"/>
                <w:szCs w:val="18"/>
              </w:rPr>
              <w:t>includes a public square or plaza to act as an informal meeting place and a gathering place for community events, adjoined by active retail and commercial uses</w:t>
            </w:r>
            <w:r>
              <w:rPr>
                <w:rFonts w:cs="Arial"/>
                <w:sz w:val="18"/>
                <w:szCs w:val="18"/>
              </w:rPr>
              <w:t>.</w:t>
            </w:r>
          </w:p>
        </w:tc>
        <w:tc>
          <w:tcPr>
            <w:tcW w:w="4695" w:type="dxa"/>
            <w:shd w:val="clear" w:color="auto" w:fill="auto"/>
          </w:tcPr>
          <w:p w14:paraId="69CADE6A" w14:textId="77777777" w:rsidR="00874A96" w:rsidRPr="00630F9D" w:rsidRDefault="00874A96" w:rsidP="003352DF">
            <w:pPr>
              <w:rPr>
                <w:rFonts w:cs="Arial"/>
                <w:b/>
                <w:sz w:val="18"/>
                <w:szCs w:val="18"/>
              </w:rPr>
            </w:pPr>
            <w:r>
              <w:rPr>
                <w:rFonts w:cs="Arial"/>
                <w:b/>
                <w:sz w:val="18"/>
                <w:szCs w:val="18"/>
              </w:rPr>
              <w:t>AO21</w:t>
            </w:r>
          </w:p>
          <w:p w14:paraId="26C381D2" w14:textId="77777777" w:rsidR="00874A96" w:rsidRPr="00FC4A18" w:rsidRDefault="00874A96" w:rsidP="003352DF">
            <w:pPr>
              <w:pStyle w:val="ListParagraph"/>
              <w:ind w:left="0"/>
              <w:rPr>
                <w:rFonts w:cs="Arial"/>
                <w:b/>
                <w:sz w:val="18"/>
                <w:szCs w:val="18"/>
              </w:rPr>
            </w:pPr>
            <w:r w:rsidRPr="00630F9D">
              <w:rPr>
                <w:rFonts w:cs="Arial"/>
                <w:sz w:val="18"/>
                <w:szCs w:val="18"/>
              </w:rPr>
              <w:t>No acceptable outcome provided.</w:t>
            </w:r>
          </w:p>
        </w:tc>
        <w:tc>
          <w:tcPr>
            <w:tcW w:w="4695" w:type="dxa"/>
          </w:tcPr>
          <w:p w14:paraId="543998B4" w14:textId="79173571" w:rsidR="00874A96"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FC4A18" w14:paraId="271833D0" w14:textId="40A410D9" w:rsidTr="00874A96">
        <w:tc>
          <w:tcPr>
            <w:tcW w:w="4695" w:type="dxa"/>
            <w:shd w:val="clear" w:color="auto" w:fill="auto"/>
          </w:tcPr>
          <w:p w14:paraId="0DC533D6" w14:textId="77777777" w:rsidR="00874A96" w:rsidRPr="00630F9D" w:rsidRDefault="00874A96" w:rsidP="003352DF">
            <w:pPr>
              <w:rPr>
                <w:rFonts w:cs="Arial"/>
                <w:b/>
                <w:sz w:val="18"/>
                <w:szCs w:val="18"/>
              </w:rPr>
            </w:pPr>
            <w:r>
              <w:rPr>
                <w:rFonts w:cs="Arial"/>
                <w:b/>
                <w:sz w:val="18"/>
                <w:szCs w:val="18"/>
              </w:rPr>
              <w:t>PO22</w:t>
            </w:r>
          </w:p>
          <w:p w14:paraId="61624480" w14:textId="77777777" w:rsidR="00874A96" w:rsidRDefault="00874A96" w:rsidP="003352DF">
            <w:pPr>
              <w:rPr>
                <w:rFonts w:cs="Arial"/>
                <w:sz w:val="18"/>
                <w:szCs w:val="18"/>
              </w:rPr>
            </w:pPr>
            <w:r w:rsidRPr="00657F99">
              <w:rPr>
                <w:rFonts w:cs="Arial"/>
                <w:sz w:val="18"/>
                <w:szCs w:val="18"/>
              </w:rPr>
              <w:t>The shopping centre integrates with the active retail/mixed uses in the main street town centre through a high quality pathway network.</w:t>
            </w:r>
          </w:p>
        </w:tc>
        <w:tc>
          <w:tcPr>
            <w:tcW w:w="4695" w:type="dxa"/>
            <w:shd w:val="clear" w:color="auto" w:fill="auto"/>
          </w:tcPr>
          <w:p w14:paraId="11EABF57" w14:textId="77777777" w:rsidR="00874A96" w:rsidRPr="00630F9D" w:rsidRDefault="00874A96" w:rsidP="003352DF">
            <w:pPr>
              <w:rPr>
                <w:rFonts w:cs="Arial"/>
                <w:b/>
                <w:sz w:val="18"/>
                <w:szCs w:val="18"/>
              </w:rPr>
            </w:pPr>
            <w:r>
              <w:rPr>
                <w:rFonts w:cs="Arial"/>
                <w:b/>
                <w:sz w:val="18"/>
                <w:szCs w:val="18"/>
              </w:rPr>
              <w:t>AO22</w:t>
            </w:r>
          </w:p>
          <w:p w14:paraId="75BB221A" w14:textId="77777777" w:rsidR="00874A96" w:rsidRPr="00FC4A18" w:rsidRDefault="00874A96" w:rsidP="003352DF">
            <w:pPr>
              <w:pStyle w:val="ListParagraph"/>
              <w:ind w:left="0"/>
              <w:rPr>
                <w:rFonts w:cs="Arial"/>
                <w:b/>
                <w:sz w:val="18"/>
                <w:szCs w:val="18"/>
              </w:rPr>
            </w:pPr>
            <w:r w:rsidRPr="00630F9D">
              <w:rPr>
                <w:rFonts w:cs="Arial"/>
                <w:sz w:val="18"/>
                <w:szCs w:val="18"/>
              </w:rPr>
              <w:t>No acceptable outcome provided.</w:t>
            </w:r>
          </w:p>
        </w:tc>
        <w:tc>
          <w:tcPr>
            <w:tcW w:w="4695" w:type="dxa"/>
          </w:tcPr>
          <w:p w14:paraId="71273E67" w14:textId="684007FE" w:rsidR="00874A96"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FC4A18" w14:paraId="1DE455D7" w14:textId="0991F300" w:rsidTr="00874A96">
        <w:tc>
          <w:tcPr>
            <w:tcW w:w="4695" w:type="dxa"/>
            <w:shd w:val="clear" w:color="auto" w:fill="auto"/>
          </w:tcPr>
          <w:p w14:paraId="6688697C" w14:textId="77777777" w:rsidR="00874A96" w:rsidRPr="00630F9D" w:rsidRDefault="00874A96" w:rsidP="003352DF">
            <w:pPr>
              <w:rPr>
                <w:rFonts w:cs="Arial"/>
                <w:b/>
                <w:sz w:val="18"/>
                <w:szCs w:val="18"/>
              </w:rPr>
            </w:pPr>
            <w:r>
              <w:rPr>
                <w:rFonts w:cs="Arial"/>
                <w:b/>
                <w:sz w:val="18"/>
                <w:szCs w:val="18"/>
              </w:rPr>
              <w:t>PO23</w:t>
            </w:r>
          </w:p>
          <w:p w14:paraId="1A43995C" w14:textId="77777777" w:rsidR="00874A96" w:rsidRPr="00657F99" w:rsidRDefault="00874A96" w:rsidP="003352DF">
            <w:pPr>
              <w:rPr>
                <w:rFonts w:cs="Arial"/>
                <w:sz w:val="18"/>
                <w:szCs w:val="18"/>
              </w:rPr>
            </w:pPr>
            <w:r>
              <w:rPr>
                <w:rFonts w:cs="Arial"/>
                <w:sz w:val="18"/>
                <w:szCs w:val="18"/>
              </w:rPr>
              <w:t>Development is to be</w:t>
            </w:r>
            <w:r w:rsidRPr="00657F99">
              <w:rPr>
                <w:rFonts w:cs="Arial"/>
                <w:sz w:val="18"/>
                <w:szCs w:val="18"/>
              </w:rPr>
              <w:t xml:space="preserve"> accessed via internal roads with restricted access to Greathead Road</w:t>
            </w:r>
            <w:r>
              <w:rPr>
                <w:rFonts w:cs="Arial"/>
                <w:sz w:val="18"/>
                <w:szCs w:val="18"/>
              </w:rPr>
              <w:t>, FE Walker Street or Kepnock Road.</w:t>
            </w:r>
          </w:p>
        </w:tc>
        <w:tc>
          <w:tcPr>
            <w:tcW w:w="4695" w:type="dxa"/>
            <w:shd w:val="clear" w:color="auto" w:fill="auto"/>
          </w:tcPr>
          <w:p w14:paraId="2E5F13B3" w14:textId="77777777" w:rsidR="00874A96" w:rsidRPr="00630F9D" w:rsidRDefault="00874A96" w:rsidP="003352DF">
            <w:pPr>
              <w:rPr>
                <w:rFonts w:cs="Arial"/>
                <w:b/>
                <w:sz w:val="18"/>
                <w:szCs w:val="18"/>
              </w:rPr>
            </w:pPr>
            <w:r>
              <w:rPr>
                <w:rFonts w:cs="Arial"/>
                <w:b/>
                <w:sz w:val="18"/>
                <w:szCs w:val="18"/>
              </w:rPr>
              <w:t>AO23</w:t>
            </w:r>
          </w:p>
          <w:p w14:paraId="10837320" w14:textId="77777777" w:rsidR="00874A96" w:rsidRPr="00FC4A18" w:rsidRDefault="00874A96" w:rsidP="003352DF">
            <w:pPr>
              <w:pStyle w:val="ListParagraph"/>
              <w:ind w:left="0"/>
              <w:rPr>
                <w:rFonts w:cs="Arial"/>
                <w:b/>
                <w:sz w:val="18"/>
                <w:szCs w:val="18"/>
              </w:rPr>
            </w:pPr>
            <w:r w:rsidRPr="00630F9D">
              <w:rPr>
                <w:rFonts w:cs="Arial"/>
                <w:sz w:val="18"/>
                <w:szCs w:val="18"/>
              </w:rPr>
              <w:t>No acceptable outcome provided.</w:t>
            </w:r>
          </w:p>
        </w:tc>
        <w:tc>
          <w:tcPr>
            <w:tcW w:w="4695" w:type="dxa"/>
          </w:tcPr>
          <w:p w14:paraId="3F240AF6" w14:textId="6269D35D" w:rsidR="00874A96"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1D753A" w14:paraId="068959C7" w14:textId="64C54F8A" w:rsidTr="00874A96">
        <w:tc>
          <w:tcPr>
            <w:tcW w:w="4695" w:type="dxa"/>
            <w:shd w:val="clear" w:color="auto" w:fill="auto"/>
          </w:tcPr>
          <w:p w14:paraId="5BBDC9F5" w14:textId="77777777" w:rsidR="00874A96" w:rsidRPr="00630F9D" w:rsidRDefault="00874A96" w:rsidP="003352DF">
            <w:pPr>
              <w:rPr>
                <w:rFonts w:cs="Arial"/>
                <w:b/>
                <w:sz w:val="18"/>
                <w:szCs w:val="18"/>
              </w:rPr>
            </w:pPr>
            <w:r>
              <w:rPr>
                <w:rFonts w:cs="Arial"/>
                <w:b/>
                <w:sz w:val="18"/>
                <w:szCs w:val="18"/>
              </w:rPr>
              <w:t>PO24</w:t>
            </w:r>
          </w:p>
          <w:p w14:paraId="1AF9A654" w14:textId="77777777" w:rsidR="00874A96" w:rsidRDefault="00874A96" w:rsidP="003352DF">
            <w:pPr>
              <w:rPr>
                <w:rFonts w:eastAsia="Calibri" w:cs="Arial"/>
                <w:sz w:val="18"/>
                <w:szCs w:val="18"/>
                <w:lang w:eastAsia="en-US"/>
              </w:rPr>
            </w:pPr>
            <w:r>
              <w:rPr>
                <w:rFonts w:eastAsia="Calibri" w:cs="Arial"/>
                <w:sz w:val="18"/>
                <w:szCs w:val="18"/>
                <w:lang w:eastAsia="en-US"/>
              </w:rPr>
              <w:t>Building setbacks and landscaping facilitate:</w:t>
            </w:r>
          </w:p>
          <w:p w14:paraId="766EB4B0" w14:textId="77777777" w:rsidR="00874A96" w:rsidRDefault="00874A96" w:rsidP="00874A96">
            <w:pPr>
              <w:pStyle w:val="ListParagraph"/>
              <w:numPr>
                <w:ilvl w:val="1"/>
                <w:numId w:val="105"/>
              </w:numPr>
              <w:tabs>
                <w:tab w:val="clear" w:pos="1134"/>
                <w:tab w:val="num" w:pos="709"/>
              </w:tabs>
              <w:ind w:left="425" w:hanging="425"/>
              <w:rPr>
                <w:rFonts w:eastAsia="Calibri" w:cs="Arial"/>
                <w:sz w:val="18"/>
                <w:szCs w:val="18"/>
                <w:lang w:eastAsia="en-US"/>
              </w:rPr>
            </w:pPr>
            <w:r w:rsidRPr="004332D2">
              <w:rPr>
                <w:rFonts w:eastAsia="Calibri" w:cs="Arial"/>
                <w:sz w:val="18"/>
                <w:szCs w:val="18"/>
                <w:lang w:eastAsia="en-US"/>
              </w:rPr>
              <w:t xml:space="preserve">buffering to the major external roads </w:t>
            </w:r>
          </w:p>
          <w:p w14:paraId="1016AB6B" w14:textId="77777777" w:rsidR="00874A96" w:rsidRDefault="00874A96" w:rsidP="00874A96">
            <w:pPr>
              <w:pStyle w:val="ListParagraph"/>
              <w:numPr>
                <w:ilvl w:val="1"/>
                <w:numId w:val="105"/>
              </w:numPr>
              <w:tabs>
                <w:tab w:val="clear" w:pos="1134"/>
                <w:tab w:val="num" w:pos="709"/>
              </w:tabs>
              <w:ind w:left="425" w:hanging="425"/>
              <w:rPr>
                <w:rFonts w:eastAsia="Calibri" w:cs="Arial"/>
                <w:sz w:val="18"/>
                <w:szCs w:val="18"/>
                <w:lang w:eastAsia="en-US"/>
              </w:rPr>
            </w:pPr>
            <w:r w:rsidRPr="004332D2">
              <w:rPr>
                <w:rFonts w:eastAsia="Calibri" w:cs="Arial"/>
                <w:sz w:val="18"/>
                <w:szCs w:val="18"/>
                <w:lang w:eastAsia="en-US"/>
              </w:rPr>
              <w:t>complement the setbacks of nearby residential development on Scherer Boulevard</w:t>
            </w:r>
            <w:r>
              <w:rPr>
                <w:rFonts w:eastAsia="Calibri" w:cs="Arial"/>
                <w:sz w:val="18"/>
                <w:szCs w:val="18"/>
                <w:lang w:eastAsia="en-US"/>
              </w:rPr>
              <w:t>; and</w:t>
            </w:r>
          </w:p>
          <w:p w14:paraId="50BAD580" w14:textId="77777777" w:rsidR="00874A96" w:rsidRPr="004332D2" w:rsidRDefault="00874A96" w:rsidP="00874A96">
            <w:pPr>
              <w:pStyle w:val="ListParagraph"/>
              <w:numPr>
                <w:ilvl w:val="1"/>
                <w:numId w:val="105"/>
              </w:numPr>
              <w:tabs>
                <w:tab w:val="clear" w:pos="1134"/>
                <w:tab w:val="num" w:pos="709"/>
              </w:tabs>
              <w:ind w:left="425" w:hanging="425"/>
              <w:rPr>
                <w:rFonts w:eastAsia="Calibri" w:cs="Arial"/>
                <w:sz w:val="18"/>
                <w:szCs w:val="18"/>
                <w:lang w:eastAsia="en-US"/>
              </w:rPr>
            </w:pPr>
            <w:r>
              <w:rPr>
                <w:rFonts w:eastAsia="Calibri" w:cs="Arial"/>
                <w:sz w:val="18"/>
                <w:szCs w:val="18"/>
                <w:lang w:eastAsia="en-US"/>
              </w:rPr>
              <w:t>an attractive pedestrian friendly interface with internal open space</w:t>
            </w:r>
          </w:p>
        </w:tc>
        <w:tc>
          <w:tcPr>
            <w:tcW w:w="4695" w:type="dxa"/>
            <w:shd w:val="clear" w:color="auto" w:fill="auto"/>
          </w:tcPr>
          <w:p w14:paraId="2A9D8118" w14:textId="77777777" w:rsidR="00874A96" w:rsidRPr="0079708C" w:rsidRDefault="00874A96" w:rsidP="003352DF">
            <w:pPr>
              <w:rPr>
                <w:rFonts w:cs="Arial"/>
                <w:b/>
                <w:sz w:val="18"/>
                <w:szCs w:val="18"/>
              </w:rPr>
            </w:pPr>
            <w:r>
              <w:rPr>
                <w:rFonts w:cs="Arial"/>
                <w:b/>
                <w:sz w:val="18"/>
                <w:szCs w:val="18"/>
              </w:rPr>
              <w:t>AO24</w:t>
            </w:r>
          </w:p>
          <w:p w14:paraId="776E3747" w14:textId="77777777" w:rsidR="00874A96" w:rsidRPr="00B2068B" w:rsidRDefault="00874A96" w:rsidP="003352DF">
            <w:pPr>
              <w:rPr>
                <w:rFonts w:cs="Arial"/>
                <w:sz w:val="18"/>
                <w:szCs w:val="18"/>
              </w:rPr>
            </w:pPr>
            <w:r>
              <w:rPr>
                <w:rFonts w:cs="Arial"/>
                <w:sz w:val="18"/>
                <w:szCs w:val="18"/>
              </w:rPr>
              <w:t>Building setbacks are</w:t>
            </w:r>
            <w:r w:rsidRPr="00B2068B">
              <w:rPr>
                <w:rFonts w:cs="Arial"/>
                <w:sz w:val="18"/>
                <w:szCs w:val="18"/>
              </w:rPr>
              <w:t xml:space="preserve">:- </w:t>
            </w:r>
          </w:p>
          <w:p w14:paraId="5A4B9C85" w14:textId="77777777" w:rsidR="00874A96" w:rsidRDefault="00874A96" w:rsidP="00874A96">
            <w:pPr>
              <w:pStyle w:val="ListParagraph"/>
              <w:numPr>
                <w:ilvl w:val="0"/>
                <w:numId w:val="120"/>
              </w:numPr>
              <w:ind w:left="372" w:hanging="372"/>
              <w:contextualSpacing/>
              <w:rPr>
                <w:rFonts w:cs="Arial"/>
                <w:sz w:val="18"/>
                <w:szCs w:val="18"/>
              </w:rPr>
            </w:pPr>
            <w:r>
              <w:rPr>
                <w:rFonts w:cs="Arial"/>
                <w:sz w:val="18"/>
                <w:szCs w:val="18"/>
              </w:rPr>
              <w:t xml:space="preserve">4m </w:t>
            </w:r>
            <w:r w:rsidRPr="00B2068B">
              <w:rPr>
                <w:rFonts w:cs="Arial"/>
                <w:sz w:val="18"/>
                <w:szCs w:val="18"/>
              </w:rPr>
              <w:t xml:space="preserve">vegetated buffer where fronting Greathead </w:t>
            </w:r>
            <w:r>
              <w:rPr>
                <w:rFonts w:cs="Arial"/>
                <w:sz w:val="18"/>
                <w:szCs w:val="18"/>
              </w:rPr>
              <w:t xml:space="preserve">Road </w:t>
            </w:r>
            <w:r w:rsidRPr="00B2068B">
              <w:rPr>
                <w:rFonts w:cs="Arial"/>
                <w:sz w:val="18"/>
                <w:szCs w:val="18"/>
              </w:rPr>
              <w:t xml:space="preserve">and </w:t>
            </w:r>
            <w:r>
              <w:rPr>
                <w:rFonts w:cs="Arial"/>
                <w:sz w:val="18"/>
                <w:szCs w:val="18"/>
              </w:rPr>
              <w:t xml:space="preserve">Bundaberg </w:t>
            </w:r>
            <w:r w:rsidRPr="00B2068B">
              <w:rPr>
                <w:rFonts w:cs="Arial"/>
                <w:sz w:val="18"/>
                <w:szCs w:val="18"/>
              </w:rPr>
              <w:t xml:space="preserve">Ring Road; </w:t>
            </w:r>
          </w:p>
          <w:p w14:paraId="21C092BA" w14:textId="77777777" w:rsidR="00874A96" w:rsidRPr="00B2068B" w:rsidRDefault="00874A96" w:rsidP="00874A96">
            <w:pPr>
              <w:pStyle w:val="ListParagraph"/>
              <w:numPr>
                <w:ilvl w:val="0"/>
                <w:numId w:val="120"/>
              </w:numPr>
              <w:ind w:left="372" w:hanging="372"/>
              <w:contextualSpacing/>
              <w:rPr>
                <w:rFonts w:cs="Arial"/>
                <w:sz w:val="18"/>
                <w:szCs w:val="18"/>
              </w:rPr>
            </w:pPr>
            <w:r>
              <w:rPr>
                <w:rFonts w:cs="Arial"/>
                <w:sz w:val="18"/>
                <w:szCs w:val="18"/>
              </w:rPr>
              <w:t>20m vegetated buffer where fronting FE Walker Street;</w:t>
            </w:r>
          </w:p>
          <w:p w14:paraId="73C9BF6F" w14:textId="77777777" w:rsidR="00874A96" w:rsidRPr="00B2068B" w:rsidRDefault="00874A96" w:rsidP="00874A96">
            <w:pPr>
              <w:pStyle w:val="ListParagraph"/>
              <w:numPr>
                <w:ilvl w:val="0"/>
                <w:numId w:val="120"/>
              </w:numPr>
              <w:ind w:left="372" w:hanging="372"/>
              <w:contextualSpacing/>
              <w:rPr>
                <w:rFonts w:cs="Arial"/>
                <w:sz w:val="18"/>
                <w:szCs w:val="18"/>
              </w:rPr>
            </w:pPr>
            <w:r w:rsidRPr="00B2068B">
              <w:rPr>
                <w:rFonts w:cs="Arial"/>
                <w:sz w:val="18"/>
                <w:szCs w:val="18"/>
              </w:rPr>
              <w:t xml:space="preserve">2.5m when within the Retail / Mixed Use areas and fronting open space.  If a commercial use has direct access to the open space an awning built to the boundary is to be provided for the full width of the building; </w:t>
            </w:r>
          </w:p>
          <w:p w14:paraId="1DC20BAC" w14:textId="77777777" w:rsidR="00874A96" w:rsidRPr="00B2068B" w:rsidRDefault="00874A96" w:rsidP="00874A96">
            <w:pPr>
              <w:pStyle w:val="ListParagraph"/>
              <w:numPr>
                <w:ilvl w:val="0"/>
                <w:numId w:val="120"/>
              </w:numPr>
              <w:ind w:left="372" w:hanging="372"/>
              <w:contextualSpacing/>
              <w:rPr>
                <w:rFonts w:cs="Arial"/>
                <w:sz w:val="18"/>
                <w:szCs w:val="18"/>
              </w:rPr>
            </w:pPr>
            <w:r w:rsidRPr="00B2068B">
              <w:rPr>
                <w:rFonts w:cs="Arial"/>
                <w:sz w:val="18"/>
                <w:szCs w:val="18"/>
              </w:rPr>
              <w:t xml:space="preserve">in accordance with the setbacks prescribed within the Medium density residential </w:t>
            </w:r>
            <w:r>
              <w:rPr>
                <w:rFonts w:cs="Arial"/>
                <w:sz w:val="18"/>
                <w:szCs w:val="18"/>
              </w:rPr>
              <w:t xml:space="preserve">zone </w:t>
            </w:r>
            <w:r w:rsidRPr="00B2068B">
              <w:rPr>
                <w:rFonts w:cs="Arial"/>
                <w:sz w:val="18"/>
                <w:szCs w:val="18"/>
              </w:rPr>
              <w:t>code when within the Medium Density Residential area</w:t>
            </w:r>
            <w:r>
              <w:rPr>
                <w:rFonts w:cs="Arial"/>
                <w:sz w:val="18"/>
                <w:szCs w:val="18"/>
              </w:rPr>
              <w:t>;</w:t>
            </w:r>
            <w:r w:rsidRPr="00B2068B">
              <w:rPr>
                <w:rFonts w:cs="Arial"/>
                <w:sz w:val="18"/>
                <w:szCs w:val="18"/>
              </w:rPr>
              <w:t xml:space="preserve"> </w:t>
            </w:r>
            <w:r>
              <w:rPr>
                <w:rFonts w:cs="Arial"/>
                <w:sz w:val="18"/>
                <w:szCs w:val="18"/>
              </w:rPr>
              <w:t>and</w:t>
            </w:r>
            <w:r w:rsidRPr="00B2068B">
              <w:rPr>
                <w:rFonts w:cs="Arial"/>
                <w:sz w:val="18"/>
                <w:szCs w:val="18"/>
              </w:rPr>
              <w:t xml:space="preserve"> </w:t>
            </w:r>
          </w:p>
          <w:p w14:paraId="38469330" w14:textId="77777777" w:rsidR="00874A96" w:rsidRPr="001D753A" w:rsidRDefault="00874A96" w:rsidP="00874A96">
            <w:pPr>
              <w:pStyle w:val="ListParagraph"/>
              <w:numPr>
                <w:ilvl w:val="0"/>
                <w:numId w:val="120"/>
              </w:numPr>
              <w:ind w:left="372" w:hanging="372"/>
              <w:contextualSpacing/>
              <w:rPr>
                <w:rFonts w:cs="Arial"/>
                <w:sz w:val="18"/>
                <w:szCs w:val="18"/>
              </w:rPr>
            </w:pPr>
            <w:r w:rsidRPr="00B2068B">
              <w:rPr>
                <w:rFonts w:cs="Arial"/>
                <w:sz w:val="18"/>
                <w:szCs w:val="18"/>
              </w:rPr>
              <w:t>6m from any road frontage, and 2m from any side or rear boundary where not specified above.</w:t>
            </w:r>
          </w:p>
        </w:tc>
        <w:tc>
          <w:tcPr>
            <w:tcW w:w="4695" w:type="dxa"/>
          </w:tcPr>
          <w:p w14:paraId="0089489D" w14:textId="6F38E2A5" w:rsidR="00874A96"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B2068B" w14:paraId="13296E55" w14:textId="2DB35C98" w:rsidTr="00874A96">
        <w:tc>
          <w:tcPr>
            <w:tcW w:w="4695" w:type="dxa"/>
            <w:shd w:val="clear" w:color="auto" w:fill="auto"/>
          </w:tcPr>
          <w:p w14:paraId="5E45E9C1" w14:textId="77777777" w:rsidR="00874A96" w:rsidRPr="00630F9D" w:rsidRDefault="00874A96" w:rsidP="003352DF">
            <w:pPr>
              <w:rPr>
                <w:rFonts w:cs="Arial"/>
                <w:b/>
                <w:sz w:val="18"/>
                <w:szCs w:val="18"/>
              </w:rPr>
            </w:pPr>
            <w:r>
              <w:rPr>
                <w:rFonts w:cs="Arial"/>
                <w:b/>
                <w:sz w:val="18"/>
                <w:szCs w:val="18"/>
              </w:rPr>
              <w:t>PO25</w:t>
            </w:r>
          </w:p>
          <w:p w14:paraId="3B256F60" w14:textId="77777777" w:rsidR="00874A96" w:rsidRPr="00245F82" w:rsidRDefault="00874A96" w:rsidP="003352DF">
            <w:pPr>
              <w:rPr>
                <w:rFonts w:eastAsia="Calibri" w:cs="Arial"/>
                <w:sz w:val="18"/>
                <w:szCs w:val="18"/>
                <w:lang w:eastAsia="en-US"/>
              </w:rPr>
            </w:pPr>
            <w:r w:rsidRPr="00245F82">
              <w:rPr>
                <w:rFonts w:eastAsia="Calibri" w:cs="Arial"/>
                <w:sz w:val="18"/>
                <w:szCs w:val="18"/>
                <w:lang w:eastAsia="en-US"/>
              </w:rPr>
              <w:t xml:space="preserve">Drainage areas provide opportunity to integrate water sensitive urban design infrastructure, and open space </w:t>
            </w:r>
            <w:r w:rsidRPr="00245F82">
              <w:rPr>
                <w:rFonts w:eastAsia="Calibri" w:cs="Arial"/>
                <w:sz w:val="18"/>
                <w:szCs w:val="18"/>
                <w:lang w:eastAsia="en-US"/>
              </w:rPr>
              <w:lastRenderedPageBreak/>
              <w:t xml:space="preserve">associated with commercial uses into attractive green spaces in and around the district centre.  The primary functions of the drainage and detention areas are not to be undermined by commercial development encroachment.  </w:t>
            </w:r>
          </w:p>
        </w:tc>
        <w:tc>
          <w:tcPr>
            <w:tcW w:w="4695" w:type="dxa"/>
            <w:shd w:val="clear" w:color="auto" w:fill="auto"/>
          </w:tcPr>
          <w:p w14:paraId="262E7CAF" w14:textId="77777777" w:rsidR="00874A96" w:rsidRPr="00630F9D" w:rsidRDefault="00874A96" w:rsidP="003352DF">
            <w:pPr>
              <w:rPr>
                <w:rFonts w:cs="Arial"/>
                <w:b/>
                <w:sz w:val="18"/>
                <w:szCs w:val="18"/>
              </w:rPr>
            </w:pPr>
            <w:r>
              <w:rPr>
                <w:rFonts w:cs="Arial"/>
                <w:b/>
                <w:sz w:val="18"/>
                <w:szCs w:val="18"/>
              </w:rPr>
              <w:lastRenderedPageBreak/>
              <w:t>AO25</w:t>
            </w:r>
          </w:p>
          <w:p w14:paraId="60721200" w14:textId="77777777" w:rsidR="00874A96" w:rsidRPr="00B2068B" w:rsidRDefault="00874A96" w:rsidP="003352DF">
            <w:pPr>
              <w:rPr>
                <w:rFonts w:cs="Arial"/>
                <w:sz w:val="18"/>
                <w:szCs w:val="18"/>
              </w:rPr>
            </w:pPr>
            <w:r w:rsidRPr="00630F9D">
              <w:rPr>
                <w:rFonts w:cs="Arial"/>
                <w:sz w:val="18"/>
                <w:szCs w:val="18"/>
              </w:rPr>
              <w:t>No acceptable outcome provided.</w:t>
            </w:r>
          </w:p>
        </w:tc>
        <w:tc>
          <w:tcPr>
            <w:tcW w:w="4695" w:type="dxa"/>
          </w:tcPr>
          <w:p w14:paraId="54F3F77B" w14:textId="40DFCF19" w:rsidR="00874A96"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74A96" w:rsidRPr="00B2068B" w14:paraId="0B0DDDF4" w14:textId="2E69FADF" w:rsidTr="00874A96">
        <w:tc>
          <w:tcPr>
            <w:tcW w:w="4695" w:type="dxa"/>
            <w:shd w:val="clear" w:color="auto" w:fill="auto"/>
          </w:tcPr>
          <w:p w14:paraId="377A6EAC" w14:textId="77777777" w:rsidR="00874A96" w:rsidRPr="00630F9D" w:rsidRDefault="00874A96" w:rsidP="003352DF">
            <w:pPr>
              <w:rPr>
                <w:rFonts w:cs="Arial"/>
                <w:b/>
                <w:sz w:val="18"/>
                <w:szCs w:val="18"/>
              </w:rPr>
            </w:pPr>
            <w:r>
              <w:rPr>
                <w:rFonts w:cs="Arial"/>
                <w:b/>
                <w:sz w:val="18"/>
                <w:szCs w:val="18"/>
              </w:rPr>
              <w:t xml:space="preserve">AO26 </w:t>
            </w:r>
          </w:p>
          <w:p w14:paraId="6EF4945F" w14:textId="77777777" w:rsidR="00874A96" w:rsidRPr="00245F82" w:rsidRDefault="00874A96" w:rsidP="003352DF">
            <w:pPr>
              <w:tabs>
                <w:tab w:val="left" w:pos="675"/>
              </w:tabs>
              <w:rPr>
                <w:rFonts w:eastAsia="Calibri" w:cs="Arial"/>
                <w:sz w:val="18"/>
                <w:szCs w:val="18"/>
                <w:lang w:eastAsia="en-US"/>
              </w:rPr>
            </w:pPr>
            <w:r w:rsidRPr="0017065F">
              <w:rPr>
                <w:rFonts w:eastAsia="Calibri" w:cs="Arial"/>
                <w:sz w:val="18"/>
                <w:szCs w:val="18"/>
                <w:lang w:eastAsia="en-US"/>
              </w:rPr>
              <w:t>Any activity accessing and/or fronting Kepnock Road is designed to ensure impacts on the Residents located opposite on the southern side of Kepnock Road are minimised through built form design, landscaping and appro</w:t>
            </w:r>
            <w:r>
              <w:rPr>
                <w:rFonts w:eastAsia="Calibri" w:cs="Arial"/>
                <w:sz w:val="18"/>
                <w:szCs w:val="18"/>
                <w:lang w:eastAsia="en-US"/>
              </w:rPr>
              <w:t>priately located access points.</w:t>
            </w:r>
          </w:p>
        </w:tc>
        <w:tc>
          <w:tcPr>
            <w:tcW w:w="4695" w:type="dxa"/>
            <w:shd w:val="clear" w:color="auto" w:fill="auto"/>
          </w:tcPr>
          <w:p w14:paraId="37ED0330" w14:textId="77777777" w:rsidR="00874A96" w:rsidRPr="00630F9D" w:rsidRDefault="00874A96" w:rsidP="003352DF">
            <w:pPr>
              <w:rPr>
                <w:rFonts w:cs="Arial"/>
                <w:b/>
                <w:sz w:val="18"/>
                <w:szCs w:val="18"/>
              </w:rPr>
            </w:pPr>
            <w:r>
              <w:rPr>
                <w:rFonts w:cs="Arial"/>
                <w:b/>
                <w:sz w:val="18"/>
                <w:szCs w:val="18"/>
              </w:rPr>
              <w:t>AO26</w:t>
            </w:r>
          </w:p>
          <w:p w14:paraId="1AA019E3" w14:textId="77777777" w:rsidR="00874A96" w:rsidRPr="00B2068B" w:rsidRDefault="00874A96" w:rsidP="003352DF">
            <w:pPr>
              <w:rPr>
                <w:rFonts w:cs="Arial"/>
                <w:sz w:val="18"/>
                <w:szCs w:val="18"/>
              </w:rPr>
            </w:pPr>
            <w:r w:rsidRPr="00630F9D">
              <w:rPr>
                <w:rFonts w:cs="Arial"/>
                <w:sz w:val="18"/>
                <w:szCs w:val="18"/>
              </w:rPr>
              <w:t>No acceptable outcome provided.</w:t>
            </w:r>
          </w:p>
        </w:tc>
        <w:tc>
          <w:tcPr>
            <w:tcW w:w="4695" w:type="dxa"/>
          </w:tcPr>
          <w:p w14:paraId="32C9FC41" w14:textId="5E9F1B96" w:rsidR="00874A96" w:rsidRDefault="00874A96" w:rsidP="003352DF">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4398BD84" w14:textId="77777777" w:rsidR="00315005" w:rsidRPr="00887F91" w:rsidRDefault="00315005" w:rsidP="00887F91"/>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6C5E20DA"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874A96">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4B0D14B8"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874A96">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06BCDE18"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7hwIAABw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A31659">
      <w:rPr>
        <w:b/>
        <w:noProof/>
        <w:sz w:val="14"/>
        <w:szCs w:val="14"/>
      </w:rPr>
      <w:t>6.2.6</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A31659">
      <w:rPr>
        <w:b/>
        <w:noProof/>
        <w:sz w:val="14"/>
        <w:szCs w:val="14"/>
      </w:rPr>
      <w:t>District centre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412CD380"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A31659">
      <w:rPr>
        <w:b/>
        <w:noProof/>
        <w:sz w:val="14"/>
        <w:szCs w:val="14"/>
      </w:rPr>
      <w:t>6.2.6</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A31659">
      <w:rPr>
        <w:b/>
        <w:noProof/>
        <w:sz w:val="14"/>
        <w:szCs w:val="14"/>
      </w:rPr>
      <w:t>District centre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A31659">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013647654">
    <w:abstractNumId w:val="115"/>
  </w:num>
  <w:num w:numId="2" w16cid:durableId="1993634229">
    <w:abstractNumId w:val="9"/>
  </w:num>
  <w:num w:numId="3" w16cid:durableId="1346204819">
    <w:abstractNumId w:val="101"/>
  </w:num>
  <w:num w:numId="4" w16cid:durableId="393166889">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1640259589">
    <w:abstractNumId w:val="98"/>
  </w:num>
  <w:num w:numId="6" w16cid:durableId="1623226681">
    <w:abstractNumId w:val="112"/>
  </w:num>
  <w:num w:numId="7" w16cid:durableId="1324816546">
    <w:abstractNumId w:val="90"/>
  </w:num>
  <w:num w:numId="8" w16cid:durableId="2115513475">
    <w:abstractNumId w:val="66"/>
  </w:num>
  <w:num w:numId="9" w16cid:durableId="769935882">
    <w:abstractNumId w:val="110"/>
  </w:num>
  <w:num w:numId="10" w16cid:durableId="546186462">
    <w:abstractNumId w:val="79"/>
  </w:num>
  <w:num w:numId="11" w16cid:durableId="552814010">
    <w:abstractNumId w:val="142"/>
  </w:num>
  <w:num w:numId="12" w16cid:durableId="1282148886">
    <w:abstractNumId w:val="59"/>
  </w:num>
  <w:num w:numId="13" w16cid:durableId="148177392">
    <w:abstractNumId w:val="53"/>
  </w:num>
  <w:num w:numId="14" w16cid:durableId="966012466">
    <w:abstractNumId w:val="74"/>
  </w:num>
  <w:num w:numId="15" w16cid:durableId="1021512878">
    <w:abstractNumId w:val="43"/>
  </w:num>
  <w:num w:numId="16" w16cid:durableId="1416395726">
    <w:abstractNumId w:val="40"/>
  </w:num>
  <w:num w:numId="17" w16cid:durableId="1015962831">
    <w:abstractNumId w:val="140"/>
  </w:num>
  <w:num w:numId="18" w16cid:durableId="2006398423">
    <w:abstractNumId w:val="87"/>
  </w:num>
  <w:num w:numId="19" w16cid:durableId="934825797">
    <w:abstractNumId w:val="80"/>
  </w:num>
  <w:num w:numId="20" w16cid:durableId="280764913">
    <w:abstractNumId w:val="21"/>
  </w:num>
  <w:num w:numId="21" w16cid:durableId="1683699874">
    <w:abstractNumId w:val="35"/>
  </w:num>
  <w:num w:numId="22" w16cid:durableId="878664029">
    <w:abstractNumId w:val="29"/>
  </w:num>
  <w:num w:numId="23" w16cid:durableId="1814904015">
    <w:abstractNumId w:val="23"/>
  </w:num>
  <w:num w:numId="24" w16cid:durableId="1728456469">
    <w:abstractNumId w:val="28"/>
  </w:num>
  <w:num w:numId="25" w16cid:durableId="832260786">
    <w:abstractNumId w:val="14"/>
  </w:num>
  <w:num w:numId="26" w16cid:durableId="462037336">
    <w:abstractNumId w:val="94"/>
  </w:num>
  <w:num w:numId="27" w16cid:durableId="128597829">
    <w:abstractNumId w:val="96"/>
  </w:num>
  <w:num w:numId="28" w16cid:durableId="1507213734">
    <w:abstractNumId w:val="95"/>
  </w:num>
  <w:num w:numId="29" w16cid:durableId="123011561">
    <w:abstractNumId w:val="22"/>
  </w:num>
  <w:num w:numId="30" w16cid:durableId="1759519809">
    <w:abstractNumId w:val="68"/>
  </w:num>
  <w:num w:numId="31" w16cid:durableId="1180317045">
    <w:abstractNumId w:val="55"/>
  </w:num>
  <w:num w:numId="32" w16cid:durableId="1034698421">
    <w:abstractNumId w:val="91"/>
  </w:num>
  <w:num w:numId="33" w16cid:durableId="182986922">
    <w:abstractNumId w:val="84"/>
  </w:num>
  <w:num w:numId="34" w16cid:durableId="402413046">
    <w:abstractNumId w:val="26"/>
  </w:num>
  <w:num w:numId="35" w16cid:durableId="592276300">
    <w:abstractNumId w:val="46"/>
  </w:num>
  <w:num w:numId="36" w16cid:durableId="2109960181">
    <w:abstractNumId w:val="109"/>
  </w:num>
  <w:num w:numId="37" w16cid:durableId="1598639512">
    <w:abstractNumId w:val="24"/>
  </w:num>
  <w:num w:numId="38" w16cid:durableId="750658005">
    <w:abstractNumId w:val="139"/>
  </w:num>
  <w:num w:numId="39" w16cid:durableId="108090308">
    <w:abstractNumId w:val="105"/>
  </w:num>
  <w:num w:numId="40" w16cid:durableId="926496408">
    <w:abstractNumId w:val="42"/>
  </w:num>
  <w:num w:numId="41" w16cid:durableId="49427447">
    <w:abstractNumId w:val="7"/>
  </w:num>
  <w:num w:numId="42" w16cid:durableId="1406803585">
    <w:abstractNumId w:val="76"/>
  </w:num>
  <w:num w:numId="43" w16cid:durableId="989089821">
    <w:abstractNumId w:val="135"/>
  </w:num>
  <w:num w:numId="44" w16cid:durableId="985431240">
    <w:abstractNumId w:val="132"/>
  </w:num>
  <w:num w:numId="45" w16cid:durableId="1308974243">
    <w:abstractNumId w:val="104"/>
  </w:num>
  <w:num w:numId="46" w16cid:durableId="1732997341">
    <w:abstractNumId w:val="129"/>
  </w:num>
  <w:num w:numId="47" w16cid:durableId="1198274143">
    <w:abstractNumId w:val="60"/>
  </w:num>
  <w:num w:numId="48" w16cid:durableId="10452753">
    <w:abstractNumId w:val="70"/>
  </w:num>
  <w:num w:numId="49" w16cid:durableId="1102992509">
    <w:abstractNumId w:val="133"/>
  </w:num>
  <w:num w:numId="50" w16cid:durableId="253362605">
    <w:abstractNumId w:val="37"/>
  </w:num>
  <w:num w:numId="51" w16cid:durableId="1471096923">
    <w:abstractNumId w:val="72"/>
  </w:num>
  <w:num w:numId="52" w16cid:durableId="277833540">
    <w:abstractNumId w:val="134"/>
  </w:num>
  <w:num w:numId="53" w16cid:durableId="98918395">
    <w:abstractNumId w:val="99"/>
  </w:num>
  <w:num w:numId="54" w16cid:durableId="1406535602">
    <w:abstractNumId w:val="17"/>
  </w:num>
  <w:num w:numId="55" w16cid:durableId="1239173139">
    <w:abstractNumId w:val="25"/>
  </w:num>
  <w:num w:numId="56" w16cid:durableId="1118330596">
    <w:abstractNumId w:val="106"/>
  </w:num>
  <w:num w:numId="57" w16cid:durableId="951059323">
    <w:abstractNumId w:val="69"/>
  </w:num>
  <w:num w:numId="58" w16cid:durableId="183517895">
    <w:abstractNumId w:val="73"/>
  </w:num>
  <w:num w:numId="59" w16cid:durableId="701130316">
    <w:abstractNumId w:val="54"/>
  </w:num>
  <w:num w:numId="60" w16cid:durableId="1092092233">
    <w:abstractNumId w:val="4"/>
  </w:num>
  <w:num w:numId="61" w16cid:durableId="1113673576">
    <w:abstractNumId w:val="83"/>
  </w:num>
  <w:num w:numId="62" w16cid:durableId="1090932586">
    <w:abstractNumId w:val="51"/>
  </w:num>
  <w:num w:numId="63" w16cid:durableId="1508866903">
    <w:abstractNumId w:val="10"/>
  </w:num>
  <w:num w:numId="64" w16cid:durableId="435367689">
    <w:abstractNumId w:val="121"/>
  </w:num>
  <w:num w:numId="65" w16cid:durableId="1831939880">
    <w:abstractNumId w:val="114"/>
  </w:num>
  <w:num w:numId="66" w16cid:durableId="626854757">
    <w:abstractNumId w:val="67"/>
  </w:num>
  <w:num w:numId="67" w16cid:durableId="1874535054">
    <w:abstractNumId w:val="122"/>
  </w:num>
  <w:num w:numId="68" w16cid:durableId="1157066478">
    <w:abstractNumId w:val="61"/>
  </w:num>
  <w:num w:numId="69" w16cid:durableId="340161489">
    <w:abstractNumId w:val="50"/>
  </w:num>
  <w:num w:numId="70" w16cid:durableId="597566106">
    <w:abstractNumId w:val="77"/>
  </w:num>
  <w:num w:numId="71" w16cid:durableId="284772642">
    <w:abstractNumId w:val="49"/>
  </w:num>
  <w:num w:numId="72" w16cid:durableId="361170837">
    <w:abstractNumId w:val="125"/>
  </w:num>
  <w:num w:numId="73" w16cid:durableId="372733091">
    <w:abstractNumId w:val="93"/>
  </w:num>
  <w:num w:numId="74" w16cid:durableId="1053654605">
    <w:abstractNumId w:val="130"/>
  </w:num>
  <w:num w:numId="75" w16cid:durableId="1434786795">
    <w:abstractNumId w:val="16"/>
  </w:num>
  <w:num w:numId="76" w16cid:durableId="1649742552">
    <w:abstractNumId w:val="45"/>
  </w:num>
  <w:num w:numId="77" w16cid:durableId="679813394">
    <w:abstractNumId w:val="102"/>
  </w:num>
  <w:num w:numId="78" w16cid:durableId="1395470182">
    <w:abstractNumId w:val="136"/>
  </w:num>
  <w:num w:numId="79" w16cid:durableId="519590172">
    <w:abstractNumId w:val="11"/>
  </w:num>
  <w:num w:numId="80" w16cid:durableId="357775894">
    <w:abstractNumId w:val="117"/>
  </w:num>
  <w:num w:numId="81" w16cid:durableId="820585124">
    <w:abstractNumId w:val="119"/>
  </w:num>
  <w:num w:numId="82" w16cid:durableId="260719962">
    <w:abstractNumId w:val="65"/>
  </w:num>
  <w:num w:numId="83" w16cid:durableId="1596547693">
    <w:abstractNumId w:val="12"/>
  </w:num>
  <w:num w:numId="84" w16cid:durableId="1870339366">
    <w:abstractNumId w:val="128"/>
  </w:num>
  <w:num w:numId="85" w16cid:durableId="1297759869">
    <w:abstractNumId w:val="144"/>
  </w:num>
  <w:num w:numId="86" w16cid:durableId="1438987689">
    <w:abstractNumId w:val="137"/>
  </w:num>
  <w:num w:numId="87" w16cid:durableId="506672976">
    <w:abstractNumId w:val="32"/>
  </w:num>
  <w:num w:numId="88" w16cid:durableId="425662696">
    <w:abstractNumId w:val="33"/>
  </w:num>
  <w:num w:numId="89" w16cid:durableId="670721889">
    <w:abstractNumId w:val="62"/>
  </w:num>
  <w:num w:numId="90" w16cid:durableId="1027295407">
    <w:abstractNumId w:val="64"/>
  </w:num>
  <w:num w:numId="91" w16cid:durableId="219752016">
    <w:abstractNumId w:val="44"/>
  </w:num>
  <w:num w:numId="92" w16cid:durableId="1299529555">
    <w:abstractNumId w:val="58"/>
  </w:num>
  <w:num w:numId="93" w16cid:durableId="908619170">
    <w:abstractNumId w:val="92"/>
  </w:num>
  <w:num w:numId="94" w16cid:durableId="1067260213">
    <w:abstractNumId w:val="113"/>
  </w:num>
  <w:num w:numId="95" w16cid:durableId="1203252055">
    <w:abstractNumId w:val="111"/>
  </w:num>
  <w:num w:numId="96" w16cid:durableId="1230072694">
    <w:abstractNumId w:val="63"/>
  </w:num>
  <w:num w:numId="97" w16cid:durableId="523206182">
    <w:abstractNumId w:val="13"/>
  </w:num>
  <w:num w:numId="98" w16cid:durableId="2054650803">
    <w:abstractNumId w:val="120"/>
  </w:num>
  <w:num w:numId="99" w16cid:durableId="1218783069">
    <w:abstractNumId w:val="36"/>
  </w:num>
  <w:num w:numId="100" w16cid:durableId="132796515">
    <w:abstractNumId w:val="56"/>
  </w:num>
  <w:num w:numId="101" w16cid:durableId="498539480">
    <w:abstractNumId w:val="141"/>
  </w:num>
  <w:num w:numId="102" w16cid:durableId="1858037114">
    <w:abstractNumId w:val="100"/>
  </w:num>
  <w:num w:numId="103" w16cid:durableId="1252549605">
    <w:abstractNumId w:val="38"/>
  </w:num>
  <w:num w:numId="104" w16cid:durableId="251472599">
    <w:abstractNumId w:val="126"/>
  </w:num>
  <w:num w:numId="105" w16cid:durableId="2053577788">
    <w:abstractNumId w:val="39"/>
  </w:num>
  <w:num w:numId="106" w16cid:durableId="94327966">
    <w:abstractNumId w:val="52"/>
  </w:num>
  <w:num w:numId="107" w16cid:durableId="657536912">
    <w:abstractNumId w:val="145"/>
  </w:num>
  <w:num w:numId="108" w16cid:durableId="1145052301">
    <w:abstractNumId w:val="131"/>
  </w:num>
  <w:num w:numId="109" w16cid:durableId="1254581822">
    <w:abstractNumId w:val="34"/>
  </w:num>
  <w:num w:numId="110" w16cid:durableId="1026981602">
    <w:abstractNumId w:val="0"/>
  </w:num>
  <w:num w:numId="111" w16cid:durableId="1259675106">
    <w:abstractNumId w:val="78"/>
  </w:num>
  <w:num w:numId="112" w16cid:durableId="862666543">
    <w:abstractNumId w:val="88"/>
  </w:num>
  <w:num w:numId="113" w16cid:durableId="1071125939">
    <w:abstractNumId w:val="47"/>
  </w:num>
  <w:num w:numId="114" w16cid:durableId="1593777556">
    <w:abstractNumId w:val="27"/>
  </w:num>
  <w:num w:numId="115" w16cid:durableId="994724616">
    <w:abstractNumId w:val="97"/>
  </w:num>
  <w:num w:numId="116" w16cid:durableId="271984726">
    <w:abstractNumId w:val="85"/>
  </w:num>
  <w:num w:numId="117" w16cid:durableId="68431431">
    <w:abstractNumId w:val="81"/>
  </w:num>
  <w:num w:numId="118" w16cid:durableId="1865514292">
    <w:abstractNumId w:val="138"/>
  </w:num>
  <w:num w:numId="119" w16cid:durableId="221215098">
    <w:abstractNumId w:val="3"/>
  </w:num>
  <w:num w:numId="120" w16cid:durableId="2116172103">
    <w:abstractNumId w:val="107"/>
  </w:num>
  <w:num w:numId="121" w16cid:durableId="1693607180">
    <w:abstractNumId w:val="123"/>
  </w:num>
  <w:num w:numId="122" w16cid:durableId="675959749">
    <w:abstractNumId w:val="103"/>
  </w:num>
  <w:num w:numId="123" w16cid:durableId="1610769624">
    <w:abstractNumId w:val="5"/>
  </w:num>
  <w:num w:numId="124" w16cid:durableId="1069813744">
    <w:abstractNumId w:val="71"/>
  </w:num>
  <w:num w:numId="125" w16cid:durableId="521169453">
    <w:abstractNumId w:val="82"/>
  </w:num>
  <w:num w:numId="126" w16cid:durableId="1704209751">
    <w:abstractNumId w:val="116"/>
  </w:num>
  <w:num w:numId="127" w16cid:durableId="1801997935">
    <w:abstractNumId w:val="108"/>
  </w:num>
  <w:num w:numId="128" w16cid:durableId="1678535839">
    <w:abstractNumId w:val="2"/>
  </w:num>
  <w:num w:numId="129" w16cid:durableId="75907537">
    <w:abstractNumId w:val="57"/>
  </w:num>
  <w:num w:numId="130" w16cid:durableId="91708130">
    <w:abstractNumId w:val="1"/>
  </w:num>
  <w:num w:numId="131" w16cid:durableId="1136685059">
    <w:abstractNumId w:val="143"/>
  </w:num>
  <w:num w:numId="132" w16cid:durableId="1612863041">
    <w:abstractNumId w:val="146"/>
  </w:num>
  <w:num w:numId="133" w16cid:durableId="424767547">
    <w:abstractNumId w:val="20"/>
  </w:num>
  <w:num w:numId="134" w16cid:durableId="1757243071">
    <w:abstractNumId w:val="30"/>
  </w:num>
  <w:num w:numId="135" w16cid:durableId="1402405769">
    <w:abstractNumId w:val="118"/>
  </w:num>
  <w:num w:numId="136" w16cid:durableId="1953514861">
    <w:abstractNumId w:val="6"/>
  </w:num>
  <w:num w:numId="137" w16cid:durableId="1819375646">
    <w:abstractNumId w:val="127"/>
  </w:num>
  <w:num w:numId="138" w16cid:durableId="1502089235">
    <w:abstractNumId w:val="15"/>
  </w:num>
  <w:num w:numId="139" w16cid:durableId="508252494">
    <w:abstractNumId w:val="48"/>
  </w:num>
  <w:num w:numId="140" w16cid:durableId="1231693559">
    <w:abstractNumId w:val="75"/>
  </w:num>
  <w:num w:numId="141" w16cid:durableId="1792436873">
    <w:abstractNumId w:val="31"/>
  </w:num>
  <w:num w:numId="142" w16cid:durableId="1680691781">
    <w:abstractNumId w:val="8"/>
  </w:num>
  <w:num w:numId="143" w16cid:durableId="368803148">
    <w:abstractNumId w:val="124"/>
  </w:num>
  <w:num w:numId="144" w16cid:durableId="125050488">
    <w:abstractNumId w:val="86"/>
  </w:num>
  <w:num w:numId="145" w16cid:durableId="1402824101">
    <w:abstractNumId w:val="89"/>
  </w:num>
  <w:num w:numId="146" w16cid:durableId="247272632">
    <w:abstractNumId w:val="18"/>
  </w:num>
  <w:num w:numId="147" w16cid:durableId="625157609">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4A96"/>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659"/>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DCA"/>
    <w:rsid w:val="00DB088B"/>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D9EC95C1-0895-497E-B002-48AB9D64B2D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2480</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2023-03-15T00:14:00Z</dcterms:created>
  <dcterms:modified xsi:type="dcterms:W3CDTF">2023-03-15T00:14:00Z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