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FA8A" w14:textId="77777777" w:rsidR="00E63B54" w:rsidRPr="00E63B54" w:rsidRDefault="00E63B54" w:rsidP="00E63B54">
      <w:pPr>
        <w:pStyle w:val="ListParagraph"/>
        <w:keepNext/>
        <w:numPr>
          <w:ilvl w:val="0"/>
          <w:numId w:val="2"/>
        </w:numPr>
        <w:spacing w:before="100" w:after="200"/>
        <w:outlineLvl w:val="0"/>
        <w:rPr>
          <w:rFonts w:cs="Arial"/>
          <w:b/>
          <w:bCs/>
          <w:vanish/>
          <w:kern w:val="32"/>
          <w:sz w:val="32"/>
          <w:szCs w:val="32"/>
        </w:rPr>
      </w:pPr>
      <w:bookmarkStart w:id="0" w:name="_Toc321921940"/>
      <w:bookmarkStart w:id="1" w:name="_Toc332985283"/>
      <w:bookmarkStart w:id="2" w:name="_Toc29993453"/>
      <w:bookmarkStart w:id="3" w:name="_Toc29993488"/>
    </w:p>
    <w:p w14:paraId="39031512" w14:textId="77777777" w:rsidR="00E63B54" w:rsidRPr="00E63B54" w:rsidRDefault="00E63B54" w:rsidP="00E63B54">
      <w:pPr>
        <w:pStyle w:val="ListParagraph"/>
        <w:keepNext/>
        <w:numPr>
          <w:ilvl w:val="1"/>
          <w:numId w:val="2"/>
        </w:numPr>
        <w:spacing w:before="100" w:after="200"/>
        <w:outlineLvl w:val="1"/>
        <w:rPr>
          <w:rFonts w:cs="Arial"/>
          <w:b/>
          <w:bCs/>
          <w:iCs/>
          <w:vanish/>
          <w:sz w:val="28"/>
          <w:szCs w:val="28"/>
        </w:rPr>
      </w:pPr>
    </w:p>
    <w:p w14:paraId="749DC696" w14:textId="77777777" w:rsidR="00E63B54" w:rsidRPr="00E63B54" w:rsidRDefault="00E63B54" w:rsidP="00E63B54">
      <w:pPr>
        <w:pStyle w:val="ListParagraph"/>
        <w:keepNext/>
        <w:numPr>
          <w:ilvl w:val="1"/>
          <w:numId w:val="2"/>
        </w:numPr>
        <w:spacing w:before="100" w:after="200"/>
        <w:outlineLvl w:val="1"/>
        <w:rPr>
          <w:rFonts w:cs="Arial"/>
          <w:b/>
          <w:bCs/>
          <w:iCs/>
          <w:vanish/>
          <w:sz w:val="28"/>
          <w:szCs w:val="28"/>
        </w:rPr>
      </w:pPr>
    </w:p>
    <w:p w14:paraId="43F4FBC0" w14:textId="77777777" w:rsidR="00E63B54" w:rsidRPr="00E63B54" w:rsidRDefault="00E63B54" w:rsidP="00E63B54">
      <w:pPr>
        <w:pStyle w:val="ListParagraph"/>
        <w:keepNext/>
        <w:numPr>
          <w:ilvl w:val="2"/>
          <w:numId w:val="2"/>
        </w:numPr>
        <w:spacing w:before="100" w:after="200"/>
        <w:outlineLvl w:val="2"/>
        <w:rPr>
          <w:rFonts w:cs="Arial"/>
          <w:b/>
          <w:bCs/>
          <w:vanish/>
          <w:sz w:val="24"/>
          <w:szCs w:val="26"/>
        </w:rPr>
      </w:pPr>
    </w:p>
    <w:p w14:paraId="2A6FFE90" w14:textId="698C3C5F" w:rsidR="00A5679E" w:rsidRDefault="00A5679E" w:rsidP="00E63B54">
      <w:pPr>
        <w:pStyle w:val="Heading3"/>
      </w:pPr>
      <w:r>
        <w:t>Medium density residential zone code</w:t>
      </w:r>
      <w:bookmarkEnd w:id="0"/>
      <w:bookmarkEnd w:id="1"/>
      <w:bookmarkEnd w:id="2"/>
      <w:bookmarkEnd w:id="3"/>
    </w:p>
    <w:p w14:paraId="2585A551" w14:textId="77777777" w:rsidR="00A5679E" w:rsidRDefault="00A5679E" w:rsidP="001A3E24">
      <w:pPr>
        <w:pStyle w:val="Heading4"/>
        <w:spacing w:before="100" w:after="200"/>
        <w:ind w:right="5951"/>
      </w:pPr>
      <w:bookmarkStart w:id="4" w:name="_Toc332985284"/>
      <w:r>
        <w:t>Application</w:t>
      </w:r>
      <w:bookmarkEnd w:id="4"/>
    </w:p>
    <w:p w14:paraId="0C40675A" w14:textId="77777777" w:rsidR="00AB2BA4" w:rsidRPr="000876B7" w:rsidRDefault="00AB2BA4" w:rsidP="00AB2BA4">
      <w:pPr>
        <w:rPr>
          <w:rFonts w:cs="Arial"/>
          <w:sz w:val="18"/>
          <w:szCs w:val="18"/>
        </w:rPr>
      </w:pPr>
      <w:r w:rsidRPr="000876B7">
        <w:rPr>
          <w:rFonts w:cs="Arial"/>
          <w:sz w:val="18"/>
          <w:szCs w:val="18"/>
        </w:rPr>
        <w:t>This code applies to development:-</w:t>
      </w:r>
    </w:p>
    <w:p w14:paraId="1DC9A0A5" w14:textId="77777777" w:rsidR="00AB2BA4" w:rsidRPr="000876B7" w:rsidRDefault="00AB2BA4" w:rsidP="00AB2BA4">
      <w:pPr>
        <w:ind w:left="567"/>
        <w:rPr>
          <w:rFonts w:cs="Arial"/>
          <w:sz w:val="18"/>
          <w:szCs w:val="18"/>
        </w:rPr>
      </w:pPr>
    </w:p>
    <w:p w14:paraId="5B248F37" w14:textId="77777777" w:rsidR="00AB2BA4" w:rsidRPr="000876B7" w:rsidRDefault="00AB2BA4" w:rsidP="00AB2BA4">
      <w:pPr>
        <w:numPr>
          <w:ilvl w:val="0"/>
          <w:numId w:val="101"/>
        </w:numPr>
        <w:rPr>
          <w:rFonts w:cs="Arial"/>
          <w:sz w:val="18"/>
          <w:szCs w:val="18"/>
        </w:rPr>
      </w:pPr>
      <w:r w:rsidRPr="000876B7">
        <w:rPr>
          <w:rFonts w:cs="Arial"/>
          <w:sz w:val="18"/>
          <w:szCs w:val="18"/>
        </w:rPr>
        <w:t>within the Medium density residential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24971071" w14:textId="77777777" w:rsidR="00AB2BA4" w:rsidRPr="00262303" w:rsidRDefault="00AB2BA4" w:rsidP="00AB2BA4">
      <w:pPr>
        <w:rPr>
          <w:sz w:val="18"/>
          <w:szCs w:val="18"/>
        </w:rPr>
      </w:pPr>
    </w:p>
    <w:p w14:paraId="525E8243" w14:textId="77777777" w:rsidR="00AB2BA4" w:rsidRPr="00262303" w:rsidRDefault="00AB2BA4" w:rsidP="00AB2BA4">
      <w:pPr>
        <w:numPr>
          <w:ilvl w:val="0"/>
          <w:numId w:val="101"/>
        </w:numPr>
        <w:rPr>
          <w:sz w:val="18"/>
          <w:szCs w:val="18"/>
        </w:rPr>
      </w:pPr>
      <w:r w:rsidRPr="00262303">
        <w:rPr>
          <w:sz w:val="18"/>
          <w:szCs w:val="18"/>
        </w:rPr>
        <w:t xml:space="preserve">identified as requiring assessment against the Medium density residential zone code by the tables of assessment in </w:t>
      </w:r>
      <w:r w:rsidRPr="00262303">
        <w:rPr>
          <w:b/>
          <w:sz w:val="18"/>
          <w:szCs w:val="18"/>
        </w:rPr>
        <w:t>Part 5 (Tables of assessment)</w:t>
      </w:r>
      <w:r w:rsidRPr="00262303">
        <w:rPr>
          <w:sz w:val="18"/>
          <w:szCs w:val="18"/>
        </w:rPr>
        <w:t>.</w:t>
      </w:r>
    </w:p>
    <w:p w14:paraId="7277B178" w14:textId="77777777" w:rsidR="00A5679E" w:rsidRDefault="00A5679E" w:rsidP="001A3E24">
      <w:pPr>
        <w:tabs>
          <w:tab w:val="num" w:pos="1827"/>
        </w:tabs>
        <w:ind w:right="5951"/>
      </w:pPr>
    </w:p>
    <w:p w14:paraId="74E03ED4" w14:textId="77777777" w:rsidR="00A5679E" w:rsidRDefault="00A5679E" w:rsidP="001A3E24">
      <w:pPr>
        <w:pStyle w:val="Heading4"/>
        <w:spacing w:before="100" w:after="200"/>
        <w:ind w:right="5951"/>
      </w:pPr>
      <w:bookmarkStart w:id="5" w:name="_Toc332985285"/>
      <w:r>
        <w:t>Purpose and overall outcomes</w:t>
      </w:r>
      <w:bookmarkEnd w:id="5"/>
    </w:p>
    <w:p w14:paraId="4F10C44D" w14:textId="77777777" w:rsidR="00AB2BA4" w:rsidRDefault="00AB2BA4" w:rsidP="00AB2BA4">
      <w:pPr>
        <w:pStyle w:val="ListParagraph"/>
        <w:numPr>
          <w:ilvl w:val="0"/>
          <w:numId w:val="135"/>
        </w:numPr>
        <w:ind w:left="567" w:hanging="567"/>
        <w:rPr>
          <w:rFonts w:cs="Arial"/>
          <w:sz w:val="18"/>
          <w:szCs w:val="18"/>
        </w:rPr>
      </w:pPr>
      <w:r>
        <w:rPr>
          <w:rFonts w:cs="Arial"/>
          <w:sz w:val="18"/>
          <w:szCs w:val="18"/>
        </w:rPr>
        <w:t>The purpose of the Medium density residential zone is to provide for:-</w:t>
      </w:r>
    </w:p>
    <w:p w14:paraId="5147A23A" w14:textId="77777777" w:rsidR="00AB2BA4" w:rsidRDefault="00AB2BA4" w:rsidP="00AB2BA4">
      <w:pPr>
        <w:pStyle w:val="ListParagraph"/>
        <w:ind w:left="360"/>
        <w:rPr>
          <w:rFonts w:cs="Arial"/>
          <w:sz w:val="18"/>
          <w:szCs w:val="18"/>
        </w:rPr>
      </w:pPr>
    </w:p>
    <w:p w14:paraId="44276642" w14:textId="77777777" w:rsidR="00AB2BA4" w:rsidRDefault="00AB2BA4" w:rsidP="00AB2BA4">
      <w:pPr>
        <w:pStyle w:val="ListParagraph"/>
        <w:numPr>
          <w:ilvl w:val="0"/>
          <w:numId w:val="136"/>
        </w:numPr>
        <w:rPr>
          <w:rFonts w:cs="Arial"/>
          <w:sz w:val="18"/>
          <w:szCs w:val="18"/>
        </w:rPr>
      </w:pPr>
      <w:r>
        <w:rPr>
          <w:rFonts w:cs="Arial"/>
          <w:sz w:val="18"/>
          <w:szCs w:val="18"/>
        </w:rPr>
        <w:t>medium density multiple dwellings; and</w:t>
      </w:r>
    </w:p>
    <w:p w14:paraId="368ACDFD" w14:textId="77777777" w:rsidR="00AB2BA4" w:rsidRDefault="00AB2BA4" w:rsidP="00AB2BA4">
      <w:pPr>
        <w:pStyle w:val="ListParagraph"/>
        <w:ind w:left="928"/>
        <w:rPr>
          <w:rFonts w:cs="Arial"/>
          <w:sz w:val="18"/>
          <w:szCs w:val="18"/>
        </w:rPr>
      </w:pPr>
    </w:p>
    <w:p w14:paraId="060D3EDA" w14:textId="77777777" w:rsidR="00AB2BA4" w:rsidRDefault="00AB2BA4" w:rsidP="00AB2BA4">
      <w:pPr>
        <w:pStyle w:val="ListParagraph"/>
        <w:numPr>
          <w:ilvl w:val="0"/>
          <w:numId w:val="136"/>
        </w:numPr>
        <w:rPr>
          <w:rFonts w:cs="Arial"/>
          <w:sz w:val="18"/>
          <w:szCs w:val="18"/>
        </w:rPr>
      </w:pPr>
      <w:r>
        <w:rPr>
          <w:rFonts w:cs="Arial"/>
          <w:sz w:val="18"/>
          <w:szCs w:val="18"/>
        </w:rPr>
        <w:t xml:space="preserve">community uses, and small-scale services, facilities and infrastructure, to support local residents. </w:t>
      </w:r>
    </w:p>
    <w:p w14:paraId="4530DFCD" w14:textId="77777777" w:rsidR="00AB2BA4" w:rsidRPr="003E540E" w:rsidRDefault="00AB2BA4" w:rsidP="00AB2BA4">
      <w:pPr>
        <w:ind w:left="568"/>
        <w:rPr>
          <w:rFonts w:cs="Arial"/>
          <w:sz w:val="18"/>
          <w:szCs w:val="18"/>
        </w:rPr>
      </w:pPr>
    </w:p>
    <w:p w14:paraId="7F06948F" w14:textId="77777777" w:rsidR="00AB2BA4" w:rsidRPr="00C8195E" w:rsidRDefault="00AB2BA4" w:rsidP="00AB2BA4">
      <w:pPr>
        <w:ind w:left="567"/>
        <w:rPr>
          <w:rFonts w:cs="Arial"/>
          <w:sz w:val="16"/>
          <w:szCs w:val="16"/>
        </w:rPr>
      </w:pPr>
      <w:r w:rsidRPr="00C8195E">
        <w:rPr>
          <w:rFonts w:cs="Arial"/>
          <w:sz w:val="16"/>
          <w:szCs w:val="16"/>
        </w:rPr>
        <w:t>Editor’s note—the zone includes two precincts, being Precinct MDRZ1 (Bundaberg West medical/health hub) and Precinct MDRZ2 (Barolin Street office precinct), that also provide for particular business and community activities.</w:t>
      </w:r>
    </w:p>
    <w:p w14:paraId="3A7E3107" w14:textId="77777777" w:rsidR="00AB2BA4" w:rsidRPr="00262303" w:rsidRDefault="00AB2BA4" w:rsidP="00AB2BA4">
      <w:pPr>
        <w:ind w:left="567"/>
        <w:rPr>
          <w:rFonts w:cs="Arial"/>
          <w:sz w:val="18"/>
          <w:szCs w:val="18"/>
        </w:rPr>
      </w:pPr>
      <w:r>
        <w:rPr>
          <w:rFonts w:cs="Arial"/>
          <w:sz w:val="18"/>
          <w:szCs w:val="18"/>
        </w:rPr>
        <w:t xml:space="preserve"> </w:t>
      </w:r>
    </w:p>
    <w:p w14:paraId="162BB5C8" w14:textId="77777777" w:rsidR="00AB2BA4" w:rsidRPr="00262303" w:rsidRDefault="00AB2BA4" w:rsidP="00AB2BA4">
      <w:pPr>
        <w:numPr>
          <w:ilvl w:val="0"/>
          <w:numId w:val="148"/>
        </w:numPr>
        <w:rPr>
          <w:rFonts w:cs="Arial"/>
          <w:sz w:val="18"/>
          <w:szCs w:val="18"/>
        </w:rPr>
      </w:pPr>
      <w:r w:rsidRPr="00262303">
        <w:rPr>
          <w:rFonts w:cs="Arial"/>
          <w:sz w:val="18"/>
          <w:szCs w:val="18"/>
        </w:rPr>
        <w:t>The purpose of the Medium density residential zone code will be achieved through the following overall outcomes:-</w:t>
      </w:r>
    </w:p>
    <w:p w14:paraId="25E98423" w14:textId="77777777" w:rsidR="00AB2BA4" w:rsidRPr="00262303" w:rsidRDefault="00AB2BA4" w:rsidP="00AB2BA4">
      <w:pPr>
        <w:ind w:left="567"/>
        <w:rPr>
          <w:rFonts w:cs="Arial"/>
          <w:sz w:val="18"/>
          <w:szCs w:val="18"/>
        </w:rPr>
      </w:pPr>
    </w:p>
    <w:p w14:paraId="0A7EFB53" w14:textId="77777777" w:rsidR="00AB2BA4" w:rsidRPr="00262303" w:rsidRDefault="00AB2BA4" w:rsidP="00AB2BA4">
      <w:pPr>
        <w:numPr>
          <w:ilvl w:val="1"/>
          <w:numId w:val="148"/>
        </w:numPr>
        <w:rPr>
          <w:rFonts w:cs="Arial"/>
          <w:sz w:val="18"/>
          <w:szCs w:val="18"/>
        </w:rPr>
      </w:pPr>
      <w:r w:rsidRPr="00262303">
        <w:rPr>
          <w:rFonts w:cs="Arial"/>
          <w:sz w:val="18"/>
          <w:szCs w:val="18"/>
        </w:rPr>
        <w:t xml:space="preserve">development provides for a </w:t>
      </w:r>
      <w:r>
        <w:rPr>
          <w:rFonts w:cs="Arial"/>
          <w:sz w:val="18"/>
          <w:szCs w:val="18"/>
        </w:rPr>
        <w:t>range and</w:t>
      </w:r>
      <w:r w:rsidRPr="00262303">
        <w:rPr>
          <w:rFonts w:cs="Arial"/>
          <w:sz w:val="18"/>
          <w:szCs w:val="18"/>
        </w:rPr>
        <w:t xml:space="preserve"> mix of low and medium density residential dwelling choices and forms, predominantly for permanent living</w:t>
      </w:r>
      <w:r>
        <w:rPr>
          <w:rFonts w:cs="Arial"/>
          <w:sz w:val="18"/>
          <w:szCs w:val="18"/>
        </w:rPr>
        <w:t xml:space="preserve">; </w:t>
      </w:r>
    </w:p>
    <w:p w14:paraId="447C5301" w14:textId="77777777" w:rsidR="00AB2BA4" w:rsidRPr="00262303" w:rsidRDefault="00AB2BA4" w:rsidP="00AB2BA4">
      <w:pPr>
        <w:ind w:left="1134"/>
        <w:rPr>
          <w:rFonts w:cs="Arial"/>
          <w:sz w:val="18"/>
          <w:szCs w:val="18"/>
        </w:rPr>
      </w:pPr>
    </w:p>
    <w:p w14:paraId="70891B83" w14:textId="77777777" w:rsidR="00AB2BA4" w:rsidRPr="00262303" w:rsidRDefault="00AB2BA4" w:rsidP="00AB2BA4">
      <w:pPr>
        <w:numPr>
          <w:ilvl w:val="1"/>
          <w:numId w:val="148"/>
        </w:numPr>
        <w:rPr>
          <w:rFonts w:cs="Arial"/>
          <w:sz w:val="18"/>
          <w:szCs w:val="18"/>
        </w:rPr>
      </w:pPr>
      <w:r w:rsidRPr="00262303">
        <w:rPr>
          <w:rFonts w:cs="Arial"/>
          <w:sz w:val="18"/>
          <w:szCs w:val="18"/>
        </w:rPr>
        <w:t>other medium density residential uses such as hostels, relocatable home park</w:t>
      </w:r>
      <w:r>
        <w:rPr>
          <w:rFonts w:cs="Arial"/>
          <w:sz w:val="18"/>
          <w:szCs w:val="18"/>
        </w:rPr>
        <w:t xml:space="preserve">s, residential care facilities, </w:t>
      </w:r>
      <w:r w:rsidRPr="00262303">
        <w:rPr>
          <w:rFonts w:cs="Arial"/>
          <w:sz w:val="18"/>
          <w:szCs w:val="18"/>
        </w:rPr>
        <w:t>retirement facilities</w:t>
      </w:r>
      <w:r>
        <w:rPr>
          <w:rFonts w:cs="Arial"/>
          <w:sz w:val="18"/>
          <w:szCs w:val="18"/>
        </w:rPr>
        <w:t xml:space="preserve">, short-term accommodation and tourist parks </w:t>
      </w:r>
      <w:r w:rsidRPr="00262303">
        <w:rPr>
          <w:rFonts w:cs="Arial"/>
          <w:sz w:val="18"/>
          <w:szCs w:val="18"/>
        </w:rPr>
        <w:t>may also be</w:t>
      </w:r>
      <w:r>
        <w:rPr>
          <w:rFonts w:cs="Arial"/>
          <w:sz w:val="18"/>
          <w:szCs w:val="18"/>
        </w:rPr>
        <w:t xml:space="preserve"> established in the zone</w:t>
      </w:r>
      <w:r w:rsidRPr="00262303">
        <w:rPr>
          <w:rFonts w:cs="Arial"/>
          <w:sz w:val="18"/>
          <w:szCs w:val="18"/>
        </w:rPr>
        <w:t>;</w:t>
      </w:r>
    </w:p>
    <w:p w14:paraId="56F15BBC" w14:textId="77777777" w:rsidR="00AB2BA4" w:rsidRPr="00262303" w:rsidRDefault="00AB2BA4" w:rsidP="00AB2BA4">
      <w:pPr>
        <w:ind w:left="1134"/>
        <w:rPr>
          <w:rFonts w:cs="Arial"/>
          <w:sz w:val="18"/>
          <w:szCs w:val="18"/>
        </w:rPr>
      </w:pPr>
    </w:p>
    <w:p w14:paraId="045931EA" w14:textId="77777777" w:rsidR="00AB2BA4" w:rsidRDefault="00AB2BA4" w:rsidP="00AB2BA4">
      <w:pPr>
        <w:numPr>
          <w:ilvl w:val="1"/>
          <w:numId w:val="148"/>
        </w:numPr>
        <w:rPr>
          <w:rFonts w:cs="Arial"/>
          <w:sz w:val="18"/>
          <w:szCs w:val="18"/>
        </w:rPr>
      </w:pPr>
      <w:r>
        <w:rPr>
          <w:rFonts w:cs="Arial"/>
          <w:sz w:val="18"/>
          <w:szCs w:val="18"/>
        </w:rPr>
        <w:t>residential activities that provide short-term accommodation are located in areas that are highly accessible to tourists and travellers, whilst avoiding areas that are predominantly used for permanent living;</w:t>
      </w:r>
    </w:p>
    <w:p w14:paraId="6CDC7FB9" w14:textId="77777777" w:rsidR="00AB2BA4" w:rsidRDefault="00AB2BA4" w:rsidP="00AB2BA4">
      <w:pPr>
        <w:pStyle w:val="ListParagraph"/>
        <w:rPr>
          <w:rFonts w:cs="Arial"/>
          <w:sz w:val="18"/>
          <w:szCs w:val="18"/>
        </w:rPr>
      </w:pPr>
    </w:p>
    <w:p w14:paraId="621CD25E" w14:textId="77777777" w:rsidR="00AB2BA4" w:rsidRDefault="00AB2BA4" w:rsidP="00AB2BA4">
      <w:pPr>
        <w:numPr>
          <w:ilvl w:val="1"/>
          <w:numId w:val="148"/>
        </w:numPr>
        <w:rPr>
          <w:rFonts w:cs="Arial"/>
          <w:sz w:val="18"/>
          <w:szCs w:val="18"/>
        </w:rPr>
      </w:pPr>
      <w:r w:rsidRPr="000336CB">
        <w:rPr>
          <w:rFonts w:cs="Arial"/>
          <w:sz w:val="18"/>
          <w:szCs w:val="18"/>
        </w:rPr>
        <w:t>limited non-residential activities may also be established in the zone, where such activities provide for the day to day needs of the immediate residential community and do not detract from the residential amenity and character of the area, having regard to such matters as the location, nature, scale and intensity of the development</w:t>
      </w:r>
      <w:r>
        <w:rPr>
          <w:rFonts w:cs="Arial"/>
          <w:sz w:val="18"/>
          <w:szCs w:val="18"/>
        </w:rPr>
        <w:t xml:space="preserve">; </w:t>
      </w:r>
    </w:p>
    <w:p w14:paraId="06BF4B3A" w14:textId="77777777" w:rsidR="00AB2BA4" w:rsidRDefault="00AB2BA4" w:rsidP="00AB2BA4">
      <w:pPr>
        <w:ind w:left="1134"/>
        <w:rPr>
          <w:rFonts w:cs="Arial"/>
          <w:sz w:val="18"/>
          <w:szCs w:val="18"/>
        </w:rPr>
      </w:pPr>
    </w:p>
    <w:p w14:paraId="73B592D6" w14:textId="77777777" w:rsidR="00AB2BA4" w:rsidRPr="00262303" w:rsidRDefault="00AB2BA4" w:rsidP="00AB2BA4">
      <w:pPr>
        <w:numPr>
          <w:ilvl w:val="1"/>
          <w:numId w:val="148"/>
        </w:numPr>
        <w:rPr>
          <w:rFonts w:cs="Arial"/>
          <w:sz w:val="18"/>
          <w:szCs w:val="18"/>
        </w:rPr>
      </w:pPr>
      <w:r w:rsidRPr="006B3B8F">
        <w:rPr>
          <w:rFonts w:cs="Arial"/>
          <w:sz w:val="18"/>
          <w:szCs w:val="18"/>
        </w:rPr>
        <w:t>the scale, density and layout of development facilitates an efficient land use pattern that supports</w:t>
      </w:r>
      <w:r>
        <w:rPr>
          <w:rFonts w:cs="Arial"/>
          <w:sz w:val="18"/>
          <w:szCs w:val="18"/>
        </w:rPr>
        <w:t xml:space="preserve"> compact, safe and walkable</w:t>
      </w:r>
      <w:r w:rsidRPr="006B3B8F">
        <w:rPr>
          <w:rFonts w:cs="Arial"/>
          <w:sz w:val="18"/>
          <w:szCs w:val="18"/>
        </w:rPr>
        <w:t xml:space="preserve"> </w:t>
      </w:r>
      <w:r>
        <w:rPr>
          <w:rFonts w:cs="Arial"/>
          <w:sz w:val="18"/>
          <w:szCs w:val="18"/>
        </w:rPr>
        <w:t>n</w:t>
      </w:r>
      <w:r w:rsidRPr="006B3B8F">
        <w:rPr>
          <w:rFonts w:cs="Arial"/>
          <w:sz w:val="18"/>
          <w:szCs w:val="18"/>
        </w:rPr>
        <w:t>eighbourhoods that</w:t>
      </w:r>
      <w:r>
        <w:rPr>
          <w:rFonts w:cs="Arial"/>
          <w:sz w:val="18"/>
          <w:szCs w:val="18"/>
        </w:rPr>
        <w:t xml:space="preserve"> are connected</w:t>
      </w:r>
      <w:r w:rsidRPr="006B3B8F">
        <w:rPr>
          <w:rFonts w:cs="Arial"/>
          <w:sz w:val="18"/>
          <w:szCs w:val="18"/>
        </w:rPr>
        <w:t xml:space="preserve"> </w:t>
      </w:r>
      <w:r>
        <w:rPr>
          <w:rFonts w:cs="Arial"/>
          <w:sz w:val="18"/>
          <w:szCs w:val="18"/>
        </w:rPr>
        <w:t>to employment nodes, activity centres, open space and recreational areas, community services and facilities, educational opportunities and transport options;</w:t>
      </w:r>
    </w:p>
    <w:p w14:paraId="17CF0060" w14:textId="77777777" w:rsidR="00AB2BA4" w:rsidRPr="00664EE0" w:rsidRDefault="00AB2BA4" w:rsidP="00AB2BA4">
      <w:pPr>
        <w:ind w:left="1134"/>
        <w:rPr>
          <w:rFonts w:cs="Arial"/>
          <w:sz w:val="18"/>
          <w:szCs w:val="18"/>
        </w:rPr>
      </w:pPr>
    </w:p>
    <w:p w14:paraId="7B4E1440" w14:textId="77777777" w:rsidR="00AB2BA4" w:rsidRPr="0053240F" w:rsidRDefault="00AB2BA4" w:rsidP="00AB2BA4">
      <w:pPr>
        <w:numPr>
          <w:ilvl w:val="1"/>
          <w:numId w:val="148"/>
        </w:numPr>
        <w:rPr>
          <w:rFonts w:cs="Arial"/>
          <w:sz w:val="18"/>
          <w:szCs w:val="18"/>
        </w:rPr>
      </w:pPr>
      <w:r w:rsidRPr="006B3B8F">
        <w:rPr>
          <w:rFonts w:eastAsia="Calibri" w:cs="Arial"/>
          <w:sz w:val="18"/>
          <w:szCs w:val="18"/>
        </w:rPr>
        <w:t xml:space="preserve">development </w:t>
      </w:r>
      <w:r>
        <w:rPr>
          <w:rFonts w:cs="Arial"/>
          <w:sz w:val="18"/>
          <w:szCs w:val="18"/>
        </w:rPr>
        <w:t xml:space="preserve">encourages and facilitates </w:t>
      </w:r>
      <w:r w:rsidRPr="006B3B8F">
        <w:rPr>
          <w:rFonts w:cs="Arial"/>
          <w:sz w:val="18"/>
          <w:szCs w:val="18"/>
        </w:rPr>
        <w:t xml:space="preserve">the efficient </w:t>
      </w:r>
      <w:r>
        <w:rPr>
          <w:rFonts w:cs="Arial"/>
          <w:sz w:val="18"/>
          <w:szCs w:val="18"/>
        </w:rPr>
        <w:t xml:space="preserve">provision and use </w:t>
      </w:r>
      <w:r w:rsidRPr="006B3B8F">
        <w:rPr>
          <w:rFonts w:cs="Arial"/>
          <w:sz w:val="18"/>
          <w:szCs w:val="18"/>
        </w:rPr>
        <w:t xml:space="preserve">of </w:t>
      </w:r>
      <w:r>
        <w:rPr>
          <w:rFonts w:cs="Arial"/>
          <w:sz w:val="18"/>
          <w:szCs w:val="18"/>
        </w:rPr>
        <w:t xml:space="preserve">physical and social </w:t>
      </w:r>
      <w:r w:rsidRPr="006B3B8F">
        <w:rPr>
          <w:rFonts w:cs="Arial"/>
          <w:sz w:val="18"/>
          <w:szCs w:val="18"/>
        </w:rPr>
        <w:t>infrastructure</w:t>
      </w:r>
      <w:r w:rsidRPr="00262303">
        <w:rPr>
          <w:rFonts w:eastAsia="Calibri" w:cs="Arial"/>
          <w:sz w:val="18"/>
          <w:szCs w:val="18"/>
        </w:rPr>
        <w:t>;</w:t>
      </w:r>
    </w:p>
    <w:p w14:paraId="7D6BCFFC" w14:textId="77777777" w:rsidR="00AB2BA4" w:rsidRPr="0053240F" w:rsidRDefault="00AB2BA4" w:rsidP="00AB2BA4">
      <w:pPr>
        <w:ind w:left="1134"/>
        <w:rPr>
          <w:rFonts w:cs="Arial"/>
          <w:sz w:val="18"/>
          <w:szCs w:val="18"/>
        </w:rPr>
      </w:pPr>
    </w:p>
    <w:p w14:paraId="2C16F6C0" w14:textId="77777777" w:rsidR="00AB2BA4" w:rsidRPr="003A0A9C" w:rsidRDefault="00AB2BA4" w:rsidP="00AB2BA4">
      <w:pPr>
        <w:numPr>
          <w:ilvl w:val="1"/>
          <w:numId w:val="148"/>
        </w:numPr>
        <w:rPr>
          <w:rFonts w:cs="Arial"/>
          <w:sz w:val="18"/>
          <w:szCs w:val="18"/>
        </w:rPr>
      </w:pPr>
      <w:r>
        <w:rPr>
          <w:rFonts w:cs="Arial"/>
          <w:sz w:val="18"/>
          <w:szCs w:val="18"/>
        </w:rPr>
        <w:t xml:space="preserve">development has a low-rise (up to three storeys) built form that is compatible with, and is sympathetic to, the existing and intended scale and character of the surrounding area, </w:t>
      </w:r>
      <w:r w:rsidRPr="00CC161D">
        <w:rPr>
          <w:rFonts w:cs="Arial"/>
          <w:sz w:val="18"/>
          <w:szCs w:val="18"/>
        </w:rPr>
        <w:t>with non-residential built forms subservient to residential built forms in the locality</w:t>
      </w:r>
      <w:r>
        <w:rPr>
          <w:rFonts w:cs="Arial"/>
          <w:sz w:val="18"/>
          <w:szCs w:val="18"/>
        </w:rPr>
        <w:t>;</w:t>
      </w:r>
    </w:p>
    <w:p w14:paraId="0804F580" w14:textId="77777777" w:rsidR="00AB2BA4" w:rsidRDefault="00AB2BA4" w:rsidP="00AB2BA4">
      <w:pPr>
        <w:pStyle w:val="ListParagraph"/>
        <w:rPr>
          <w:rFonts w:cs="Arial"/>
          <w:sz w:val="18"/>
          <w:szCs w:val="18"/>
        </w:rPr>
      </w:pPr>
    </w:p>
    <w:p w14:paraId="414AE97F" w14:textId="77777777" w:rsidR="00AB2BA4" w:rsidRPr="00262303" w:rsidRDefault="00AB2BA4" w:rsidP="00AB2BA4">
      <w:pPr>
        <w:numPr>
          <w:ilvl w:val="1"/>
          <w:numId w:val="148"/>
        </w:numPr>
        <w:rPr>
          <w:rFonts w:cs="Arial"/>
          <w:sz w:val="18"/>
          <w:szCs w:val="18"/>
        </w:rPr>
      </w:pPr>
      <w:r w:rsidRPr="006B3B8F">
        <w:rPr>
          <w:rFonts w:cs="Arial"/>
          <w:sz w:val="18"/>
          <w:szCs w:val="18"/>
        </w:rPr>
        <w:t>development is designed and located in a manner which makes a positive contribution to the streetscape</w:t>
      </w:r>
      <w:r>
        <w:rPr>
          <w:rFonts w:cs="Arial"/>
          <w:sz w:val="18"/>
          <w:szCs w:val="18"/>
        </w:rPr>
        <w:t xml:space="preserve"> and maintains a high level of residential amenity</w:t>
      </w:r>
      <w:r w:rsidRPr="006720AC">
        <w:rPr>
          <w:rFonts w:cs="Arial"/>
          <w:sz w:val="18"/>
          <w:szCs w:val="18"/>
        </w:rPr>
        <w:t>;</w:t>
      </w:r>
      <w:r>
        <w:rPr>
          <w:rFonts w:cs="Arial"/>
          <w:sz w:val="18"/>
          <w:szCs w:val="18"/>
        </w:rPr>
        <w:t xml:space="preserve"> and</w:t>
      </w:r>
    </w:p>
    <w:p w14:paraId="71EC773D" w14:textId="77777777" w:rsidR="00AB2BA4" w:rsidRDefault="00AB2BA4" w:rsidP="00AB2BA4">
      <w:pPr>
        <w:pStyle w:val="ListParagraph"/>
        <w:rPr>
          <w:rFonts w:cs="Arial"/>
          <w:sz w:val="18"/>
          <w:szCs w:val="18"/>
        </w:rPr>
      </w:pPr>
    </w:p>
    <w:p w14:paraId="17A751A7" w14:textId="77777777" w:rsidR="00AB2BA4" w:rsidRDefault="00AB2BA4" w:rsidP="00AB2BA4">
      <w:pPr>
        <w:numPr>
          <w:ilvl w:val="1"/>
          <w:numId w:val="148"/>
        </w:numPr>
        <w:rPr>
          <w:rFonts w:cs="Arial"/>
          <w:sz w:val="18"/>
          <w:szCs w:val="18"/>
        </w:rPr>
      </w:pPr>
      <w:r>
        <w:rPr>
          <w:rFonts w:cs="Arial"/>
          <w:sz w:val="18"/>
          <w:szCs w:val="18"/>
        </w:rPr>
        <w:lastRenderedPageBreak/>
        <w:t>in addition to the overall outcomes for the zone generally:-</w:t>
      </w:r>
    </w:p>
    <w:p w14:paraId="08F43C21" w14:textId="77777777" w:rsidR="00AB2BA4" w:rsidRDefault="00AB2BA4" w:rsidP="00AB2BA4">
      <w:pPr>
        <w:ind w:left="1134"/>
        <w:rPr>
          <w:rFonts w:cs="Arial"/>
          <w:sz w:val="18"/>
          <w:szCs w:val="18"/>
        </w:rPr>
      </w:pPr>
    </w:p>
    <w:p w14:paraId="1CB363E8" w14:textId="77777777" w:rsidR="00AB2BA4" w:rsidRDefault="00AB2BA4" w:rsidP="00AB2BA4">
      <w:pPr>
        <w:numPr>
          <w:ilvl w:val="2"/>
          <w:numId w:val="32"/>
        </w:numPr>
        <w:rPr>
          <w:rFonts w:cs="Arial"/>
          <w:sz w:val="18"/>
          <w:szCs w:val="18"/>
        </w:rPr>
      </w:pPr>
      <w:r>
        <w:rPr>
          <w:rFonts w:cs="Arial"/>
          <w:sz w:val="18"/>
          <w:szCs w:val="18"/>
        </w:rPr>
        <w:t xml:space="preserve">development in </w:t>
      </w:r>
      <w:r w:rsidRPr="00F5670D">
        <w:rPr>
          <w:rFonts w:cs="Arial"/>
          <w:b/>
          <w:sz w:val="18"/>
          <w:szCs w:val="18"/>
        </w:rPr>
        <w:t>Precinct MDRZ1 (Bundaberg West medical/health hub)</w:t>
      </w:r>
      <w:r>
        <w:rPr>
          <w:rFonts w:cs="Arial"/>
          <w:sz w:val="18"/>
          <w:szCs w:val="18"/>
        </w:rPr>
        <w:t xml:space="preserve"> provides for a cluster of medical, health care and allied services and facilities (including short-term accommodation) that complement and support the hospitals located in Bundaberg West; and</w:t>
      </w:r>
    </w:p>
    <w:p w14:paraId="290C6B50" w14:textId="77777777" w:rsidR="00AB2BA4" w:rsidRDefault="00AB2BA4" w:rsidP="00AB2BA4">
      <w:pPr>
        <w:ind w:left="1701"/>
        <w:rPr>
          <w:rFonts w:cs="Arial"/>
          <w:sz w:val="18"/>
          <w:szCs w:val="18"/>
        </w:rPr>
      </w:pPr>
    </w:p>
    <w:p w14:paraId="5C7DA019" w14:textId="77777777" w:rsidR="00AB2BA4" w:rsidRDefault="00AB2BA4" w:rsidP="00AB2BA4">
      <w:pPr>
        <w:numPr>
          <w:ilvl w:val="2"/>
          <w:numId w:val="32"/>
        </w:numPr>
        <w:rPr>
          <w:rFonts w:cs="Arial"/>
          <w:sz w:val="18"/>
          <w:szCs w:val="18"/>
        </w:rPr>
      </w:pPr>
      <w:r w:rsidRPr="00F5670D">
        <w:rPr>
          <w:rFonts w:cs="Arial"/>
          <w:sz w:val="18"/>
          <w:szCs w:val="18"/>
        </w:rPr>
        <w:t xml:space="preserve">development in </w:t>
      </w:r>
      <w:r w:rsidRPr="00F5670D">
        <w:rPr>
          <w:rFonts w:cs="Arial"/>
          <w:b/>
          <w:sz w:val="18"/>
          <w:szCs w:val="18"/>
        </w:rPr>
        <w:t xml:space="preserve">Precinct MDRZ2 (Barolin Street office precinct) </w:t>
      </w:r>
      <w:r w:rsidRPr="00F5670D">
        <w:rPr>
          <w:rFonts w:cs="Arial"/>
          <w:sz w:val="18"/>
          <w:szCs w:val="18"/>
        </w:rPr>
        <w:t>provides for small-scale business and community activities, predominantly in the form of offices and health care services, that take advantage of the precinct’s prominent location along a major entry road into the Bundaberg CBD</w:t>
      </w:r>
      <w:r>
        <w:rPr>
          <w:rFonts w:cs="Arial"/>
          <w:sz w:val="18"/>
          <w:szCs w:val="18"/>
        </w:rPr>
        <w:t>.</w:t>
      </w:r>
    </w:p>
    <w:p w14:paraId="57FBEA1E" w14:textId="77777777" w:rsidR="00A5679E" w:rsidRPr="00AB2BA4" w:rsidRDefault="00A5679E" w:rsidP="00AB2BA4">
      <w:pPr>
        <w:ind w:right="5951"/>
        <w:rPr>
          <w:rFonts w:cs="Arial"/>
          <w:sz w:val="18"/>
          <w:szCs w:val="18"/>
        </w:rPr>
      </w:pPr>
    </w:p>
    <w:p w14:paraId="76515CAF" w14:textId="77777777" w:rsidR="00A5679E" w:rsidRDefault="00A5679E" w:rsidP="001A3E24">
      <w:pPr>
        <w:pStyle w:val="Heading4"/>
        <w:spacing w:before="100" w:after="200"/>
        <w:ind w:right="5951"/>
      </w:pPr>
      <w:r>
        <w:t>Specific benchmarks for assessment</w:t>
      </w:r>
    </w:p>
    <w:p w14:paraId="2A5D92F9" w14:textId="2111F55A" w:rsidR="00A5679E" w:rsidRDefault="00A5679E" w:rsidP="001A3E24">
      <w:pPr>
        <w:pStyle w:val="Heading7"/>
        <w:ind w:right="5951"/>
      </w:pPr>
      <w:bookmarkStart w:id="6" w:name="_Toc422825342"/>
      <w:bookmarkStart w:id="7" w:name="_Toc422826635"/>
      <w:r w:rsidRPr="00642FF7">
        <w:t>Table 6.2.2.3.1</w:t>
      </w:r>
      <w:r w:rsidRPr="00642FF7">
        <w:tab/>
      </w:r>
      <w:r>
        <w:t>Benchmarks</w:t>
      </w:r>
      <w:r w:rsidRPr="00642FF7">
        <w:t xml:space="preserve"> for assessable development</w:t>
      </w:r>
      <w:bookmarkEnd w:id="6"/>
      <w:bookmarkEnd w:id="7"/>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872"/>
        <w:gridCol w:w="4424"/>
        <w:gridCol w:w="4648"/>
      </w:tblGrid>
      <w:tr w:rsidR="00AB2BA4" w:rsidRPr="00084AFB" w14:paraId="53AD9E41" w14:textId="3F58034C" w:rsidTr="003217E2">
        <w:trPr>
          <w:tblHeader/>
        </w:trPr>
        <w:tc>
          <w:tcPr>
            <w:tcW w:w="4872" w:type="dxa"/>
            <w:shd w:val="solid" w:color="auto" w:fill="auto"/>
          </w:tcPr>
          <w:p w14:paraId="0E77911F" w14:textId="77777777" w:rsidR="00AB2BA4" w:rsidRPr="00084AFB" w:rsidRDefault="00AB2BA4" w:rsidP="003352DF">
            <w:pPr>
              <w:pStyle w:val="ListParagraph"/>
              <w:ind w:left="0"/>
              <w:rPr>
                <w:rFonts w:cs="Arial"/>
                <w:b/>
                <w:sz w:val="18"/>
                <w:szCs w:val="18"/>
              </w:rPr>
            </w:pPr>
            <w:r w:rsidRPr="00084AFB">
              <w:rPr>
                <w:rFonts w:cs="Arial"/>
                <w:b/>
                <w:sz w:val="18"/>
                <w:szCs w:val="18"/>
              </w:rPr>
              <w:t>Performance outcomes</w:t>
            </w:r>
          </w:p>
        </w:tc>
        <w:tc>
          <w:tcPr>
            <w:tcW w:w="4424" w:type="dxa"/>
            <w:shd w:val="solid" w:color="auto" w:fill="auto"/>
          </w:tcPr>
          <w:p w14:paraId="1C070092" w14:textId="77777777" w:rsidR="00AB2BA4" w:rsidRPr="00084AFB" w:rsidRDefault="00AB2BA4" w:rsidP="003352DF">
            <w:pPr>
              <w:pStyle w:val="ListParagraph"/>
              <w:ind w:left="0"/>
              <w:rPr>
                <w:rFonts w:cs="Arial"/>
                <w:b/>
                <w:sz w:val="18"/>
                <w:szCs w:val="18"/>
              </w:rPr>
            </w:pPr>
            <w:r w:rsidRPr="00084AFB">
              <w:rPr>
                <w:rFonts w:cs="Arial"/>
                <w:b/>
                <w:sz w:val="18"/>
                <w:szCs w:val="18"/>
              </w:rPr>
              <w:t>Acceptable outcomes</w:t>
            </w:r>
          </w:p>
        </w:tc>
        <w:tc>
          <w:tcPr>
            <w:tcW w:w="4648" w:type="dxa"/>
            <w:shd w:val="solid" w:color="auto" w:fill="auto"/>
          </w:tcPr>
          <w:p w14:paraId="2E836396" w14:textId="46D06CE8" w:rsidR="00AB2BA4" w:rsidRPr="00084AFB" w:rsidRDefault="00AB2BA4" w:rsidP="003352DF">
            <w:pPr>
              <w:pStyle w:val="ListParagraph"/>
              <w:ind w:left="0"/>
              <w:rPr>
                <w:rFonts w:cs="Arial"/>
                <w:b/>
                <w:sz w:val="18"/>
                <w:szCs w:val="18"/>
              </w:rPr>
            </w:pPr>
            <w:r>
              <w:rPr>
                <w:rFonts w:cs="Arial"/>
                <w:b/>
                <w:sz w:val="18"/>
                <w:szCs w:val="18"/>
              </w:rPr>
              <w:t xml:space="preserve">Compliance / Representations </w:t>
            </w:r>
          </w:p>
        </w:tc>
      </w:tr>
      <w:tr w:rsidR="003217E2" w:rsidRPr="00084AFB" w14:paraId="1201624E" w14:textId="01903754" w:rsidTr="0013678D">
        <w:tc>
          <w:tcPr>
            <w:tcW w:w="13944" w:type="dxa"/>
            <w:gridSpan w:val="3"/>
            <w:shd w:val="clear" w:color="auto" w:fill="D9D9D9"/>
          </w:tcPr>
          <w:p w14:paraId="14A75015" w14:textId="560A256A" w:rsidR="003217E2" w:rsidRPr="00084AFB" w:rsidRDefault="003217E2" w:rsidP="003352DF">
            <w:pPr>
              <w:pStyle w:val="ListParagraph"/>
              <w:ind w:left="0"/>
              <w:rPr>
                <w:rFonts w:cs="Arial"/>
                <w:b/>
                <w:i/>
                <w:sz w:val="18"/>
                <w:szCs w:val="18"/>
              </w:rPr>
            </w:pPr>
            <w:r w:rsidRPr="00084AFB">
              <w:rPr>
                <w:rFonts w:cs="Arial"/>
                <w:b/>
                <w:i/>
                <w:sz w:val="18"/>
                <w:szCs w:val="18"/>
              </w:rPr>
              <w:t>Residential uses</w:t>
            </w:r>
          </w:p>
        </w:tc>
      </w:tr>
      <w:tr w:rsidR="00AB2BA4" w:rsidRPr="00084AFB" w14:paraId="1A8AD6A2" w14:textId="71B802CE" w:rsidTr="003217E2">
        <w:tc>
          <w:tcPr>
            <w:tcW w:w="4872" w:type="dxa"/>
            <w:shd w:val="clear" w:color="auto" w:fill="auto"/>
          </w:tcPr>
          <w:p w14:paraId="5A24FC89" w14:textId="77777777" w:rsidR="00AB2BA4" w:rsidRPr="00084AFB" w:rsidRDefault="00AB2BA4" w:rsidP="003352DF">
            <w:pPr>
              <w:pStyle w:val="ListParagraph"/>
              <w:ind w:left="0"/>
              <w:rPr>
                <w:rFonts w:cs="Arial"/>
                <w:b/>
                <w:sz w:val="18"/>
                <w:szCs w:val="18"/>
              </w:rPr>
            </w:pPr>
            <w:r w:rsidRPr="00084AFB">
              <w:rPr>
                <w:rFonts w:cs="Arial"/>
                <w:b/>
                <w:sz w:val="18"/>
                <w:szCs w:val="18"/>
              </w:rPr>
              <w:t>PO1</w:t>
            </w:r>
          </w:p>
          <w:p w14:paraId="57F9086F" w14:textId="77777777" w:rsidR="00AB2BA4" w:rsidRPr="00084AFB" w:rsidRDefault="00AB2BA4" w:rsidP="003352DF">
            <w:pPr>
              <w:pStyle w:val="ListParagraph"/>
              <w:ind w:left="0"/>
              <w:rPr>
                <w:rFonts w:cs="Arial"/>
                <w:sz w:val="18"/>
                <w:szCs w:val="18"/>
              </w:rPr>
            </w:pPr>
            <w:r w:rsidRPr="00084AFB">
              <w:rPr>
                <w:rFonts w:cs="Arial"/>
                <w:sz w:val="18"/>
                <w:szCs w:val="18"/>
              </w:rPr>
              <w:t xml:space="preserve">Development provides for a compatible mix of </w:t>
            </w:r>
            <w:r>
              <w:rPr>
                <w:rFonts w:cs="Arial"/>
                <w:sz w:val="18"/>
                <w:szCs w:val="18"/>
              </w:rPr>
              <w:t xml:space="preserve">predominantly </w:t>
            </w:r>
            <w:r w:rsidRPr="00084AFB">
              <w:rPr>
                <w:rFonts w:cs="Arial"/>
                <w:sz w:val="18"/>
                <w:szCs w:val="18"/>
              </w:rPr>
              <w:t xml:space="preserve">low and medium density residential </w:t>
            </w:r>
            <w:r>
              <w:rPr>
                <w:rFonts w:cs="Arial"/>
                <w:sz w:val="18"/>
                <w:szCs w:val="18"/>
              </w:rPr>
              <w:t>activities</w:t>
            </w:r>
            <w:r w:rsidRPr="00084AFB">
              <w:rPr>
                <w:rFonts w:cs="Arial"/>
                <w:sz w:val="18"/>
                <w:szCs w:val="18"/>
              </w:rPr>
              <w:t>.</w:t>
            </w:r>
          </w:p>
        </w:tc>
        <w:tc>
          <w:tcPr>
            <w:tcW w:w="4424" w:type="dxa"/>
            <w:shd w:val="clear" w:color="auto" w:fill="auto"/>
          </w:tcPr>
          <w:p w14:paraId="07C55D0C" w14:textId="77777777" w:rsidR="00AB2BA4" w:rsidRPr="00084AFB" w:rsidRDefault="00AB2BA4" w:rsidP="003352DF">
            <w:pPr>
              <w:pStyle w:val="ListParagraph"/>
              <w:ind w:left="0"/>
              <w:rPr>
                <w:rFonts w:cs="Arial"/>
                <w:b/>
                <w:sz w:val="18"/>
                <w:szCs w:val="18"/>
              </w:rPr>
            </w:pPr>
            <w:r w:rsidRPr="00084AFB">
              <w:rPr>
                <w:rFonts w:cs="Arial"/>
                <w:b/>
                <w:sz w:val="18"/>
                <w:szCs w:val="18"/>
              </w:rPr>
              <w:t>AO1</w:t>
            </w:r>
          </w:p>
          <w:p w14:paraId="398F5D37" w14:textId="77777777" w:rsidR="00AB2BA4" w:rsidRPr="00084AFB" w:rsidRDefault="00AB2BA4" w:rsidP="003352DF">
            <w:pPr>
              <w:pStyle w:val="ListParagraph"/>
              <w:ind w:left="0"/>
              <w:rPr>
                <w:rFonts w:cs="Arial"/>
                <w:sz w:val="18"/>
                <w:szCs w:val="18"/>
              </w:rPr>
            </w:pPr>
            <w:r w:rsidRPr="00084AFB">
              <w:rPr>
                <w:rFonts w:cs="Arial"/>
                <w:sz w:val="18"/>
                <w:szCs w:val="18"/>
              </w:rPr>
              <w:t xml:space="preserve">Development provides for the following residential activities to occur in </w:t>
            </w:r>
            <w:r>
              <w:rPr>
                <w:rFonts w:cs="Arial"/>
                <w:sz w:val="18"/>
                <w:szCs w:val="18"/>
              </w:rPr>
              <w:t xml:space="preserve">the </w:t>
            </w:r>
            <w:r w:rsidRPr="00084AFB">
              <w:rPr>
                <w:rFonts w:cs="Arial"/>
                <w:sz w:val="18"/>
                <w:szCs w:val="18"/>
              </w:rPr>
              <w:t>Medium density residential zone:-</w:t>
            </w:r>
          </w:p>
          <w:p w14:paraId="4BF7E83D" w14:textId="77777777" w:rsidR="00AB2BA4" w:rsidRPr="00084AFB" w:rsidRDefault="00AB2BA4" w:rsidP="00AB2BA4">
            <w:pPr>
              <w:numPr>
                <w:ilvl w:val="0"/>
                <w:numId w:val="40"/>
              </w:numPr>
              <w:tabs>
                <w:tab w:val="clear" w:pos="720"/>
              </w:tabs>
              <w:ind w:left="423" w:hanging="423"/>
              <w:rPr>
                <w:rFonts w:cs="Arial"/>
                <w:sz w:val="18"/>
                <w:szCs w:val="18"/>
              </w:rPr>
            </w:pPr>
            <w:r w:rsidRPr="00084AFB">
              <w:rPr>
                <w:rFonts w:cs="Arial"/>
                <w:sz w:val="18"/>
                <w:szCs w:val="18"/>
              </w:rPr>
              <w:t>Caretaker’s accommodation;</w:t>
            </w:r>
          </w:p>
          <w:p w14:paraId="00953D29" w14:textId="77777777" w:rsidR="00AB2BA4" w:rsidRPr="00084AFB" w:rsidRDefault="00AB2BA4" w:rsidP="00AB2BA4">
            <w:pPr>
              <w:numPr>
                <w:ilvl w:val="0"/>
                <w:numId w:val="40"/>
              </w:numPr>
              <w:tabs>
                <w:tab w:val="clear" w:pos="720"/>
              </w:tabs>
              <w:ind w:left="423" w:hanging="423"/>
              <w:rPr>
                <w:rFonts w:cs="Arial"/>
                <w:sz w:val="18"/>
                <w:szCs w:val="18"/>
              </w:rPr>
            </w:pPr>
            <w:r w:rsidRPr="00084AFB">
              <w:rPr>
                <w:rFonts w:cs="Arial"/>
                <w:sz w:val="18"/>
                <w:szCs w:val="18"/>
              </w:rPr>
              <w:t>Dual occupancy;</w:t>
            </w:r>
          </w:p>
          <w:p w14:paraId="78580EEE" w14:textId="77777777" w:rsidR="00AB2BA4" w:rsidRPr="00084AFB" w:rsidRDefault="00AB2BA4" w:rsidP="00AB2BA4">
            <w:pPr>
              <w:numPr>
                <w:ilvl w:val="0"/>
                <w:numId w:val="40"/>
              </w:numPr>
              <w:tabs>
                <w:tab w:val="clear" w:pos="720"/>
              </w:tabs>
              <w:ind w:left="423" w:hanging="423"/>
              <w:rPr>
                <w:rFonts w:cs="Arial"/>
                <w:sz w:val="18"/>
                <w:szCs w:val="18"/>
              </w:rPr>
            </w:pPr>
            <w:r w:rsidRPr="00084AFB">
              <w:rPr>
                <w:rFonts w:cs="Arial"/>
                <w:sz w:val="18"/>
                <w:szCs w:val="18"/>
              </w:rPr>
              <w:t>Dwelling house;</w:t>
            </w:r>
          </w:p>
          <w:p w14:paraId="6541B3C6"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Multiple dwelling;</w:t>
            </w:r>
          </w:p>
          <w:p w14:paraId="249AAD4A"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Relocatable home park;</w:t>
            </w:r>
          </w:p>
          <w:p w14:paraId="5CF6BB1C"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Residential care facility;</w:t>
            </w:r>
          </w:p>
          <w:p w14:paraId="0075091A"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Retirement facility;</w:t>
            </w:r>
          </w:p>
          <w:p w14:paraId="24EADB73"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Rooming accommodation;</w:t>
            </w:r>
          </w:p>
          <w:p w14:paraId="60F19CAC" w14:textId="77777777" w:rsidR="00AB2BA4" w:rsidRPr="00084AFB" w:rsidRDefault="00AB2BA4" w:rsidP="00AB2BA4">
            <w:pPr>
              <w:pStyle w:val="CommentText"/>
              <w:numPr>
                <w:ilvl w:val="0"/>
                <w:numId w:val="40"/>
              </w:numPr>
              <w:tabs>
                <w:tab w:val="clear" w:pos="720"/>
              </w:tabs>
              <w:ind w:left="423" w:hanging="423"/>
              <w:rPr>
                <w:sz w:val="18"/>
                <w:szCs w:val="18"/>
              </w:rPr>
            </w:pPr>
            <w:r w:rsidRPr="00084AFB">
              <w:rPr>
                <w:sz w:val="18"/>
                <w:szCs w:val="18"/>
              </w:rPr>
              <w:t xml:space="preserve">Short-term accommodation; </w:t>
            </w:r>
            <w:r>
              <w:rPr>
                <w:sz w:val="18"/>
                <w:szCs w:val="18"/>
              </w:rPr>
              <w:t>or</w:t>
            </w:r>
          </w:p>
          <w:p w14:paraId="30146C48" w14:textId="77777777" w:rsidR="00AB2BA4" w:rsidRPr="00084AFB" w:rsidRDefault="00AB2BA4" w:rsidP="00AB2BA4">
            <w:pPr>
              <w:numPr>
                <w:ilvl w:val="0"/>
                <w:numId w:val="40"/>
              </w:numPr>
              <w:tabs>
                <w:tab w:val="clear" w:pos="720"/>
              </w:tabs>
              <w:ind w:left="423" w:hanging="423"/>
              <w:rPr>
                <w:rFonts w:cs="Arial"/>
                <w:sz w:val="18"/>
                <w:szCs w:val="18"/>
              </w:rPr>
            </w:pPr>
            <w:r w:rsidRPr="00084AFB">
              <w:rPr>
                <w:sz w:val="18"/>
                <w:szCs w:val="18"/>
              </w:rPr>
              <w:t>Tourist park.</w:t>
            </w:r>
          </w:p>
        </w:tc>
        <w:tc>
          <w:tcPr>
            <w:tcW w:w="4648" w:type="dxa"/>
          </w:tcPr>
          <w:p w14:paraId="3B5081A0" w14:textId="5C1D9427"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B2BA4" w:rsidRPr="00084AFB" w14:paraId="10D2CCA6" w14:textId="1A899ED6" w:rsidTr="003217E2">
        <w:tc>
          <w:tcPr>
            <w:tcW w:w="4872" w:type="dxa"/>
            <w:shd w:val="clear" w:color="auto" w:fill="auto"/>
          </w:tcPr>
          <w:p w14:paraId="5B58BB79" w14:textId="77777777" w:rsidR="00AB2BA4" w:rsidRPr="004D3D5B" w:rsidRDefault="00AB2BA4" w:rsidP="003352DF">
            <w:pPr>
              <w:pStyle w:val="ListParagraph"/>
              <w:ind w:left="0"/>
              <w:rPr>
                <w:b/>
                <w:sz w:val="18"/>
                <w:szCs w:val="18"/>
              </w:rPr>
            </w:pPr>
            <w:r w:rsidRPr="004D3D5B">
              <w:rPr>
                <w:b/>
                <w:sz w:val="18"/>
                <w:szCs w:val="18"/>
              </w:rPr>
              <w:t>PO2</w:t>
            </w:r>
          </w:p>
          <w:p w14:paraId="761CFAC1" w14:textId="77777777" w:rsidR="00AB2BA4" w:rsidRPr="00084AFB" w:rsidRDefault="00AB2BA4" w:rsidP="003352DF">
            <w:pPr>
              <w:pStyle w:val="ListParagraph"/>
              <w:ind w:left="0"/>
              <w:rPr>
                <w:rFonts w:cs="Arial"/>
                <w:b/>
                <w:sz w:val="18"/>
                <w:szCs w:val="18"/>
              </w:rPr>
            </w:pPr>
            <w:r w:rsidRPr="00084AFB">
              <w:rPr>
                <w:sz w:val="18"/>
                <w:szCs w:val="18"/>
              </w:rPr>
              <w:t>Short-term accommodation and tourist parks are located in tourism focus areas, within or adjacent to activity centres, or in other locations that are highly accessible and desirable to tourists or travellers, whilst avoiding locations that are predominantly used for permanent living.</w:t>
            </w:r>
          </w:p>
        </w:tc>
        <w:tc>
          <w:tcPr>
            <w:tcW w:w="4424" w:type="dxa"/>
            <w:shd w:val="clear" w:color="auto" w:fill="auto"/>
          </w:tcPr>
          <w:p w14:paraId="50CCAA3C" w14:textId="77777777" w:rsidR="00AB2BA4" w:rsidRPr="00084AFB" w:rsidRDefault="00AB2BA4" w:rsidP="003352DF">
            <w:pPr>
              <w:pStyle w:val="ListParagraph"/>
              <w:ind w:left="0"/>
              <w:rPr>
                <w:rFonts w:cs="Arial"/>
                <w:b/>
                <w:sz w:val="18"/>
                <w:szCs w:val="18"/>
              </w:rPr>
            </w:pPr>
            <w:r w:rsidRPr="00084AFB">
              <w:rPr>
                <w:rFonts w:cs="Arial"/>
                <w:b/>
                <w:sz w:val="18"/>
                <w:szCs w:val="18"/>
              </w:rPr>
              <w:t>AO2</w:t>
            </w:r>
          </w:p>
          <w:p w14:paraId="56AB9DD5" w14:textId="77777777" w:rsidR="00AB2BA4" w:rsidRPr="00084AFB" w:rsidRDefault="00AB2BA4" w:rsidP="003352DF">
            <w:pPr>
              <w:pStyle w:val="ListParagraph"/>
              <w:ind w:left="0"/>
              <w:rPr>
                <w:rFonts w:cs="Arial"/>
                <w:b/>
                <w:sz w:val="18"/>
                <w:szCs w:val="18"/>
              </w:rPr>
            </w:pPr>
            <w:r w:rsidRPr="00E33230">
              <w:rPr>
                <w:rFonts w:cs="Arial"/>
                <w:sz w:val="18"/>
                <w:szCs w:val="18"/>
              </w:rPr>
              <w:t xml:space="preserve">No acceptable outcome provided.  </w:t>
            </w:r>
          </w:p>
        </w:tc>
        <w:tc>
          <w:tcPr>
            <w:tcW w:w="4648" w:type="dxa"/>
          </w:tcPr>
          <w:p w14:paraId="2C9F24B3" w14:textId="0A99351E"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15991F24" w14:textId="704FC044" w:rsidTr="008426B3">
        <w:tc>
          <w:tcPr>
            <w:tcW w:w="13944" w:type="dxa"/>
            <w:gridSpan w:val="3"/>
            <w:shd w:val="clear" w:color="auto" w:fill="D9D9D9"/>
          </w:tcPr>
          <w:p w14:paraId="3E8FD75B" w14:textId="5E0912B9" w:rsidR="003217E2" w:rsidRPr="00084AFB" w:rsidRDefault="003217E2" w:rsidP="003352DF">
            <w:pPr>
              <w:pStyle w:val="ListParagraph"/>
              <w:ind w:left="0"/>
              <w:rPr>
                <w:rFonts w:cs="Arial"/>
                <w:b/>
                <w:i/>
                <w:sz w:val="18"/>
                <w:szCs w:val="18"/>
              </w:rPr>
            </w:pPr>
            <w:r w:rsidRPr="00084AFB">
              <w:rPr>
                <w:rFonts w:cs="Arial"/>
                <w:b/>
                <w:i/>
                <w:sz w:val="18"/>
                <w:szCs w:val="18"/>
              </w:rPr>
              <w:t>Non-residential uses</w:t>
            </w:r>
          </w:p>
        </w:tc>
      </w:tr>
      <w:tr w:rsidR="00AB2BA4" w:rsidRPr="00084AFB" w14:paraId="56628510" w14:textId="2F459234" w:rsidTr="003217E2">
        <w:tc>
          <w:tcPr>
            <w:tcW w:w="4872" w:type="dxa"/>
            <w:shd w:val="clear" w:color="auto" w:fill="auto"/>
          </w:tcPr>
          <w:p w14:paraId="2E4C6E71" w14:textId="77777777" w:rsidR="00AB2BA4" w:rsidRPr="00084AFB" w:rsidRDefault="00AB2BA4" w:rsidP="003352DF">
            <w:pPr>
              <w:pStyle w:val="ListParagraph"/>
              <w:ind w:left="0"/>
              <w:rPr>
                <w:rFonts w:cs="Arial"/>
                <w:b/>
                <w:sz w:val="18"/>
                <w:szCs w:val="18"/>
              </w:rPr>
            </w:pPr>
            <w:r w:rsidRPr="00084AFB">
              <w:rPr>
                <w:rFonts w:cs="Arial"/>
                <w:b/>
                <w:sz w:val="18"/>
                <w:szCs w:val="18"/>
              </w:rPr>
              <w:t>PO</w:t>
            </w:r>
            <w:r>
              <w:rPr>
                <w:rFonts w:cs="Arial"/>
                <w:b/>
                <w:sz w:val="18"/>
                <w:szCs w:val="18"/>
              </w:rPr>
              <w:t>3</w:t>
            </w:r>
          </w:p>
          <w:p w14:paraId="45359EAC" w14:textId="77777777" w:rsidR="00AB2BA4" w:rsidRPr="00084AFB" w:rsidRDefault="00AB2BA4" w:rsidP="003352DF">
            <w:pPr>
              <w:pStyle w:val="ListParagraph"/>
              <w:ind w:left="0"/>
              <w:rPr>
                <w:rFonts w:cs="Arial"/>
                <w:sz w:val="18"/>
                <w:szCs w:val="18"/>
              </w:rPr>
            </w:pPr>
            <w:r w:rsidRPr="00084AFB">
              <w:rPr>
                <w:rFonts w:cs="Arial"/>
                <w:sz w:val="18"/>
                <w:szCs w:val="18"/>
              </w:rPr>
              <w:t>Except where otherwise provided for in a zone precinct, a limited range of non-residential activities may be established in the Medium density residential zone, provided that these activities:-</w:t>
            </w:r>
          </w:p>
          <w:p w14:paraId="3514FA1C" w14:textId="77777777" w:rsidR="00AB2BA4" w:rsidRPr="00084AFB" w:rsidRDefault="00AB2BA4" w:rsidP="00AB2BA4">
            <w:pPr>
              <w:numPr>
                <w:ilvl w:val="0"/>
                <w:numId w:val="41"/>
              </w:numPr>
              <w:tabs>
                <w:tab w:val="clear" w:pos="720"/>
              </w:tabs>
              <w:ind w:left="426" w:hanging="426"/>
              <w:rPr>
                <w:rFonts w:cs="Arial"/>
                <w:sz w:val="18"/>
                <w:szCs w:val="18"/>
              </w:rPr>
            </w:pPr>
            <w:r w:rsidRPr="00084AFB">
              <w:rPr>
                <w:rFonts w:cs="Arial"/>
                <w:sz w:val="18"/>
                <w:szCs w:val="18"/>
              </w:rPr>
              <w:t>directly support the day to day needs of the immediate residential community;</w:t>
            </w:r>
          </w:p>
          <w:p w14:paraId="00CBE4E9" w14:textId="77777777" w:rsidR="00AB2BA4" w:rsidRPr="00084AFB" w:rsidRDefault="00AB2BA4" w:rsidP="00AB2BA4">
            <w:pPr>
              <w:numPr>
                <w:ilvl w:val="0"/>
                <w:numId w:val="41"/>
              </w:numPr>
              <w:tabs>
                <w:tab w:val="clear" w:pos="720"/>
              </w:tabs>
              <w:ind w:left="426" w:hanging="426"/>
              <w:rPr>
                <w:rFonts w:cs="Arial"/>
                <w:sz w:val="18"/>
                <w:szCs w:val="18"/>
              </w:rPr>
            </w:pPr>
            <w:r w:rsidRPr="00084AFB">
              <w:rPr>
                <w:rFonts w:cs="Arial"/>
                <w:sz w:val="18"/>
                <w:szCs w:val="18"/>
              </w:rPr>
              <w:t>are of a small-scale and low intensity;</w:t>
            </w:r>
          </w:p>
          <w:p w14:paraId="29195EDE" w14:textId="77777777" w:rsidR="00AB2BA4" w:rsidRPr="00084AFB" w:rsidRDefault="00AB2BA4" w:rsidP="00AB2BA4">
            <w:pPr>
              <w:numPr>
                <w:ilvl w:val="0"/>
                <w:numId w:val="41"/>
              </w:numPr>
              <w:tabs>
                <w:tab w:val="clear" w:pos="720"/>
              </w:tabs>
              <w:ind w:left="426" w:hanging="426"/>
              <w:rPr>
                <w:rFonts w:cs="Arial"/>
                <w:sz w:val="18"/>
                <w:szCs w:val="18"/>
              </w:rPr>
            </w:pPr>
            <w:r w:rsidRPr="00084AFB">
              <w:rPr>
                <w:rFonts w:cs="Arial"/>
                <w:sz w:val="18"/>
                <w:szCs w:val="18"/>
              </w:rPr>
              <w:t>are compatible with the prevailing residential character and amenity of the local area;</w:t>
            </w:r>
          </w:p>
          <w:p w14:paraId="4D59222C" w14:textId="77777777" w:rsidR="00AB2BA4" w:rsidRPr="00084AFB" w:rsidRDefault="00AB2BA4" w:rsidP="00AB2BA4">
            <w:pPr>
              <w:numPr>
                <w:ilvl w:val="0"/>
                <w:numId w:val="41"/>
              </w:numPr>
              <w:tabs>
                <w:tab w:val="clear" w:pos="720"/>
              </w:tabs>
              <w:ind w:left="426" w:hanging="426"/>
              <w:rPr>
                <w:rFonts w:cs="Arial"/>
                <w:sz w:val="18"/>
                <w:szCs w:val="18"/>
              </w:rPr>
            </w:pPr>
            <w:r w:rsidRPr="00084AFB">
              <w:rPr>
                <w:rFonts w:cs="Arial"/>
                <w:sz w:val="18"/>
                <w:szCs w:val="18"/>
              </w:rPr>
              <w:lastRenderedPageBreak/>
              <w:t>wherever possible, are co-located with other non-residential uses; and</w:t>
            </w:r>
          </w:p>
          <w:p w14:paraId="6F80C7D0" w14:textId="77777777" w:rsidR="00AB2BA4" w:rsidRDefault="00AB2BA4" w:rsidP="00AB2BA4">
            <w:pPr>
              <w:numPr>
                <w:ilvl w:val="0"/>
                <w:numId w:val="41"/>
              </w:numPr>
              <w:tabs>
                <w:tab w:val="clear" w:pos="720"/>
              </w:tabs>
              <w:ind w:left="426" w:hanging="426"/>
              <w:rPr>
                <w:rFonts w:cs="Arial"/>
                <w:sz w:val="18"/>
                <w:szCs w:val="18"/>
              </w:rPr>
            </w:pPr>
            <w:r w:rsidRPr="00084AFB">
              <w:rPr>
                <w:rFonts w:cs="Arial"/>
                <w:sz w:val="18"/>
                <w:szCs w:val="18"/>
              </w:rPr>
              <w:t xml:space="preserve">are accessible to the population they serve and are located on the major road network rather than local residential streets. </w:t>
            </w:r>
          </w:p>
          <w:p w14:paraId="3A7E6635" w14:textId="77777777" w:rsidR="00AB2BA4" w:rsidRDefault="00AB2BA4" w:rsidP="003352DF">
            <w:pPr>
              <w:rPr>
                <w:rFonts w:cs="Arial"/>
                <w:sz w:val="18"/>
                <w:szCs w:val="18"/>
              </w:rPr>
            </w:pPr>
          </w:p>
          <w:p w14:paraId="1E23CB9C" w14:textId="77777777" w:rsidR="00AB2BA4" w:rsidRDefault="00AB2BA4" w:rsidP="003352DF">
            <w:pPr>
              <w:rPr>
                <w:rFonts w:cs="Arial"/>
                <w:sz w:val="16"/>
                <w:szCs w:val="16"/>
              </w:rPr>
            </w:pPr>
            <w:r w:rsidRPr="00E33230">
              <w:rPr>
                <w:rFonts w:cs="Arial"/>
                <w:sz w:val="16"/>
                <w:szCs w:val="16"/>
              </w:rPr>
              <w:t>Note—such non-residential activities include community uses, emergency services, sales offices, shops (limited to corner stores) and utility installations (limited to local utilities)</w:t>
            </w:r>
            <w:r>
              <w:rPr>
                <w:rFonts w:cs="Arial"/>
                <w:sz w:val="16"/>
                <w:szCs w:val="16"/>
              </w:rPr>
              <w:t>.</w:t>
            </w:r>
          </w:p>
          <w:p w14:paraId="5E46D6AB" w14:textId="77777777" w:rsidR="00AB2BA4" w:rsidRDefault="00AB2BA4" w:rsidP="003352DF">
            <w:pPr>
              <w:rPr>
                <w:rFonts w:cs="Arial"/>
                <w:sz w:val="16"/>
                <w:szCs w:val="16"/>
              </w:rPr>
            </w:pPr>
          </w:p>
          <w:p w14:paraId="5EA64466" w14:textId="77777777" w:rsidR="00AB2BA4" w:rsidRPr="00E33230" w:rsidRDefault="00AB2BA4" w:rsidP="003352DF">
            <w:pPr>
              <w:rPr>
                <w:rFonts w:cs="Arial"/>
                <w:sz w:val="16"/>
                <w:szCs w:val="16"/>
              </w:rPr>
            </w:pPr>
            <w:r w:rsidRPr="00084AFB">
              <w:rPr>
                <w:rFonts w:cs="Arial"/>
                <w:sz w:val="16"/>
                <w:szCs w:val="16"/>
              </w:rPr>
              <w:t>Editor’s note—as provided for elsewhere in this code, a wider range of non-residential activities may be established in the identified zone precincts.</w:t>
            </w:r>
          </w:p>
        </w:tc>
        <w:tc>
          <w:tcPr>
            <w:tcW w:w="4424" w:type="dxa"/>
            <w:shd w:val="clear" w:color="auto" w:fill="auto"/>
          </w:tcPr>
          <w:p w14:paraId="2B9AD493" w14:textId="77777777" w:rsidR="00AB2BA4" w:rsidRPr="00084AFB" w:rsidRDefault="00AB2BA4" w:rsidP="003352DF">
            <w:pPr>
              <w:pStyle w:val="ListParagraph"/>
              <w:ind w:left="0"/>
              <w:rPr>
                <w:rFonts w:cs="Arial"/>
                <w:b/>
                <w:sz w:val="18"/>
                <w:szCs w:val="18"/>
              </w:rPr>
            </w:pPr>
            <w:r w:rsidRPr="00084AFB">
              <w:rPr>
                <w:rFonts w:cs="Arial"/>
                <w:b/>
                <w:sz w:val="18"/>
                <w:szCs w:val="18"/>
              </w:rPr>
              <w:lastRenderedPageBreak/>
              <w:t>AO</w:t>
            </w:r>
            <w:r>
              <w:rPr>
                <w:rFonts w:cs="Arial"/>
                <w:b/>
                <w:sz w:val="18"/>
                <w:szCs w:val="18"/>
              </w:rPr>
              <w:t>3</w:t>
            </w:r>
          </w:p>
          <w:p w14:paraId="6DD9C4DF" w14:textId="77777777" w:rsidR="00AB2BA4" w:rsidRPr="00E33230" w:rsidRDefault="00AB2BA4" w:rsidP="003352DF">
            <w:pPr>
              <w:pStyle w:val="ListParagraph"/>
              <w:ind w:left="0"/>
              <w:rPr>
                <w:rFonts w:cs="Arial"/>
                <w:sz w:val="18"/>
                <w:szCs w:val="18"/>
              </w:rPr>
            </w:pPr>
            <w:r w:rsidRPr="00E33230">
              <w:rPr>
                <w:rFonts w:cs="Arial"/>
                <w:sz w:val="18"/>
                <w:szCs w:val="18"/>
              </w:rPr>
              <w:t xml:space="preserve">No acceptable outcome provided.  </w:t>
            </w:r>
          </w:p>
        </w:tc>
        <w:tc>
          <w:tcPr>
            <w:tcW w:w="4648" w:type="dxa"/>
          </w:tcPr>
          <w:p w14:paraId="1B06AE0F" w14:textId="4C4FB4BF"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7FDF8DF4" w14:textId="6A502EC4" w:rsidTr="00433F85">
        <w:tc>
          <w:tcPr>
            <w:tcW w:w="13944" w:type="dxa"/>
            <w:gridSpan w:val="3"/>
            <w:shd w:val="clear" w:color="auto" w:fill="D9D9D9"/>
          </w:tcPr>
          <w:p w14:paraId="211F13AF" w14:textId="241047C8" w:rsidR="003217E2" w:rsidRDefault="003217E2" w:rsidP="003352DF">
            <w:pPr>
              <w:pStyle w:val="ListParagraph"/>
              <w:ind w:left="0"/>
              <w:rPr>
                <w:rFonts w:cs="Arial"/>
                <w:b/>
                <w:i/>
                <w:sz w:val="18"/>
                <w:szCs w:val="18"/>
              </w:rPr>
            </w:pPr>
            <w:r>
              <w:rPr>
                <w:rFonts w:cs="Arial"/>
                <w:b/>
                <w:i/>
                <w:sz w:val="18"/>
                <w:szCs w:val="18"/>
              </w:rPr>
              <w:t>Building h</w:t>
            </w:r>
            <w:r w:rsidRPr="00084AFB">
              <w:rPr>
                <w:rFonts w:cs="Arial"/>
                <w:b/>
                <w:i/>
                <w:sz w:val="18"/>
                <w:szCs w:val="18"/>
              </w:rPr>
              <w:t>eight</w:t>
            </w:r>
            <w:r>
              <w:rPr>
                <w:rFonts w:cs="Arial"/>
                <w:b/>
                <w:i/>
                <w:sz w:val="18"/>
                <w:szCs w:val="18"/>
              </w:rPr>
              <w:t xml:space="preserve"> and built form</w:t>
            </w:r>
          </w:p>
        </w:tc>
      </w:tr>
      <w:tr w:rsidR="00AB2BA4" w:rsidRPr="00084AFB" w14:paraId="361DC8CF" w14:textId="4042EB6E" w:rsidTr="003217E2">
        <w:tc>
          <w:tcPr>
            <w:tcW w:w="4872" w:type="dxa"/>
            <w:shd w:val="clear" w:color="auto" w:fill="auto"/>
          </w:tcPr>
          <w:p w14:paraId="3E55CCB1" w14:textId="77777777" w:rsidR="00AB2BA4" w:rsidRDefault="00AB2BA4" w:rsidP="003352DF">
            <w:pPr>
              <w:rPr>
                <w:b/>
                <w:sz w:val="18"/>
                <w:szCs w:val="18"/>
              </w:rPr>
            </w:pPr>
            <w:r>
              <w:rPr>
                <w:b/>
                <w:sz w:val="18"/>
                <w:szCs w:val="18"/>
              </w:rPr>
              <w:t>PO4</w:t>
            </w:r>
          </w:p>
          <w:p w14:paraId="7C9A704C" w14:textId="77777777" w:rsidR="00AB2BA4" w:rsidRDefault="00AB2BA4" w:rsidP="00AB2BA4">
            <w:pPr>
              <w:pStyle w:val="ListParagraph"/>
              <w:numPr>
                <w:ilvl w:val="0"/>
                <w:numId w:val="149"/>
              </w:numPr>
              <w:ind w:left="394" w:hanging="394"/>
              <w:rPr>
                <w:sz w:val="18"/>
                <w:szCs w:val="18"/>
              </w:rPr>
            </w:pPr>
            <w:r w:rsidRPr="00770B2A">
              <w:rPr>
                <w:sz w:val="18"/>
                <w:szCs w:val="18"/>
              </w:rPr>
              <w:t>Residential development has a maximum building height of 3 storeys and 11m.</w:t>
            </w:r>
          </w:p>
          <w:p w14:paraId="4BD3172F" w14:textId="77777777" w:rsidR="00AB2BA4" w:rsidRDefault="00AB2BA4" w:rsidP="003352DF">
            <w:pPr>
              <w:pStyle w:val="ListParagraph"/>
              <w:ind w:left="394"/>
              <w:rPr>
                <w:sz w:val="18"/>
                <w:szCs w:val="18"/>
              </w:rPr>
            </w:pPr>
          </w:p>
          <w:p w14:paraId="7C2D3E69" w14:textId="77777777" w:rsidR="00AB2BA4" w:rsidRPr="00FA6353" w:rsidRDefault="00AB2BA4" w:rsidP="00AB2BA4">
            <w:pPr>
              <w:pStyle w:val="ListParagraph"/>
              <w:numPr>
                <w:ilvl w:val="0"/>
                <w:numId w:val="149"/>
              </w:numPr>
              <w:ind w:left="394" w:hanging="394"/>
              <w:rPr>
                <w:sz w:val="18"/>
                <w:szCs w:val="18"/>
              </w:rPr>
            </w:pPr>
            <w:r w:rsidRPr="00FA6353">
              <w:rPr>
                <w:sz w:val="18"/>
                <w:szCs w:val="18"/>
              </w:rPr>
              <w:t xml:space="preserve">Non-residential development has a maximum </w:t>
            </w:r>
            <w:r w:rsidRPr="00FA6353">
              <w:rPr>
                <w:rFonts w:cs="Arial"/>
                <w:bCs/>
                <w:sz w:val="18"/>
                <w:szCs w:val="18"/>
              </w:rPr>
              <w:t>building height of:-</w:t>
            </w:r>
          </w:p>
          <w:p w14:paraId="6EC04843" w14:textId="77777777" w:rsidR="00AB2BA4" w:rsidRDefault="00AB2BA4" w:rsidP="00AB2BA4">
            <w:pPr>
              <w:pStyle w:val="ListParagraph"/>
              <w:keepNext/>
              <w:numPr>
                <w:ilvl w:val="1"/>
                <w:numId w:val="150"/>
              </w:numPr>
              <w:tabs>
                <w:tab w:val="clear" w:pos="1440"/>
              </w:tabs>
              <w:ind w:left="820" w:hanging="426"/>
              <w:rPr>
                <w:rFonts w:cs="Arial"/>
                <w:bCs/>
                <w:sz w:val="18"/>
                <w:szCs w:val="18"/>
              </w:rPr>
            </w:pPr>
            <w:r>
              <w:rPr>
                <w:rFonts w:cs="Arial"/>
                <w:bCs/>
                <w:sz w:val="18"/>
                <w:szCs w:val="18"/>
              </w:rPr>
              <w:t>2 storeys and 8.5m; or</w:t>
            </w:r>
          </w:p>
          <w:p w14:paraId="61A137EF" w14:textId="77777777" w:rsidR="00AB2BA4" w:rsidRPr="00422EEA" w:rsidRDefault="00AB2BA4" w:rsidP="00AB2BA4">
            <w:pPr>
              <w:pStyle w:val="ListParagraph"/>
              <w:keepNext/>
              <w:numPr>
                <w:ilvl w:val="1"/>
                <w:numId w:val="150"/>
              </w:numPr>
              <w:tabs>
                <w:tab w:val="clear" w:pos="1440"/>
              </w:tabs>
              <w:ind w:left="820" w:hanging="426"/>
              <w:rPr>
                <w:rFonts w:cs="Arial"/>
                <w:bCs/>
                <w:sz w:val="18"/>
                <w:szCs w:val="18"/>
              </w:rPr>
            </w:pPr>
            <w:r w:rsidRPr="00FA6353">
              <w:rPr>
                <w:rFonts w:cs="Arial"/>
                <w:bCs/>
                <w:sz w:val="18"/>
                <w:szCs w:val="18"/>
              </w:rPr>
              <w:t>3 storeys and 11m if located in Precinct MDRZ1 (Bundaberg West medical/health hub).</w:t>
            </w:r>
          </w:p>
        </w:tc>
        <w:tc>
          <w:tcPr>
            <w:tcW w:w="4424" w:type="dxa"/>
            <w:shd w:val="clear" w:color="auto" w:fill="auto"/>
          </w:tcPr>
          <w:p w14:paraId="00EBC6F0" w14:textId="77777777" w:rsidR="00AB2BA4" w:rsidRPr="00084AFB" w:rsidRDefault="00AB2BA4" w:rsidP="003352DF">
            <w:pPr>
              <w:pStyle w:val="ListParagraph"/>
              <w:ind w:left="0"/>
              <w:rPr>
                <w:rFonts w:cs="Arial"/>
                <w:b/>
                <w:sz w:val="18"/>
                <w:szCs w:val="18"/>
              </w:rPr>
            </w:pPr>
            <w:r w:rsidRPr="00084AFB">
              <w:rPr>
                <w:rFonts w:cs="Arial"/>
                <w:b/>
                <w:sz w:val="18"/>
                <w:szCs w:val="18"/>
              </w:rPr>
              <w:t>AO</w:t>
            </w:r>
            <w:r>
              <w:rPr>
                <w:rFonts w:cs="Arial"/>
                <w:b/>
                <w:sz w:val="18"/>
                <w:szCs w:val="18"/>
              </w:rPr>
              <w:t>4</w:t>
            </w:r>
          </w:p>
          <w:p w14:paraId="703B8302" w14:textId="77777777" w:rsidR="00AB2BA4" w:rsidRPr="002D628F" w:rsidRDefault="00AB2BA4" w:rsidP="003352DF">
            <w:pPr>
              <w:pStyle w:val="ListParagraph"/>
              <w:ind w:left="0"/>
            </w:pPr>
            <w:r>
              <w:rPr>
                <w:rFonts w:cs="Arial"/>
                <w:sz w:val="18"/>
                <w:szCs w:val="18"/>
              </w:rPr>
              <w:t>No acceptable outcome provided.</w:t>
            </w:r>
          </w:p>
        </w:tc>
        <w:tc>
          <w:tcPr>
            <w:tcW w:w="4648" w:type="dxa"/>
          </w:tcPr>
          <w:p w14:paraId="624EA00B" w14:textId="30A959F2"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B2BA4" w:rsidRPr="00084AFB" w14:paraId="2D09A2EC" w14:textId="7D5EB1F7" w:rsidTr="003217E2">
        <w:tc>
          <w:tcPr>
            <w:tcW w:w="4872" w:type="dxa"/>
            <w:shd w:val="clear" w:color="auto" w:fill="auto"/>
          </w:tcPr>
          <w:p w14:paraId="2FAD6D90" w14:textId="77777777" w:rsidR="00AB2BA4" w:rsidRPr="00084AFB" w:rsidRDefault="00AB2BA4" w:rsidP="003352DF">
            <w:pPr>
              <w:pStyle w:val="ListParagraph"/>
              <w:keepNext/>
              <w:ind w:left="0"/>
              <w:rPr>
                <w:rFonts w:cs="Arial"/>
                <w:b/>
                <w:sz w:val="18"/>
                <w:szCs w:val="18"/>
              </w:rPr>
            </w:pPr>
            <w:r w:rsidRPr="00084AFB">
              <w:rPr>
                <w:rFonts w:cs="Arial"/>
                <w:b/>
                <w:sz w:val="18"/>
                <w:szCs w:val="18"/>
              </w:rPr>
              <w:t>PO</w:t>
            </w:r>
            <w:r>
              <w:rPr>
                <w:rFonts w:cs="Arial"/>
                <w:b/>
                <w:sz w:val="18"/>
                <w:szCs w:val="18"/>
              </w:rPr>
              <w:t>5</w:t>
            </w:r>
          </w:p>
          <w:p w14:paraId="2B510847" w14:textId="77777777" w:rsidR="00AB2BA4" w:rsidRPr="00084AFB" w:rsidRDefault="00AB2BA4" w:rsidP="003352DF">
            <w:pPr>
              <w:pStyle w:val="ListParagraph"/>
              <w:keepNext/>
              <w:ind w:left="0"/>
              <w:rPr>
                <w:sz w:val="18"/>
                <w:szCs w:val="18"/>
              </w:rPr>
            </w:pPr>
            <w:r w:rsidRPr="00084AFB">
              <w:rPr>
                <w:sz w:val="18"/>
                <w:szCs w:val="18"/>
              </w:rPr>
              <w:t xml:space="preserve">Development has </w:t>
            </w:r>
            <w:r>
              <w:rPr>
                <w:sz w:val="18"/>
                <w:szCs w:val="18"/>
              </w:rPr>
              <w:t xml:space="preserve">a built form and scale </w:t>
            </w:r>
            <w:r w:rsidRPr="00084AFB">
              <w:rPr>
                <w:sz w:val="18"/>
                <w:szCs w:val="18"/>
              </w:rPr>
              <w:t xml:space="preserve">that is compatible with the existing and intended residential character of the </w:t>
            </w:r>
            <w:r>
              <w:rPr>
                <w:sz w:val="18"/>
                <w:szCs w:val="18"/>
              </w:rPr>
              <w:t>zone</w:t>
            </w:r>
            <w:r w:rsidRPr="00084AFB">
              <w:rPr>
                <w:sz w:val="18"/>
                <w:szCs w:val="18"/>
              </w:rPr>
              <w:t>, positively contributes to the streetscape and maintains or provides a high level of residential amenity.</w:t>
            </w:r>
          </w:p>
          <w:p w14:paraId="5EB752E6" w14:textId="77777777" w:rsidR="00AB2BA4" w:rsidRPr="00084AFB" w:rsidRDefault="00AB2BA4" w:rsidP="003352DF">
            <w:pPr>
              <w:pStyle w:val="ListParagraph"/>
              <w:keepNext/>
              <w:ind w:left="0"/>
              <w:rPr>
                <w:sz w:val="18"/>
                <w:szCs w:val="18"/>
              </w:rPr>
            </w:pPr>
          </w:p>
          <w:p w14:paraId="39F429DB" w14:textId="77777777" w:rsidR="00AB2BA4" w:rsidRPr="00084AFB" w:rsidRDefault="00AB2BA4" w:rsidP="003352DF">
            <w:pPr>
              <w:keepNext/>
              <w:rPr>
                <w:sz w:val="16"/>
                <w:szCs w:val="16"/>
              </w:rPr>
            </w:pPr>
            <w:r w:rsidRPr="00084AFB">
              <w:rPr>
                <w:sz w:val="16"/>
                <w:szCs w:val="16"/>
              </w:rPr>
              <w:t>Note—in assessing whether development maintains or provides a high level of residential amenity, the assessment manager will consider both the potential impacts on the amenity of nearby residents and premises, and the residential amenity for future residents of the proposed development, having regard to (amongst other things):-</w:t>
            </w:r>
          </w:p>
          <w:p w14:paraId="66F68A67" w14:textId="77777777" w:rsidR="00AB2BA4" w:rsidRPr="00084AFB" w:rsidRDefault="00AB2BA4" w:rsidP="00AB2BA4">
            <w:pPr>
              <w:keepNext/>
              <w:numPr>
                <w:ilvl w:val="0"/>
                <w:numId w:val="42"/>
              </w:numPr>
              <w:rPr>
                <w:sz w:val="16"/>
                <w:szCs w:val="16"/>
              </w:rPr>
            </w:pPr>
            <w:r w:rsidRPr="00084AFB">
              <w:rPr>
                <w:sz w:val="16"/>
                <w:szCs w:val="16"/>
              </w:rPr>
              <w:t>adequate day light and ventilation to habitable rooms, the extent and duration of any overshadowing and other microclimatic impacts;</w:t>
            </w:r>
          </w:p>
          <w:p w14:paraId="1B287513" w14:textId="77777777" w:rsidR="00AB2BA4" w:rsidRPr="00084AFB" w:rsidRDefault="00AB2BA4" w:rsidP="00AB2BA4">
            <w:pPr>
              <w:keepNext/>
              <w:numPr>
                <w:ilvl w:val="0"/>
                <w:numId w:val="42"/>
              </w:numPr>
              <w:rPr>
                <w:sz w:val="18"/>
                <w:szCs w:val="18"/>
              </w:rPr>
            </w:pPr>
            <w:r w:rsidRPr="00084AFB">
              <w:rPr>
                <w:sz w:val="16"/>
                <w:szCs w:val="16"/>
              </w:rPr>
              <w:t>privacy and overlooking impacts; and</w:t>
            </w:r>
          </w:p>
          <w:p w14:paraId="7A2023B4" w14:textId="169306B7" w:rsidR="003217E2" w:rsidRPr="003217E2" w:rsidRDefault="00AB2BA4" w:rsidP="003217E2">
            <w:pPr>
              <w:keepNext/>
              <w:numPr>
                <w:ilvl w:val="0"/>
                <w:numId w:val="42"/>
              </w:numPr>
              <w:rPr>
                <w:sz w:val="18"/>
                <w:szCs w:val="18"/>
              </w:rPr>
            </w:pPr>
            <w:r w:rsidRPr="00084AFB">
              <w:rPr>
                <w:sz w:val="16"/>
                <w:szCs w:val="16"/>
              </w:rPr>
              <w:t>building mass and scale as seen from neighbouring premises, and from the street.</w:t>
            </w:r>
          </w:p>
        </w:tc>
        <w:tc>
          <w:tcPr>
            <w:tcW w:w="4424" w:type="dxa"/>
            <w:shd w:val="clear" w:color="auto" w:fill="auto"/>
          </w:tcPr>
          <w:p w14:paraId="3E06AD5F" w14:textId="77777777" w:rsidR="00AB2BA4" w:rsidRPr="006A3D15" w:rsidRDefault="00AB2BA4" w:rsidP="003352DF">
            <w:pPr>
              <w:pStyle w:val="ListParagraph"/>
              <w:keepNext/>
              <w:ind w:left="0"/>
              <w:rPr>
                <w:rFonts w:cs="Arial"/>
                <w:b/>
                <w:sz w:val="18"/>
                <w:szCs w:val="18"/>
              </w:rPr>
            </w:pPr>
            <w:r w:rsidRPr="006A3D15">
              <w:rPr>
                <w:rFonts w:cs="Arial"/>
                <w:b/>
                <w:sz w:val="18"/>
                <w:szCs w:val="18"/>
              </w:rPr>
              <w:t>AO</w:t>
            </w:r>
            <w:r>
              <w:rPr>
                <w:rFonts w:cs="Arial"/>
                <w:b/>
                <w:sz w:val="18"/>
                <w:szCs w:val="18"/>
              </w:rPr>
              <w:t>5</w:t>
            </w:r>
          </w:p>
          <w:p w14:paraId="2135EE74" w14:textId="77777777" w:rsidR="00AB2BA4" w:rsidRPr="00084AFB" w:rsidRDefault="00AB2BA4" w:rsidP="003352DF">
            <w:pPr>
              <w:pStyle w:val="ListParagraph"/>
              <w:keepNext/>
              <w:ind w:left="0"/>
              <w:rPr>
                <w:rFonts w:cs="Arial"/>
                <w:sz w:val="18"/>
                <w:szCs w:val="18"/>
              </w:rPr>
            </w:pPr>
            <w:r>
              <w:rPr>
                <w:rFonts w:cs="Arial"/>
                <w:sz w:val="18"/>
                <w:szCs w:val="18"/>
              </w:rPr>
              <w:t xml:space="preserve">No acceptable outcome provided. </w:t>
            </w:r>
            <w:r w:rsidRPr="00084AFB">
              <w:rPr>
                <w:rFonts w:cs="Arial"/>
                <w:sz w:val="18"/>
                <w:szCs w:val="18"/>
              </w:rPr>
              <w:t xml:space="preserve"> </w:t>
            </w:r>
          </w:p>
        </w:tc>
        <w:tc>
          <w:tcPr>
            <w:tcW w:w="4648" w:type="dxa"/>
          </w:tcPr>
          <w:p w14:paraId="34DE471E" w14:textId="1FE5D4EF" w:rsidR="00AB2BA4" w:rsidRPr="006A3D15" w:rsidRDefault="003217E2" w:rsidP="003352DF">
            <w:pPr>
              <w:pStyle w:val="ListParagraph"/>
              <w:keepNext/>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B2BA4" w:rsidRPr="00084AFB" w14:paraId="1362FB96" w14:textId="4E5B2370" w:rsidTr="003217E2">
        <w:tc>
          <w:tcPr>
            <w:tcW w:w="4872" w:type="dxa"/>
            <w:shd w:val="clear" w:color="auto" w:fill="auto"/>
          </w:tcPr>
          <w:p w14:paraId="65BBF5D9" w14:textId="77777777" w:rsidR="00AB2BA4" w:rsidRPr="006A3D15" w:rsidRDefault="00AB2BA4" w:rsidP="003352DF">
            <w:pPr>
              <w:rPr>
                <w:b/>
                <w:sz w:val="18"/>
                <w:szCs w:val="18"/>
              </w:rPr>
            </w:pPr>
            <w:r>
              <w:rPr>
                <w:b/>
                <w:sz w:val="18"/>
                <w:szCs w:val="18"/>
              </w:rPr>
              <w:t>PO6</w:t>
            </w:r>
          </w:p>
          <w:p w14:paraId="76D375EC" w14:textId="77777777" w:rsidR="00AB2BA4" w:rsidRPr="00084AFB" w:rsidRDefault="00AB2BA4" w:rsidP="003352DF">
            <w:pPr>
              <w:rPr>
                <w:sz w:val="18"/>
                <w:szCs w:val="18"/>
              </w:rPr>
            </w:pPr>
            <w:r w:rsidRPr="00084AFB">
              <w:rPr>
                <w:sz w:val="18"/>
                <w:szCs w:val="18"/>
              </w:rPr>
              <w:t>Development is sited and designed in a manner which is responsive to the sub-tropical climate</w:t>
            </w:r>
            <w:r>
              <w:rPr>
                <w:sz w:val="18"/>
                <w:szCs w:val="18"/>
              </w:rPr>
              <w:t xml:space="preserve"> and is sympathetic to its local setting by complementing:</w:t>
            </w:r>
            <w:r w:rsidRPr="00084AFB">
              <w:rPr>
                <w:sz w:val="18"/>
                <w:szCs w:val="18"/>
              </w:rPr>
              <w:t>-</w:t>
            </w:r>
          </w:p>
          <w:p w14:paraId="295FD4C0" w14:textId="77777777" w:rsidR="00AB2BA4" w:rsidRPr="00084AFB" w:rsidRDefault="00AB2BA4" w:rsidP="00AB2BA4">
            <w:pPr>
              <w:numPr>
                <w:ilvl w:val="0"/>
                <w:numId w:val="99"/>
              </w:numPr>
              <w:rPr>
                <w:sz w:val="18"/>
                <w:szCs w:val="18"/>
              </w:rPr>
            </w:pPr>
            <w:r w:rsidRPr="00084AFB">
              <w:rPr>
                <w:sz w:val="18"/>
                <w:szCs w:val="18"/>
              </w:rPr>
              <w:lastRenderedPageBreak/>
              <w:t>the traditional Queensland ‘timber and tin’ architectural vernacular where located in a rural town or village; or</w:t>
            </w:r>
          </w:p>
          <w:p w14:paraId="5C718085" w14:textId="77777777" w:rsidR="00AB2BA4" w:rsidRDefault="00AB2BA4" w:rsidP="00AB2BA4">
            <w:pPr>
              <w:numPr>
                <w:ilvl w:val="0"/>
                <w:numId w:val="99"/>
              </w:numPr>
              <w:rPr>
                <w:sz w:val="18"/>
                <w:szCs w:val="18"/>
              </w:rPr>
            </w:pPr>
            <w:r w:rsidRPr="00084AFB">
              <w:rPr>
                <w:sz w:val="18"/>
                <w:szCs w:val="18"/>
              </w:rPr>
              <w:t>the Queensland ‘coastal beach’ vernacular where located in a coastal town or village.</w:t>
            </w:r>
          </w:p>
          <w:p w14:paraId="095C660E" w14:textId="77777777" w:rsidR="00AB2BA4" w:rsidRDefault="00AB2BA4" w:rsidP="003352DF">
            <w:pPr>
              <w:rPr>
                <w:sz w:val="18"/>
                <w:szCs w:val="18"/>
              </w:rPr>
            </w:pPr>
          </w:p>
          <w:p w14:paraId="38C3E49A" w14:textId="77777777" w:rsidR="00AB2BA4" w:rsidRPr="00084AFB" w:rsidRDefault="00AB2BA4" w:rsidP="003352DF">
            <w:pPr>
              <w:pStyle w:val="ListParagraph"/>
              <w:ind w:left="0"/>
              <w:rPr>
                <w:rFonts w:cs="Arial"/>
                <w:b/>
                <w:sz w:val="18"/>
                <w:szCs w:val="18"/>
              </w:rPr>
            </w:pPr>
            <w:r w:rsidRPr="00084AFB">
              <w:rPr>
                <w:sz w:val="16"/>
                <w:szCs w:val="16"/>
              </w:rPr>
              <w:t xml:space="preserve">Editor’s note—the publication </w:t>
            </w:r>
            <w:r w:rsidRPr="00084AFB">
              <w:rPr>
                <w:i/>
                <w:sz w:val="16"/>
                <w:szCs w:val="16"/>
              </w:rPr>
              <w:t>Subtropical Design in South East Queensland – A Handbook for Planners, Developers and Decision Makers</w:t>
            </w:r>
            <w:r w:rsidRPr="00084AFB">
              <w:rPr>
                <w:sz w:val="16"/>
                <w:szCs w:val="16"/>
              </w:rPr>
              <w:t>, prepared by the Centre for Subtropical Design, provides guidance about the application of sub-tropical design principles. These principles are considered to have relevance and applicability to development in the Bundaberg region.</w:t>
            </w:r>
          </w:p>
        </w:tc>
        <w:tc>
          <w:tcPr>
            <w:tcW w:w="4424" w:type="dxa"/>
            <w:shd w:val="clear" w:color="auto" w:fill="auto"/>
          </w:tcPr>
          <w:p w14:paraId="4E25C6A7" w14:textId="77777777" w:rsidR="00AB2BA4" w:rsidRPr="006A3D15" w:rsidRDefault="00AB2BA4" w:rsidP="003352DF">
            <w:pPr>
              <w:pStyle w:val="ListParagraph"/>
              <w:ind w:left="0"/>
              <w:rPr>
                <w:rFonts w:cs="Arial"/>
                <w:b/>
                <w:sz w:val="18"/>
                <w:szCs w:val="18"/>
              </w:rPr>
            </w:pPr>
            <w:r>
              <w:rPr>
                <w:rFonts w:cs="Arial"/>
                <w:b/>
                <w:sz w:val="18"/>
                <w:szCs w:val="18"/>
              </w:rPr>
              <w:lastRenderedPageBreak/>
              <w:t>AO6</w:t>
            </w:r>
          </w:p>
          <w:p w14:paraId="1A42E54A" w14:textId="77777777" w:rsidR="00AB2BA4" w:rsidRPr="00084AFB" w:rsidRDefault="00AB2BA4" w:rsidP="003352DF">
            <w:pPr>
              <w:rPr>
                <w:b/>
                <w:sz w:val="18"/>
                <w:szCs w:val="18"/>
              </w:rPr>
            </w:pPr>
            <w:r>
              <w:rPr>
                <w:rFonts w:cs="Arial"/>
                <w:sz w:val="18"/>
                <w:szCs w:val="18"/>
              </w:rPr>
              <w:t xml:space="preserve">No acceptable outcome provided. </w:t>
            </w:r>
            <w:r w:rsidRPr="00084AFB">
              <w:rPr>
                <w:rFonts w:cs="Arial"/>
                <w:sz w:val="18"/>
                <w:szCs w:val="18"/>
              </w:rPr>
              <w:t xml:space="preserve"> </w:t>
            </w:r>
          </w:p>
        </w:tc>
        <w:tc>
          <w:tcPr>
            <w:tcW w:w="4648" w:type="dxa"/>
          </w:tcPr>
          <w:p w14:paraId="196B5BDA" w14:textId="105F07D1" w:rsidR="00AB2BA4"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429611C8" w14:textId="46AF7DB5" w:rsidTr="007D65D6">
        <w:tc>
          <w:tcPr>
            <w:tcW w:w="13944" w:type="dxa"/>
            <w:gridSpan w:val="3"/>
            <w:shd w:val="clear" w:color="auto" w:fill="D9D9D9"/>
          </w:tcPr>
          <w:p w14:paraId="5576557B" w14:textId="06043041" w:rsidR="003217E2" w:rsidRDefault="003217E2" w:rsidP="003352DF">
            <w:pPr>
              <w:pStyle w:val="ListParagraph"/>
              <w:ind w:left="0"/>
              <w:rPr>
                <w:rFonts w:cs="Arial"/>
                <w:b/>
                <w:i/>
                <w:sz w:val="18"/>
                <w:szCs w:val="18"/>
              </w:rPr>
            </w:pPr>
            <w:r>
              <w:rPr>
                <w:rFonts w:cs="Arial"/>
                <w:b/>
                <w:i/>
                <w:sz w:val="18"/>
                <w:szCs w:val="18"/>
              </w:rPr>
              <w:t>Residential d</w:t>
            </w:r>
            <w:r w:rsidRPr="00084AFB">
              <w:rPr>
                <w:rFonts w:cs="Arial"/>
                <w:b/>
                <w:i/>
                <w:sz w:val="18"/>
                <w:szCs w:val="18"/>
              </w:rPr>
              <w:t>ensity</w:t>
            </w:r>
          </w:p>
        </w:tc>
      </w:tr>
      <w:tr w:rsidR="00AB2BA4" w:rsidRPr="00084AFB" w14:paraId="24391607" w14:textId="37BA2986" w:rsidTr="003217E2">
        <w:tc>
          <w:tcPr>
            <w:tcW w:w="4872" w:type="dxa"/>
            <w:shd w:val="clear" w:color="auto" w:fill="auto"/>
          </w:tcPr>
          <w:p w14:paraId="1234F502" w14:textId="77777777" w:rsidR="00AB2BA4" w:rsidRPr="00084AFB" w:rsidRDefault="00AB2BA4" w:rsidP="003352DF">
            <w:pPr>
              <w:pStyle w:val="ListParagraph"/>
              <w:ind w:left="0"/>
              <w:rPr>
                <w:rFonts w:cs="Arial"/>
                <w:b/>
                <w:sz w:val="18"/>
                <w:szCs w:val="18"/>
              </w:rPr>
            </w:pPr>
            <w:r w:rsidRPr="00084AFB">
              <w:rPr>
                <w:rFonts w:cs="Arial"/>
                <w:b/>
                <w:sz w:val="18"/>
                <w:szCs w:val="18"/>
              </w:rPr>
              <w:t>PO</w:t>
            </w:r>
            <w:r>
              <w:rPr>
                <w:rFonts w:cs="Arial"/>
                <w:b/>
                <w:sz w:val="18"/>
                <w:szCs w:val="18"/>
              </w:rPr>
              <w:t>7</w:t>
            </w:r>
          </w:p>
          <w:p w14:paraId="14A80EEB" w14:textId="77777777" w:rsidR="00AB2BA4" w:rsidRPr="00084AFB" w:rsidRDefault="00AB2BA4" w:rsidP="003352DF">
            <w:pPr>
              <w:pStyle w:val="ListParagraph"/>
              <w:ind w:left="0"/>
              <w:rPr>
                <w:sz w:val="18"/>
                <w:szCs w:val="18"/>
              </w:rPr>
            </w:pPr>
            <w:r w:rsidRPr="00084AFB">
              <w:rPr>
                <w:sz w:val="18"/>
                <w:szCs w:val="18"/>
              </w:rPr>
              <w:t>Development encourages urban consolidation and facilitates a compact land use pattern that increases the number of people living close to services and facilities, maximises the efficient use of infrastructure and maintains a high level of residential amenity</w:t>
            </w:r>
            <w:r>
              <w:rPr>
                <w:sz w:val="18"/>
                <w:szCs w:val="18"/>
              </w:rPr>
              <w:t>, within a low rise environment and consistent with available or planned infrastructure capacity</w:t>
            </w:r>
            <w:r w:rsidRPr="00084AFB">
              <w:rPr>
                <w:rFonts w:cs="Arial"/>
                <w:sz w:val="18"/>
                <w:szCs w:val="18"/>
              </w:rPr>
              <w:t>.</w:t>
            </w:r>
          </w:p>
        </w:tc>
        <w:tc>
          <w:tcPr>
            <w:tcW w:w="4424" w:type="dxa"/>
            <w:shd w:val="clear" w:color="auto" w:fill="auto"/>
          </w:tcPr>
          <w:p w14:paraId="0E5101E6" w14:textId="77777777" w:rsidR="00AB2BA4" w:rsidRPr="00084AFB" w:rsidRDefault="00AB2BA4" w:rsidP="003352DF">
            <w:pPr>
              <w:pStyle w:val="ListParagraph"/>
              <w:ind w:left="0"/>
              <w:rPr>
                <w:rFonts w:cs="Arial"/>
                <w:b/>
                <w:sz w:val="18"/>
                <w:szCs w:val="18"/>
              </w:rPr>
            </w:pPr>
            <w:r>
              <w:rPr>
                <w:rFonts w:cs="Arial"/>
                <w:b/>
                <w:sz w:val="18"/>
                <w:szCs w:val="18"/>
              </w:rPr>
              <w:t>AO7</w:t>
            </w:r>
          </w:p>
          <w:p w14:paraId="54C294B1" w14:textId="77777777" w:rsidR="00AB2BA4" w:rsidRDefault="00AB2BA4" w:rsidP="003352DF">
            <w:pPr>
              <w:pStyle w:val="CommentText"/>
              <w:rPr>
                <w:sz w:val="18"/>
                <w:szCs w:val="18"/>
              </w:rPr>
            </w:pPr>
            <w:r w:rsidRPr="00C33984">
              <w:rPr>
                <w:sz w:val="18"/>
                <w:szCs w:val="18"/>
              </w:rPr>
              <w:t xml:space="preserve">In sewered areas, </w:t>
            </w:r>
            <w:r>
              <w:rPr>
                <w:sz w:val="18"/>
                <w:szCs w:val="18"/>
              </w:rPr>
              <w:t>d</w:t>
            </w:r>
            <w:r w:rsidRPr="00084AFB">
              <w:rPr>
                <w:sz w:val="18"/>
                <w:szCs w:val="18"/>
              </w:rPr>
              <w:t xml:space="preserve">evelopment provides for a net residential density of 30 to 50 </w:t>
            </w:r>
            <w:r>
              <w:rPr>
                <w:sz w:val="18"/>
                <w:szCs w:val="18"/>
              </w:rPr>
              <w:t xml:space="preserve">equivalent </w:t>
            </w:r>
            <w:r w:rsidRPr="00084AFB">
              <w:rPr>
                <w:sz w:val="18"/>
                <w:szCs w:val="18"/>
              </w:rPr>
              <w:t>dwellings per hectare.</w:t>
            </w:r>
          </w:p>
          <w:p w14:paraId="47CF36B9" w14:textId="77777777" w:rsidR="00AB2BA4" w:rsidRPr="00084AFB" w:rsidRDefault="00AB2BA4" w:rsidP="003352DF">
            <w:pPr>
              <w:pStyle w:val="CommentText"/>
              <w:rPr>
                <w:sz w:val="18"/>
                <w:szCs w:val="18"/>
              </w:rPr>
            </w:pPr>
          </w:p>
          <w:p w14:paraId="73732AAD" w14:textId="77777777" w:rsidR="00AB2BA4" w:rsidRPr="00084AFB" w:rsidRDefault="00AB2BA4" w:rsidP="003352DF">
            <w:pPr>
              <w:pStyle w:val="ListParagraph"/>
              <w:ind w:left="0"/>
              <w:rPr>
                <w:sz w:val="16"/>
                <w:szCs w:val="16"/>
              </w:rPr>
            </w:pPr>
            <w:r w:rsidRPr="00084AFB">
              <w:rPr>
                <w:sz w:val="16"/>
                <w:szCs w:val="16"/>
              </w:rPr>
              <w:t>Editor’s note—lower net residential densities are likely to be achieved in unsewered areas, with the primary consideration being the need to treat and dispose of effluent on-site.</w:t>
            </w:r>
          </w:p>
        </w:tc>
        <w:tc>
          <w:tcPr>
            <w:tcW w:w="4648" w:type="dxa"/>
          </w:tcPr>
          <w:p w14:paraId="7BD7CB59" w14:textId="7B314027" w:rsidR="00AB2BA4"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7A4ECF78" w14:textId="20A11516" w:rsidTr="00A00C09">
        <w:tc>
          <w:tcPr>
            <w:tcW w:w="13944" w:type="dxa"/>
            <w:gridSpan w:val="3"/>
            <w:shd w:val="clear" w:color="auto" w:fill="D9D9D9"/>
          </w:tcPr>
          <w:p w14:paraId="5EB2BB4A" w14:textId="63DD6FBB" w:rsidR="003217E2" w:rsidRPr="00084AFB" w:rsidRDefault="003217E2" w:rsidP="003352DF">
            <w:pPr>
              <w:pStyle w:val="ListParagraph"/>
              <w:ind w:left="0"/>
              <w:rPr>
                <w:rFonts w:cs="Arial"/>
                <w:b/>
                <w:i/>
                <w:sz w:val="18"/>
                <w:szCs w:val="18"/>
              </w:rPr>
            </w:pPr>
            <w:r w:rsidRPr="00084AFB">
              <w:rPr>
                <w:rFonts w:cs="Arial"/>
                <w:b/>
                <w:i/>
                <w:sz w:val="18"/>
                <w:szCs w:val="18"/>
              </w:rPr>
              <w:t>Amenity</w:t>
            </w:r>
          </w:p>
        </w:tc>
      </w:tr>
      <w:tr w:rsidR="00AB2BA4" w:rsidRPr="00084AFB" w14:paraId="23938084" w14:textId="09C7FEF8" w:rsidTr="003217E2">
        <w:tc>
          <w:tcPr>
            <w:tcW w:w="4872" w:type="dxa"/>
            <w:shd w:val="clear" w:color="auto" w:fill="auto"/>
          </w:tcPr>
          <w:p w14:paraId="3C7A1505" w14:textId="77777777" w:rsidR="00AB2BA4" w:rsidRPr="00084AFB" w:rsidRDefault="00AB2BA4" w:rsidP="003352DF">
            <w:pPr>
              <w:pStyle w:val="ListParagraph"/>
              <w:ind w:left="0"/>
              <w:rPr>
                <w:rFonts w:cs="Arial"/>
                <w:b/>
                <w:sz w:val="18"/>
                <w:szCs w:val="18"/>
              </w:rPr>
            </w:pPr>
            <w:r w:rsidRPr="00084AFB">
              <w:rPr>
                <w:rFonts w:cs="Arial"/>
                <w:b/>
                <w:sz w:val="18"/>
                <w:szCs w:val="18"/>
              </w:rPr>
              <w:t>PO</w:t>
            </w:r>
            <w:r>
              <w:rPr>
                <w:rFonts w:cs="Arial"/>
                <w:b/>
                <w:sz w:val="18"/>
                <w:szCs w:val="18"/>
              </w:rPr>
              <w:t>8</w:t>
            </w:r>
          </w:p>
          <w:p w14:paraId="32854658" w14:textId="77777777" w:rsidR="00AB2BA4" w:rsidRPr="00D54B1A" w:rsidRDefault="00AB2BA4" w:rsidP="003352DF">
            <w:pPr>
              <w:pStyle w:val="ListParagraph"/>
              <w:ind w:left="0"/>
              <w:rPr>
                <w:sz w:val="18"/>
                <w:szCs w:val="18"/>
              </w:rPr>
            </w:pPr>
            <w:r w:rsidRPr="00084AFB">
              <w:rPr>
                <w:sz w:val="18"/>
                <w:szCs w:val="18"/>
              </w:rPr>
              <w:t>Development maintains a high level of residential amenity and avoids or mitigates potential adverse impacts having regard to such matters as hours of operation, generation of odours, noise, waste products, dust, traffic, electrical interference, lighting, visual and privacy impacts.</w:t>
            </w:r>
          </w:p>
        </w:tc>
        <w:tc>
          <w:tcPr>
            <w:tcW w:w="4424" w:type="dxa"/>
            <w:shd w:val="clear" w:color="auto" w:fill="auto"/>
          </w:tcPr>
          <w:p w14:paraId="3DE87C87" w14:textId="77777777" w:rsidR="00AB2BA4" w:rsidRPr="00084AFB" w:rsidRDefault="00AB2BA4" w:rsidP="003352DF">
            <w:pPr>
              <w:pStyle w:val="ListParagraph"/>
              <w:ind w:left="0"/>
              <w:rPr>
                <w:rFonts w:cs="Arial"/>
                <w:b/>
                <w:sz w:val="18"/>
                <w:szCs w:val="18"/>
              </w:rPr>
            </w:pPr>
            <w:r w:rsidRPr="00084AFB">
              <w:rPr>
                <w:rFonts w:cs="Arial"/>
                <w:b/>
                <w:sz w:val="18"/>
                <w:szCs w:val="18"/>
              </w:rPr>
              <w:t>AO</w:t>
            </w:r>
            <w:r>
              <w:rPr>
                <w:rFonts w:cs="Arial"/>
                <w:b/>
                <w:sz w:val="18"/>
                <w:szCs w:val="18"/>
              </w:rPr>
              <w:t>8</w:t>
            </w:r>
          </w:p>
          <w:p w14:paraId="1AFE29BA" w14:textId="77777777" w:rsidR="00AB2BA4" w:rsidRPr="00084AFB" w:rsidRDefault="00AB2BA4" w:rsidP="003352DF">
            <w:pPr>
              <w:pStyle w:val="ListParagraph"/>
              <w:ind w:left="0"/>
              <w:rPr>
                <w:rFonts w:cs="Arial"/>
                <w:sz w:val="18"/>
                <w:szCs w:val="18"/>
              </w:rPr>
            </w:pPr>
            <w:r w:rsidRPr="00084AFB">
              <w:rPr>
                <w:rFonts w:cs="Arial"/>
                <w:sz w:val="18"/>
                <w:szCs w:val="18"/>
              </w:rPr>
              <w:t xml:space="preserve">No acceptable outcome provided. </w:t>
            </w:r>
          </w:p>
        </w:tc>
        <w:tc>
          <w:tcPr>
            <w:tcW w:w="4648" w:type="dxa"/>
          </w:tcPr>
          <w:p w14:paraId="588D37F3" w14:textId="6805E8F4"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1E4767F1" w14:textId="3CA84689" w:rsidTr="00812217">
        <w:tc>
          <w:tcPr>
            <w:tcW w:w="13944" w:type="dxa"/>
            <w:gridSpan w:val="3"/>
            <w:shd w:val="clear" w:color="auto" w:fill="D9D9D9"/>
          </w:tcPr>
          <w:p w14:paraId="1EA6C6C5" w14:textId="160416F5" w:rsidR="003217E2" w:rsidRDefault="003217E2" w:rsidP="003352DF">
            <w:pPr>
              <w:pStyle w:val="ListParagraph"/>
              <w:ind w:left="0"/>
              <w:rPr>
                <w:rFonts w:cs="Arial"/>
                <w:b/>
                <w:i/>
                <w:sz w:val="18"/>
                <w:szCs w:val="18"/>
              </w:rPr>
            </w:pPr>
            <w:r>
              <w:rPr>
                <w:rFonts w:cs="Arial"/>
                <w:b/>
                <w:i/>
                <w:sz w:val="18"/>
                <w:szCs w:val="18"/>
              </w:rPr>
              <w:t>Infrastructure and services</w:t>
            </w:r>
          </w:p>
        </w:tc>
      </w:tr>
      <w:tr w:rsidR="00AB2BA4" w:rsidRPr="00084AFB" w14:paraId="3D0D58F0" w14:textId="7F24349A" w:rsidTr="003217E2">
        <w:tc>
          <w:tcPr>
            <w:tcW w:w="4872" w:type="dxa"/>
            <w:shd w:val="clear" w:color="auto" w:fill="auto"/>
          </w:tcPr>
          <w:p w14:paraId="346B5AE6" w14:textId="77777777" w:rsidR="00AB2BA4" w:rsidRPr="00B2594D" w:rsidRDefault="00AB2BA4" w:rsidP="003352DF">
            <w:pPr>
              <w:pStyle w:val="ListParagraph"/>
              <w:ind w:left="0"/>
              <w:rPr>
                <w:rFonts w:cs="Arial"/>
                <w:b/>
                <w:sz w:val="18"/>
                <w:szCs w:val="18"/>
              </w:rPr>
            </w:pPr>
            <w:r w:rsidRPr="00B2594D">
              <w:rPr>
                <w:rFonts w:cs="Arial"/>
                <w:b/>
                <w:sz w:val="18"/>
                <w:szCs w:val="18"/>
              </w:rPr>
              <w:t>PO</w:t>
            </w:r>
            <w:r>
              <w:rPr>
                <w:rFonts w:cs="Arial"/>
                <w:b/>
                <w:sz w:val="18"/>
                <w:szCs w:val="18"/>
              </w:rPr>
              <w:t>9</w:t>
            </w:r>
          </w:p>
          <w:p w14:paraId="158AF4EF" w14:textId="77777777" w:rsidR="00AB2BA4" w:rsidRDefault="00AB2BA4" w:rsidP="003352DF">
            <w:pPr>
              <w:pStyle w:val="ListParagraph"/>
              <w:ind w:left="0"/>
              <w:rPr>
                <w:rFonts w:cs="Arial"/>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(where available), sewerage (where available), stormwater drainage, sealed roads, pathways, electricity and telecommunication infrastructure</w:t>
            </w:r>
            <w:r>
              <w:rPr>
                <w:rFonts w:cs="Arial"/>
                <w:sz w:val="18"/>
                <w:szCs w:val="18"/>
              </w:rPr>
              <w:t>.</w:t>
            </w:r>
          </w:p>
          <w:p w14:paraId="0EE34454" w14:textId="77777777" w:rsidR="00AB2BA4" w:rsidRPr="00084AFB" w:rsidRDefault="00AB2BA4" w:rsidP="003352DF">
            <w:pPr>
              <w:pStyle w:val="ListParagraph"/>
              <w:ind w:left="0"/>
              <w:rPr>
                <w:rFonts w:cs="Arial"/>
                <w:b/>
                <w:sz w:val="18"/>
                <w:szCs w:val="18"/>
              </w:rPr>
            </w:pPr>
          </w:p>
        </w:tc>
        <w:tc>
          <w:tcPr>
            <w:tcW w:w="4424" w:type="dxa"/>
            <w:shd w:val="clear" w:color="auto" w:fill="auto"/>
          </w:tcPr>
          <w:p w14:paraId="3FC0F347" w14:textId="77777777" w:rsidR="00AB2BA4" w:rsidRPr="00B2594D" w:rsidRDefault="00AB2BA4"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6841BD70" w14:textId="77777777" w:rsidR="00AB2BA4" w:rsidRPr="00084AFB" w:rsidRDefault="00AB2BA4" w:rsidP="003352DF">
            <w:pPr>
              <w:pStyle w:val="ListParagraph"/>
              <w:ind w:left="0"/>
              <w:rPr>
                <w:rFonts w:cs="Arial"/>
                <w:b/>
                <w:sz w:val="18"/>
                <w:szCs w:val="18"/>
              </w:rPr>
            </w:pPr>
            <w:r w:rsidRPr="00084AFB">
              <w:rPr>
                <w:rFonts w:cs="Arial"/>
                <w:sz w:val="18"/>
                <w:szCs w:val="18"/>
              </w:rPr>
              <w:t>No acceptable outcome provided</w:t>
            </w:r>
          </w:p>
        </w:tc>
        <w:tc>
          <w:tcPr>
            <w:tcW w:w="4648" w:type="dxa"/>
          </w:tcPr>
          <w:p w14:paraId="2B02EB43" w14:textId="5E134DE0" w:rsidR="00AB2BA4" w:rsidRPr="00B2594D"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B2BA4" w:rsidRPr="00084AFB" w14:paraId="6264CD3C" w14:textId="2A0831CC" w:rsidTr="003217E2">
        <w:tc>
          <w:tcPr>
            <w:tcW w:w="4872" w:type="dxa"/>
            <w:shd w:val="clear" w:color="auto" w:fill="auto"/>
          </w:tcPr>
          <w:p w14:paraId="4419D491" w14:textId="77777777" w:rsidR="00AB2BA4" w:rsidRPr="00B2594D" w:rsidRDefault="00AB2BA4" w:rsidP="003352DF">
            <w:pPr>
              <w:pStyle w:val="ListParagraph"/>
              <w:ind w:left="0"/>
              <w:rPr>
                <w:rFonts w:cs="Arial"/>
                <w:b/>
                <w:sz w:val="18"/>
                <w:szCs w:val="18"/>
              </w:rPr>
            </w:pPr>
            <w:r w:rsidRPr="00B2594D">
              <w:rPr>
                <w:rFonts w:cs="Arial"/>
                <w:b/>
                <w:sz w:val="18"/>
                <w:szCs w:val="18"/>
              </w:rPr>
              <w:t>PO</w:t>
            </w:r>
            <w:r>
              <w:rPr>
                <w:rFonts w:cs="Arial"/>
                <w:b/>
                <w:sz w:val="18"/>
                <w:szCs w:val="18"/>
              </w:rPr>
              <w:t>10</w:t>
            </w:r>
          </w:p>
          <w:p w14:paraId="2DFC8F4D" w14:textId="77777777" w:rsidR="00AB2BA4" w:rsidRPr="00262303" w:rsidRDefault="00AB2BA4"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(including rural infrastructure) or compromise the future provision of planned infrastructure</w:t>
            </w:r>
            <w:r>
              <w:rPr>
                <w:rFonts w:cs="Arial"/>
                <w:sz w:val="18"/>
                <w:szCs w:val="18"/>
              </w:rPr>
              <w:t>.</w:t>
            </w:r>
          </w:p>
        </w:tc>
        <w:tc>
          <w:tcPr>
            <w:tcW w:w="4424" w:type="dxa"/>
            <w:shd w:val="clear" w:color="auto" w:fill="auto"/>
          </w:tcPr>
          <w:p w14:paraId="4D124188" w14:textId="77777777" w:rsidR="00AB2BA4" w:rsidRPr="00B2594D" w:rsidRDefault="00AB2BA4"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5068DFF6" w14:textId="77777777" w:rsidR="00AB2BA4" w:rsidRPr="00084AFB" w:rsidRDefault="00AB2BA4" w:rsidP="003352DF">
            <w:pPr>
              <w:pStyle w:val="ListParagraph"/>
              <w:ind w:left="0"/>
              <w:rPr>
                <w:rFonts w:cs="Arial"/>
                <w:b/>
                <w:sz w:val="18"/>
                <w:szCs w:val="18"/>
              </w:rPr>
            </w:pPr>
            <w:r w:rsidRPr="00084AFB">
              <w:rPr>
                <w:rFonts w:cs="Arial"/>
                <w:sz w:val="18"/>
                <w:szCs w:val="18"/>
              </w:rPr>
              <w:t>No acceptable outcome provided</w:t>
            </w:r>
          </w:p>
        </w:tc>
        <w:tc>
          <w:tcPr>
            <w:tcW w:w="4648" w:type="dxa"/>
          </w:tcPr>
          <w:p w14:paraId="176B2B64" w14:textId="465E9161" w:rsidR="00AB2BA4" w:rsidRPr="00B2594D"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54CBF1B7" w14:textId="056C4B5C" w:rsidTr="00CC5209">
        <w:tc>
          <w:tcPr>
            <w:tcW w:w="13944" w:type="dxa"/>
            <w:gridSpan w:val="3"/>
            <w:shd w:val="clear" w:color="auto" w:fill="D9D9D9"/>
          </w:tcPr>
          <w:p w14:paraId="2693CC75" w14:textId="79C5FE3B" w:rsidR="003217E2" w:rsidRPr="00084AFB" w:rsidRDefault="003217E2" w:rsidP="003352DF">
            <w:pPr>
              <w:pStyle w:val="ListParagraph"/>
              <w:keepNext/>
              <w:ind w:left="0"/>
              <w:rPr>
                <w:rFonts w:cs="Arial"/>
                <w:b/>
                <w:i/>
                <w:sz w:val="18"/>
                <w:szCs w:val="18"/>
              </w:rPr>
            </w:pPr>
            <w:r w:rsidRPr="00084AFB">
              <w:rPr>
                <w:rFonts w:cs="Arial"/>
                <w:b/>
                <w:i/>
                <w:sz w:val="18"/>
                <w:szCs w:val="18"/>
              </w:rPr>
              <w:lastRenderedPageBreak/>
              <w:t>Additional requirements for Precinct MDRZ1 (Bundaberg West medical/health hub)</w:t>
            </w:r>
          </w:p>
        </w:tc>
      </w:tr>
      <w:tr w:rsidR="00AB2BA4" w:rsidRPr="00084AFB" w14:paraId="1419E2FB" w14:textId="0F177BA6" w:rsidTr="003217E2">
        <w:tc>
          <w:tcPr>
            <w:tcW w:w="4872" w:type="dxa"/>
            <w:tcBorders>
              <w:bottom w:val="single" w:sz="4" w:space="0" w:color="auto"/>
            </w:tcBorders>
            <w:shd w:val="clear" w:color="auto" w:fill="auto"/>
          </w:tcPr>
          <w:p w14:paraId="2F04DA24" w14:textId="77777777" w:rsidR="00AB2BA4" w:rsidRPr="00084AFB" w:rsidRDefault="00AB2BA4" w:rsidP="003352DF">
            <w:pPr>
              <w:keepNext/>
              <w:rPr>
                <w:b/>
                <w:sz w:val="18"/>
                <w:szCs w:val="18"/>
              </w:rPr>
            </w:pPr>
            <w:r w:rsidRPr="00084AFB">
              <w:rPr>
                <w:b/>
                <w:sz w:val="18"/>
                <w:szCs w:val="18"/>
              </w:rPr>
              <w:t>PO</w:t>
            </w:r>
            <w:r>
              <w:rPr>
                <w:b/>
                <w:sz w:val="18"/>
                <w:szCs w:val="18"/>
              </w:rPr>
              <w:t>11</w:t>
            </w:r>
          </w:p>
          <w:p w14:paraId="683156B1" w14:textId="77777777" w:rsidR="00AB2BA4" w:rsidRPr="00084AFB" w:rsidRDefault="00AB2BA4" w:rsidP="003352DF">
            <w:pPr>
              <w:rPr>
                <w:sz w:val="18"/>
                <w:szCs w:val="18"/>
              </w:rPr>
            </w:pPr>
            <w:r w:rsidRPr="00084AFB">
              <w:rPr>
                <w:sz w:val="18"/>
                <w:szCs w:val="18"/>
              </w:rPr>
              <w:t xml:space="preserve">In addition to providing for low and medium density residential accommodation, development in Precinct </w:t>
            </w:r>
            <w:r w:rsidRPr="00084AFB">
              <w:rPr>
                <w:b/>
                <w:sz w:val="18"/>
                <w:szCs w:val="18"/>
              </w:rPr>
              <w:t>MDRZ1 (Bundaberg West medical/health hub)</w:t>
            </w:r>
            <w:r w:rsidRPr="00084AFB">
              <w:rPr>
                <w:sz w:val="18"/>
                <w:szCs w:val="18"/>
              </w:rPr>
              <w:t xml:space="preserve">:- </w:t>
            </w:r>
          </w:p>
          <w:p w14:paraId="47D7A64F" w14:textId="77777777" w:rsidR="00AB2BA4" w:rsidRPr="00084AFB" w:rsidRDefault="00AB2BA4" w:rsidP="00AB2BA4">
            <w:pPr>
              <w:numPr>
                <w:ilvl w:val="0"/>
                <w:numId w:val="44"/>
              </w:numPr>
              <w:rPr>
                <w:sz w:val="18"/>
                <w:szCs w:val="18"/>
              </w:rPr>
            </w:pPr>
            <w:r w:rsidRPr="00084AFB">
              <w:rPr>
                <w:sz w:val="18"/>
                <w:szCs w:val="18"/>
              </w:rPr>
              <w:t>facilitates hospital expansion;</w:t>
            </w:r>
          </w:p>
          <w:p w14:paraId="3713EEA8" w14:textId="77777777" w:rsidR="00AB2BA4" w:rsidRPr="00084AFB" w:rsidRDefault="00AB2BA4" w:rsidP="00AB2BA4">
            <w:pPr>
              <w:numPr>
                <w:ilvl w:val="0"/>
                <w:numId w:val="44"/>
              </w:numPr>
              <w:rPr>
                <w:sz w:val="18"/>
                <w:szCs w:val="18"/>
              </w:rPr>
            </w:pPr>
            <w:r w:rsidRPr="00084AFB">
              <w:rPr>
                <w:sz w:val="18"/>
                <w:szCs w:val="18"/>
              </w:rPr>
              <w:t>provides for a wide range of medical and health-related business and community activities that complement and support the nearby hospitals;</w:t>
            </w:r>
          </w:p>
          <w:p w14:paraId="12B7613A" w14:textId="77777777" w:rsidR="00AB2BA4" w:rsidRPr="00084AFB" w:rsidRDefault="00AB2BA4" w:rsidP="00AB2BA4">
            <w:pPr>
              <w:numPr>
                <w:ilvl w:val="0"/>
                <w:numId w:val="44"/>
              </w:numPr>
              <w:rPr>
                <w:sz w:val="18"/>
                <w:szCs w:val="18"/>
              </w:rPr>
            </w:pPr>
            <w:r w:rsidRPr="00084AFB">
              <w:rPr>
                <w:sz w:val="18"/>
                <w:szCs w:val="18"/>
              </w:rPr>
              <w:t>provides for a limited range of other business and community activities which provide a service to the health-related uses and residential uses in the immediate area;</w:t>
            </w:r>
          </w:p>
          <w:p w14:paraId="20199868" w14:textId="77777777" w:rsidR="00AB2BA4" w:rsidRPr="00084AFB" w:rsidRDefault="00AB2BA4" w:rsidP="00AB2BA4">
            <w:pPr>
              <w:numPr>
                <w:ilvl w:val="0"/>
                <w:numId w:val="44"/>
              </w:numPr>
              <w:rPr>
                <w:sz w:val="18"/>
                <w:szCs w:val="18"/>
              </w:rPr>
            </w:pPr>
            <w:r w:rsidRPr="00084AFB">
              <w:rPr>
                <w:sz w:val="18"/>
                <w:szCs w:val="18"/>
              </w:rPr>
              <w:t>is of a scale and intensity that minimises impacts on surrounding land uses and does not detract from the role and function of higher order activity centres; and</w:t>
            </w:r>
          </w:p>
          <w:p w14:paraId="10F89950" w14:textId="77777777" w:rsidR="00AB2BA4" w:rsidRPr="00084AFB" w:rsidRDefault="00AB2BA4" w:rsidP="00AB2BA4">
            <w:pPr>
              <w:numPr>
                <w:ilvl w:val="0"/>
                <w:numId w:val="44"/>
              </w:numPr>
              <w:rPr>
                <w:sz w:val="18"/>
                <w:szCs w:val="18"/>
              </w:rPr>
            </w:pPr>
            <w:r w:rsidRPr="00084AFB">
              <w:rPr>
                <w:sz w:val="18"/>
                <w:szCs w:val="18"/>
              </w:rPr>
              <w:t>provides a high level of accessibility, safety and permeability for pedestrians.</w:t>
            </w:r>
          </w:p>
        </w:tc>
        <w:tc>
          <w:tcPr>
            <w:tcW w:w="4424" w:type="dxa"/>
            <w:tcBorders>
              <w:bottom w:val="single" w:sz="4" w:space="0" w:color="auto"/>
            </w:tcBorders>
            <w:shd w:val="clear" w:color="auto" w:fill="auto"/>
          </w:tcPr>
          <w:p w14:paraId="2C1E4923" w14:textId="77777777" w:rsidR="00AB2BA4" w:rsidRPr="00084AFB" w:rsidRDefault="00AB2BA4" w:rsidP="003352DF">
            <w:pPr>
              <w:pStyle w:val="ListParagraph"/>
              <w:ind w:left="0"/>
              <w:rPr>
                <w:rFonts w:cs="Arial"/>
                <w:b/>
                <w:sz w:val="18"/>
                <w:szCs w:val="18"/>
              </w:rPr>
            </w:pPr>
            <w:r w:rsidRPr="00084AFB">
              <w:rPr>
                <w:rFonts w:cs="Arial"/>
                <w:b/>
                <w:sz w:val="18"/>
                <w:szCs w:val="18"/>
              </w:rPr>
              <w:t>AO</w:t>
            </w:r>
            <w:r>
              <w:rPr>
                <w:rFonts w:cs="Arial"/>
                <w:b/>
                <w:sz w:val="18"/>
                <w:szCs w:val="18"/>
              </w:rPr>
              <w:t>11</w:t>
            </w:r>
          </w:p>
          <w:p w14:paraId="20E88A99" w14:textId="77777777" w:rsidR="00AB2BA4" w:rsidRPr="00084AFB" w:rsidRDefault="00AB2BA4" w:rsidP="003352DF">
            <w:pPr>
              <w:pStyle w:val="ListParagraph"/>
              <w:ind w:left="0"/>
              <w:rPr>
                <w:rFonts w:cs="Arial"/>
                <w:b/>
                <w:sz w:val="18"/>
                <w:szCs w:val="18"/>
              </w:rPr>
            </w:pPr>
            <w:r w:rsidRPr="00084AFB">
              <w:rPr>
                <w:rFonts w:cs="Arial"/>
                <w:sz w:val="18"/>
                <w:szCs w:val="18"/>
              </w:rPr>
              <w:t>No acceptable outcome provided.</w:t>
            </w:r>
          </w:p>
        </w:tc>
        <w:tc>
          <w:tcPr>
            <w:tcW w:w="4648" w:type="dxa"/>
            <w:tcBorders>
              <w:bottom w:val="single" w:sz="4" w:space="0" w:color="auto"/>
            </w:tcBorders>
          </w:tcPr>
          <w:p w14:paraId="12EF4C4D" w14:textId="71753C6E"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217E2" w:rsidRPr="00084AFB" w14:paraId="776DFC12" w14:textId="014ED3E8" w:rsidTr="00255A80">
        <w:tc>
          <w:tcPr>
            <w:tcW w:w="13944" w:type="dxa"/>
            <w:gridSpan w:val="3"/>
            <w:shd w:val="clear" w:color="auto" w:fill="D9D9D9"/>
          </w:tcPr>
          <w:p w14:paraId="48242C05" w14:textId="2BC2E7AB" w:rsidR="003217E2" w:rsidRPr="00084AFB" w:rsidRDefault="003217E2" w:rsidP="003352DF">
            <w:pPr>
              <w:pStyle w:val="ListParagraph"/>
              <w:ind w:left="0"/>
              <w:rPr>
                <w:rFonts w:cs="Arial"/>
                <w:b/>
                <w:i/>
                <w:sz w:val="18"/>
                <w:szCs w:val="18"/>
              </w:rPr>
            </w:pPr>
            <w:r w:rsidRPr="00084AFB">
              <w:rPr>
                <w:rFonts w:cs="Arial"/>
                <w:b/>
                <w:i/>
                <w:sz w:val="18"/>
                <w:szCs w:val="18"/>
              </w:rPr>
              <w:t>Additional requirements for Precinct MDRZ2 (Barolin Street office precinct)</w:t>
            </w:r>
          </w:p>
        </w:tc>
      </w:tr>
      <w:tr w:rsidR="00AB2BA4" w:rsidRPr="00084AFB" w14:paraId="3AF04457" w14:textId="2EB99343" w:rsidTr="003217E2">
        <w:tc>
          <w:tcPr>
            <w:tcW w:w="4872" w:type="dxa"/>
            <w:shd w:val="clear" w:color="auto" w:fill="auto"/>
          </w:tcPr>
          <w:p w14:paraId="516C3945" w14:textId="77777777" w:rsidR="00AB2BA4" w:rsidRPr="00084AFB" w:rsidRDefault="00AB2BA4" w:rsidP="003352DF">
            <w:pPr>
              <w:rPr>
                <w:b/>
                <w:sz w:val="18"/>
                <w:szCs w:val="18"/>
              </w:rPr>
            </w:pPr>
            <w:r w:rsidRPr="00084AFB">
              <w:rPr>
                <w:b/>
                <w:sz w:val="18"/>
                <w:szCs w:val="18"/>
              </w:rPr>
              <w:t>PO</w:t>
            </w:r>
            <w:r>
              <w:rPr>
                <w:b/>
                <w:sz w:val="18"/>
                <w:szCs w:val="18"/>
              </w:rPr>
              <w:t>12</w:t>
            </w:r>
          </w:p>
          <w:p w14:paraId="3FDDFA49" w14:textId="77777777" w:rsidR="00AB2BA4" w:rsidRPr="00084AFB" w:rsidRDefault="00AB2BA4" w:rsidP="003352DF">
            <w:pPr>
              <w:rPr>
                <w:sz w:val="18"/>
                <w:szCs w:val="18"/>
              </w:rPr>
            </w:pPr>
            <w:r w:rsidRPr="00084AFB">
              <w:rPr>
                <w:sz w:val="18"/>
                <w:szCs w:val="18"/>
              </w:rPr>
              <w:t>In addition to providing for low and medium density residential accommodation, development in Precinct</w:t>
            </w:r>
            <w:r w:rsidRPr="00084AFB" w:rsidDel="00260500">
              <w:rPr>
                <w:sz w:val="18"/>
                <w:szCs w:val="18"/>
              </w:rPr>
              <w:t xml:space="preserve"> </w:t>
            </w:r>
            <w:r w:rsidRPr="00084AFB">
              <w:rPr>
                <w:b/>
                <w:sz w:val="18"/>
                <w:szCs w:val="18"/>
              </w:rPr>
              <w:t>MDRZ2 (Barolin Street office precinct)</w:t>
            </w:r>
            <w:r w:rsidRPr="00084AFB">
              <w:rPr>
                <w:sz w:val="18"/>
                <w:szCs w:val="18"/>
              </w:rPr>
              <w:t>:-</w:t>
            </w:r>
          </w:p>
          <w:p w14:paraId="41D7A3C7" w14:textId="77777777" w:rsidR="00AB2BA4" w:rsidRPr="00084AFB" w:rsidRDefault="00AB2BA4" w:rsidP="00AB2BA4">
            <w:pPr>
              <w:numPr>
                <w:ilvl w:val="0"/>
                <w:numId w:val="45"/>
              </w:numPr>
              <w:rPr>
                <w:sz w:val="18"/>
                <w:szCs w:val="18"/>
              </w:rPr>
            </w:pPr>
            <w:r w:rsidRPr="00084AFB">
              <w:rPr>
                <w:sz w:val="18"/>
                <w:szCs w:val="18"/>
              </w:rPr>
              <w:t>provides for small-scale business and community activities predominantly in the form of offices and health care services;</w:t>
            </w:r>
          </w:p>
          <w:p w14:paraId="08B2DA4B" w14:textId="77777777" w:rsidR="00AB2BA4" w:rsidRPr="00084AFB" w:rsidRDefault="00AB2BA4" w:rsidP="00AB2BA4">
            <w:pPr>
              <w:numPr>
                <w:ilvl w:val="0"/>
                <w:numId w:val="45"/>
              </w:numPr>
              <w:rPr>
                <w:sz w:val="18"/>
                <w:szCs w:val="18"/>
              </w:rPr>
            </w:pPr>
            <w:r w:rsidRPr="00084AFB">
              <w:rPr>
                <w:sz w:val="18"/>
                <w:szCs w:val="18"/>
              </w:rPr>
              <w:t>provides for a limited range of ancillary business activities (e.g. small scale food and drink outlets such as take-away stores and coffee shops) which provide supporting services to the predominant uses in the precinct;</w:t>
            </w:r>
          </w:p>
          <w:p w14:paraId="506D3048" w14:textId="77777777" w:rsidR="00AB2BA4" w:rsidRPr="00084AFB" w:rsidRDefault="00AB2BA4" w:rsidP="00AB2BA4">
            <w:pPr>
              <w:numPr>
                <w:ilvl w:val="0"/>
                <w:numId w:val="45"/>
              </w:numPr>
              <w:rPr>
                <w:sz w:val="18"/>
                <w:szCs w:val="18"/>
              </w:rPr>
            </w:pPr>
            <w:r w:rsidRPr="00084AFB">
              <w:rPr>
                <w:sz w:val="18"/>
                <w:szCs w:val="18"/>
              </w:rPr>
              <w:t>is accommodated in modern, well-designed buildings that contribute to an attractive and coherent streetscape and appropriately respond to the broader residential context and setting;</w:t>
            </w:r>
          </w:p>
          <w:p w14:paraId="07E22D7A" w14:textId="77777777" w:rsidR="00AB2BA4" w:rsidRDefault="00AB2BA4" w:rsidP="00AB2BA4">
            <w:pPr>
              <w:numPr>
                <w:ilvl w:val="0"/>
                <w:numId w:val="45"/>
              </w:numPr>
              <w:rPr>
                <w:sz w:val="18"/>
                <w:szCs w:val="18"/>
              </w:rPr>
            </w:pPr>
            <w:r w:rsidRPr="00084AFB">
              <w:rPr>
                <w:sz w:val="18"/>
                <w:szCs w:val="18"/>
              </w:rPr>
              <w:t>is of a scale and intensity that minimises impacts on surrounding land uses and does not detract from the role and function of higher order activity centres; and</w:t>
            </w:r>
          </w:p>
          <w:p w14:paraId="0AF74357" w14:textId="77777777" w:rsidR="00AB2BA4" w:rsidRPr="005C3F47" w:rsidRDefault="00AB2BA4" w:rsidP="00AB2BA4">
            <w:pPr>
              <w:numPr>
                <w:ilvl w:val="0"/>
                <w:numId w:val="45"/>
              </w:numPr>
              <w:rPr>
                <w:rFonts w:cs="Arial"/>
                <w:b/>
                <w:sz w:val="18"/>
                <w:szCs w:val="18"/>
              </w:rPr>
            </w:pPr>
            <w:r w:rsidRPr="005C3F47">
              <w:rPr>
                <w:sz w:val="18"/>
                <w:szCs w:val="18"/>
              </w:rPr>
              <w:t>does not impact on the role and function of  Barolin Street as a major entry road into the Bundaberg CBD</w:t>
            </w:r>
            <w:r>
              <w:rPr>
                <w:sz w:val="18"/>
                <w:szCs w:val="18"/>
              </w:rPr>
              <w:t>.</w:t>
            </w:r>
          </w:p>
        </w:tc>
        <w:tc>
          <w:tcPr>
            <w:tcW w:w="4424" w:type="dxa"/>
            <w:shd w:val="clear" w:color="auto" w:fill="auto"/>
          </w:tcPr>
          <w:p w14:paraId="4ADF25EA" w14:textId="77777777" w:rsidR="00AB2BA4" w:rsidRPr="00084AFB" w:rsidRDefault="00AB2BA4" w:rsidP="003352DF">
            <w:pPr>
              <w:pStyle w:val="ListParagraph"/>
              <w:ind w:left="0"/>
              <w:rPr>
                <w:rFonts w:cs="Arial"/>
                <w:b/>
                <w:sz w:val="18"/>
                <w:szCs w:val="18"/>
              </w:rPr>
            </w:pPr>
            <w:r w:rsidRPr="00084AFB">
              <w:rPr>
                <w:rFonts w:cs="Arial"/>
                <w:b/>
                <w:sz w:val="18"/>
                <w:szCs w:val="18"/>
              </w:rPr>
              <w:t>AO</w:t>
            </w:r>
            <w:r>
              <w:rPr>
                <w:rFonts w:cs="Arial"/>
                <w:b/>
                <w:sz w:val="18"/>
                <w:szCs w:val="18"/>
              </w:rPr>
              <w:t>12</w:t>
            </w:r>
          </w:p>
          <w:p w14:paraId="6DBE5C85" w14:textId="77777777" w:rsidR="00AB2BA4" w:rsidRPr="00084AFB" w:rsidRDefault="00AB2BA4" w:rsidP="003352DF">
            <w:pPr>
              <w:pStyle w:val="ListParagraph"/>
              <w:ind w:left="0"/>
              <w:rPr>
                <w:rFonts w:cs="Arial"/>
                <w:b/>
                <w:sz w:val="18"/>
                <w:szCs w:val="18"/>
              </w:rPr>
            </w:pPr>
            <w:r w:rsidRPr="00084AFB">
              <w:rPr>
                <w:rFonts w:cs="Arial"/>
                <w:sz w:val="18"/>
                <w:szCs w:val="18"/>
              </w:rPr>
              <w:t>No acceptable outcome provided.</w:t>
            </w:r>
          </w:p>
        </w:tc>
        <w:tc>
          <w:tcPr>
            <w:tcW w:w="4648" w:type="dxa"/>
          </w:tcPr>
          <w:p w14:paraId="20532F4F" w14:textId="2255D7CE" w:rsidR="00AB2BA4" w:rsidRPr="00084AFB" w:rsidRDefault="003217E2"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8FE4F71" w14:textId="77777777" w:rsidR="00AB2BA4" w:rsidRPr="00AB2BA4" w:rsidRDefault="00AB2BA4" w:rsidP="003217E2"/>
    <w:sectPr w:rsidR="00AB2BA4" w:rsidRPr="00AB2BA4"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06360B7"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379D0">
      <w:rPr>
        <w:sz w:val="14"/>
        <w:szCs w:val="14"/>
      </w:rPr>
      <w:t>6</w:t>
    </w:r>
    <w:r>
      <w:rPr>
        <w:sz w:val="14"/>
        <w:szCs w:val="14"/>
      </w:rPr>
      <w:t xml:space="preserve">.0 effective 10 </w:t>
    </w:r>
    <w:r w:rsidR="00A379D0">
      <w:rPr>
        <w:sz w:val="14"/>
        <w:szCs w:val="14"/>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5291D013"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B2BA4">
      <w:rPr>
        <w:sz w:val="14"/>
        <w:szCs w:val="14"/>
      </w:rPr>
      <w:t>6.0</w:t>
    </w:r>
    <w:r>
      <w:rPr>
        <w:sz w:val="14"/>
        <w:szCs w:val="14"/>
      </w:rPr>
      <w:t xml:space="preserve"> effective 10 </w:t>
    </w:r>
    <w:r w:rsidR="00AB2BA4">
      <w:rPr>
        <w:sz w:val="14"/>
        <w:szCs w:val="14"/>
      </w:rPr>
      <w:t>March</w:t>
    </w:r>
    <w:r>
      <w:rPr>
        <w:sz w:val="14"/>
        <w:szCs w:val="14"/>
      </w:rPr>
      <w:t xml:space="preserve"> 202</w:t>
    </w:r>
    <w:r w:rsidR="00AB2BA4">
      <w:rPr>
        <w:sz w:val="14"/>
        <w:szCs w:val="14"/>
      </w:rPr>
      <w:t>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3C86F79A"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6818E0">
      <w:rPr>
        <w:b/>
        <w:noProof/>
        <w:sz w:val="14"/>
        <w:szCs w:val="14"/>
      </w:rPr>
      <w:t>6.2.2</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6818E0">
      <w:rPr>
        <w:b/>
        <w:noProof/>
        <w:sz w:val="14"/>
        <w:szCs w:val="14"/>
      </w:rPr>
      <w:t>Medium density residential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768A943B"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6818E0">
      <w:rPr>
        <w:b/>
        <w:noProof/>
        <w:sz w:val="14"/>
        <w:szCs w:val="14"/>
      </w:rPr>
      <w:t>6.2.2</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6818E0">
      <w:rPr>
        <w:b/>
        <w:noProof/>
        <w:sz w:val="14"/>
        <w:szCs w:val="14"/>
      </w:rPr>
      <w:t>Medium density residential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6818E0">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DF5948"/>
    <w:multiLevelType w:val="multilevel"/>
    <w:tmpl w:val="DD5475B8"/>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4F27F8"/>
    <w:multiLevelType w:val="hybridMultilevel"/>
    <w:tmpl w:val="1CE83752"/>
    <w:lvl w:ilvl="0" w:tplc="65CE245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6"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44F6AFA"/>
    <w:multiLevelType w:val="multilevel"/>
    <w:tmpl w:val="3E3E1CF4"/>
    <w:numStyleLink w:val="StyleStyleNumberedOutlinenumberedArial"/>
  </w:abstractNum>
  <w:abstractNum w:abstractNumId="115"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B403482"/>
    <w:multiLevelType w:val="multilevel"/>
    <w:tmpl w:val="6C78AE22"/>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8"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1"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6"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7"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8"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6"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7"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158620444">
    <w:abstractNumId w:val="117"/>
  </w:num>
  <w:num w:numId="2" w16cid:durableId="1279097974">
    <w:abstractNumId w:val="9"/>
  </w:num>
  <w:num w:numId="3" w16cid:durableId="378095204">
    <w:abstractNumId w:val="103"/>
  </w:num>
  <w:num w:numId="4" w16cid:durableId="91440335">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069502474">
    <w:abstractNumId w:val="99"/>
  </w:num>
  <w:num w:numId="6" w16cid:durableId="1691374350">
    <w:abstractNumId w:val="114"/>
  </w:num>
  <w:num w:numId="7" w16cid:durableId="785856862">
    <w:abstractNumId w:val="90"/>
  </w:num>
  <w:num w:numId="8" w16cid:durableId="1125344501">
    <w:abstractNumId w:val="66"/>
  </w:num>
  <w:num w:numId="9" w16cid:durableId="1031222064">
    <w:abstractNumId w:val="112"/>
  </w:num>
  <w:num w:numId="10" w16cid:durableId="72162566">
    <w:abstractNumId w:val="79"/>
  </w:num>
  <w:num w:numId="11" w16cid:durableId="714542364">
    <w:abstractNumId w:val="145"/>
  </w:num>
  <w:num w:numId="12" w16cid:durableId="1662394020">
    <w:abstractNumId w:val="59"/>
  </w:num>
  <w:num w:numId="13" w16cid:durableId="1339890689">
    <w:abstractNumId w:val="53"/>
  </w:num>
  <w:num w:numId="14" w16cid:durableId="231895144">
    <w:abstractNumId w:val="74"/>
  </w:num>
  <w:num w:numId="15" w16cid:durableId="265580109">
    <w:abstractNumId w:val="43"/>
  </w:num>
  <w:num w:numId="16" w16cid:durableId="1431586160">
    <w:abstractNumId w:val="40"/>
  </w:num>
  <w:num w:numId="17" w16cid:durableId="932513918">
    <w:abstractNumId w:val="143"/>
  </w:num>
  <w:num w:numId="18" w16cid:durableId="1857041721">
    <w:abstractNumId w:val="87"/>
  </w:num>
  <w:num w:numId="19" w16cid:durableId="878128763">
    <w:abstractNumId w:val="80"/>
  </w:num>
  <w:num w:numId="20" w16cid:durableId="1663006767">
    <w:abstractNumId w:val="21"/>
  </w:num>
  <w:num w:numId="21" w16cid:durableId="1267425327">
    <w:abstractNumId w:val="35"/>
  </w:num>
  <w:num w:numId="22" w16cid:durableId="948505847">
    <w:abstractNumId w:val="29"/>
  </w:num>
  <w:num w:numId="23" w16cid:durableId="1593471470">
    <w:abstractNumId w:val="23"/>
  </w:num>
  <w:num w:numId="24" w16cid:durableId="2085713402">
    <w:abstractNumId w:val="28"/>
  </w:num>
  <w:num w:numId="25" w16cid:durableId="189146093">
    <w:abstractNumId w:val="14"/>
  </w:num>
  <w:num w:numId="26" w16cid:durableId="1977756032">
    <w:abstractNumId w:val="95"/>
  </w:num>
  <w:num w:numId="27" w16cid:durableId="115636449">
    <w:abstractNumId w:val="97"/>
  </w:num>
  <w:num w:numId="28" w16cid:durableId="1824468553">
    <w:abstractNumId w:val="96"/>
  </w:num>
  <w:num w:numId="29" w16cid:durableId="1588877247">
    <w:abstractNumId w:val="22"/>
  </w:num>
  <w:num w:numId="30" w16cid:durableId="1258101941">
    <w:abstractNumId w:val="68"/>
  </w:num>
  <w:num w:numId="31" w16cid:durableId="1043408427">
    <w:abstractNumId w:val="55"/>
  </w:num>
  <w:num w:numId="32" w16cid:durableId="1858077191">
    <w:abstractNumId w:val="91"/>
  </w:num>
  <w:num w:numId="33" w16cid:durableId="520365227">
    <w:abstractNumId w:val="84"/>
  </w:num>
  <w:num w:numId="34" w16cid:durableId="1771117399">
    <w:abstractNumId w:val="26"/>
  </w:num>
  <w:num w:numId="35" w16cid:durableId="492649794">
    <w:abstractNumId w:val="46"/>
  </w:num>
  <w:num w:numId="36" w16cid:durableId="1291209106">
    <w:abstractNumId w:val="111"/>
  </w:num>
  <w:num w:numId="37" w16cid:durableId="1642616056">
    <w:abstractNumId w:val="24"/>
  </w:num>
  <w:num w:numId="38" w16cid:durableId="2028629777">
    <w:abstractNumId w:val="142"/>
  </w:num>
  <w:num w:numId="39" w16cid:durableId="1462724033">
    <w:abstractNumId w:val="107"/>
  </w:num>
  <w:num w:numId="40" w16cid:durableId="1365641508">
    <w:abstractNumId w:val="42"/>
  </w:num>
  <w:num w:numId="41" w16cid:durableId="1009871249">
    <w:abstractNumId w:val="7"/>
  </w:num>
  <w:num w:numId="42" w16cid:durableId="319314287">
    <w:abstractNumId w:val="76"/>
  </w:num>
  <w:num w:numId="43" w16cid:durableId="30809614">
    <w:abstractNumId w:val="138"/>
  </w:num>
  <w:num w:numId="44" w16cid:durableId="1426077292">
    <w:abstractNumId w:val="135"/>
  </w:num>
  <w:num w:numId="45" w16cid:durableId="1543446870">
    <w:abstractNumId w:val="106"/>
  </w:num>
  <w:num w:numId="46" w16cid:durableId="606934694">
    <w:abstractNumId w:val="132"/>
  </w:num>
  <w:num w:numId="47" w16cid:durableId="1043217474">
    <w:abstractNumId w:val="60"/>
  </w:num>
  <w:num w:numId="48" w16cid:durableId="983699931">
    <w:abstractNumId w:val="70"/>
  </w:num>
  <w:num w:numId="49" w16cid:durableId="2022660933">
    <w:abstractNumId w:val="136"/>
  </w:num>
  <w:num w:numId="50" w16cid:durableId="588122126">
    <w:abstractNumId w:val="37"/>
  </w:num>
  <w:num w:numId="51" w16cid:durableId="184485706">
    <w:abstractNumId w:val="72"/>
  </w:num>
  <w:num w:numId="52" w16cid:durableId="970018240">
    <w:abstractNumId w:val="137"/>
  </w:num>
  <w:num w:numId="53" w16cid:durableId="940841592">
    <w:abstractNumId w:val="100"/>
  </w:num>
  <w:num w:numId="54" w16cid:durableId="1633172238">
    <w:abstractNumId w:val="17"/>
  </w:num>
  <w:num w:numId="55" w16cid:durableId="617878036">
    <w:abstractNumId w:val="25"/>
  </w:num>
  <w:num w:numId="56" w16cid:durableId="185683897">
    <w:abstractNumId w:val="108"/>
  </w:num>
  <w:num w:numId="57" w16cid:durableId="914245039">
    <w:abstractNumId w:val="69"/>
  </w:num>
  <w:num w:numId="58" w16cid:durableId="1520118561">
    <w:abstractNumId w:val="73"/>
  </w:num>
  <w:num w:numId="59" w16cid:durableId="625434370">
    <w:abstractNumId w:val="54"/>
  </w:num>
  <w:num w:numId="60" w16cid:durableId="1925914767">
    <w:abstractNumId w:val="4"/>
  </w:num>
  <w:num w:numId="61" w16cid:durableId="132991594">
    <w:abstractNumId w:val="83"/>
  </w:num>
  <w:num w:numId="62" w16cid:durableId="1407335921">
    <w:abstractNumId w:val="51"/>
  </w:num>
  <w:num w:numId="63" w16cid:durableId="985939926">
    <w:abstractNumId w:val="10"/>
  </w:num>
  <w:num w:numId="64" w16cid:durableId="1811241184">
    <w:abstractNumId w:val="123"/>
  </w:num>
  <w:num w:numId="65" w16cid:durableId="695542382">
    <w:abstractNumId w:val="116"/>
  </w:num>
  <w:num w:numId="66" w16cid:durableId="142703047">
    <w:abstractNumId w:val="67"/>
  </w:num>
  <w:num w:numId="67" w16cid:durableId="591010311">
    <w:abstractNumId w:val="125"/>
  </w:num>
  <w:num w:numId="68" w16cid:durableId="401561589">
    <w:abstractNumId w:val="61"/>
  </w:num>
  <w:num w:numId="69" w16cid:durableId="354238069">
    <w:abstractNumId w:val="50"/>
  </w:num>
  <w:num w:numId="70" w16cid:durableId="684675838">
    <w:abstractNumId w:val="77"/>
  </w:num>
  <w:num w:numId="71" w16cid:durableId="1756393043">
    <w:abstractNumId w:val="49"/>
  </w:num>
  <w:num w:numId="72" w16cid:durableId="1536500749">
    <w:abstractNumId w:val="128"/>
  </w:num>
  <w:num w:numId="73" w16cid:durableId="1174026615">
    <w:abstractNumId w:val="94"/>
  </w:num>
  <w:num w:numId="74" w16cid:durableId="47195531">
    <w:abstractNumId w:val="133"/>
  </w:num>
  <w:num w:numId="75" w16cid:durableId="1114132972">
    <w:abstractNumId w:val="16"/>
  </w:num>
  <w:num w:numId="76" w16cid:durableId="525872111">
    <w:abstractNumId w:val="45"/>
  </w:num>
  <w:num w:numId="77" w16cid:durableId="746347594">
    <w:abstractNumId w:val="104"/>
  </w:num>
  <w:num w:numId="78" w16cid:durableId="47414561">
    <w:abstractNumId w:val="139"/>
  </w:num>
  <w:num w:numId="79" w16cid:durableId="1284768617">
    <w:abstractNumId w:val="11"/>
  </w:num>
  <w:num w:numId="80" w16cid:durableId="1709529511">
    <w:abstractNumId w:val="119"/>
  </w:num>
  <w:num w:numId="81" w16cid:durableId="885292427">
    <w:abstractNumId w:val="121"/>
  </w:num>
  <w:num w:numId="82" w16cid:durableId="1229149004">
    <w:abstractNumId w:val="65"/>
  </w:num>
  <w:num w:numId="83" w16cid:durableId="1476408814">
    <w:abstractNumId w:val="12"/>
  </w:num>
  <w:num w:numId="84" w16cid:durableId="263997884">
    <w:abstractNumId w:val="131"/>
  </w:num>
  <w:num w:numId="85" w16cid:durableId="1781290945">
    <w:abstractNumId w:val="147"/>
  </w:num>
  <w:num w:numId="86" w16cid:durableId="651561754">
    <w:abstractNumId w:val="140"/>
  </w:num>
  <w:num w:numId="87" w16cid:durableId="1395155081">
    <w:abstractNumId w:val="32"/>
  </w:num>
  <w:num w:numId="88" w16cid:durableId="1417824528">
    <w:abstractNumId w:val="33"/>
  </w:num>
  <w:num w:numId="89" w16cid:durableId="774246687">
    <w:abstractNumId w:val="62"/>
  </w:num>
  <w:num w:numId="90" w16cid:durableId="1799298981">
    <w:abstractNumId w:val="64"/>
  </w:num>
  <w:num w:numId="91" w16cid:durableId="2045205121">
    <w:abstractNumId w:val="44"/>
  </w:num>
  <w:num w:numId="92" w16cid:durableId="1472357570">
    <w:abstractNumId w:val="58"/>
  </w:num>
  <w:num w:numId="93" w16cid:durableId="1236083770">
    <w:abstractNumId w:val="92"/>
  </w:num>
  <w:num w:numId="94" w16cid:durableId="970284311">
    <w:abstractNumId w:val="115"/>
  </w:num>
  <w:num w:numId="95" w16cid:durableId="1821997715">
    <w:abstractNumId w:val="113"/>
  </w:num>
  <w:num w:numId="96" w16cid:durableId="873540410">
    <w:abstractNumId w:val="63"/>
  </w:num>
  <w:num w:numId="97" w16cid:durableId="378866639">
    <w:abstractNumId w:val="13"/>
  </w:num>
  <w:num w:numId="98" w16cid:durableId="1232348227">
    <w:abstractNumId w:val="122"/>
  </w:num>
  <w:num w:numId="99" w16cid:durableId="1533610442">
    <w:abstractNumId w:val="36"/>
  </w:num>
  <w:num w:numId="100" w16cid:durableId="421993111">
    <w:abstractNumId w:val="56"/>
  </w:num>
  <w:num w:numId="101" w16cid:durableId="2005161594">
    <w:abstractNumId w:val="144"/>
  </w:num>
  <w:num w:numId="102" w16cid:durableId="1295404392">
    <w:abstractNumId w:val="102"/>
  </w:num>
  <w:num w:numId="103" w16cid:durableId="1071661187">
    <w:abstractNumId w:val="38"/>
  </w:num>
  <w:num w:numId="104" w16cid:durableId="357589796">
    <w:abstractNumId w:val="129"/>
  </w:num>
  <w:num w:numId="105" w16cid:durableId="270237523">
    <w:abstractNumId w:val="39"/>
  </w:num>
  <w:num w:numId="106" w16cid:durableId="1141537210">
    <w:abstractNumId w:val="52"/>
  </w:num>
  <w:num w:numId="107" w16cid:durableId="539780853">
    <w:abstractNumId w:val="148"/>
  </w:num>
  <w:num w:numId="108" w16cid:durableId="2142190607">
    <w:abstractNumId w:val="134"/>
  </w:num>
  <w:num w:numId="109" w16cid:durableId="294649995">
    <w:abstractNumId w:val="34"/>
  </w:num>
  <w:num w:numId="110" w16cid:durableId="1059013822">
    <w:abstractNumId w:val="0"/>
  </w:num>
  <w:num w:numId="111" w16cid:durableId="577403694">
    <w:abstractNumId w:val="78"/>
  </w:num>
  <w:num w:numId="112" w16cid:durableId="1898663532">
    <w:abstractNumId w:val="88"/>
  </w:num>
  <w:num w:numId="113" w16cid:durableId="1566060779">
    <w:abstractNumId w:val="47"/>
  </w:num>
  <w:num w:numId="114" w16cid:durableId="293875598">
    <w:abstractNumId w:val="27"/>
  </w:num>
  <w:num w:numId="115" w16cid:durableId="518859911">
    <w:abstractNumId w:val="98"/>
  </w:num>
  <w:num w:numId="116" w16cid:durableId="1665626771">
    <w:abstractNumId w:val="85"/>
  </w:num>
  <w:num w:numId="117" w16cid:durableId="1895967786">
    <w:abstractNumId w:val="81"/>
  </w:num>
  <w:num w:numId="118" w16cid:durableId="659190014">
    <w:abstractNumId w:val="141"/>
  </w:num>
  <w:num w:numId="119" w16cid:durableId="1552225498">
    <w:abstractNumId w:val="3"/>
  </w:num>
  <w:num w:numId="120" w16cid:durableId="1279067673">
    <w:abstractNumId w:val="109"/>
  </w:num>
  <w:num w:numId="121" w16cid:durableId="1210646557">
    <w:abstractNumId w:val="126"/>
  </w:num>
  <w:num w:numId="122" w16cid:durableId="508253231">
    <w:abstractNumId w:val="105"/>
  </w:num>
  <w:num w:numId="123" w16cid:durableId="459348628">
    <w:abstractNumId w:val="5"/>
  </w:num>
  <w:num w:numId="124" w16cid:durableId="137110013">
    <w:abstractNumId w:val="71"/>
  </w:num>
  <w:num w:numId="125" w16cid:durableId="679744617">
    <w:abstractNumId w:val="82"/>
  </w:num>
  <w:num w:numId="126" w16cid:durableId="1255897238">
    <w:abstractNumId w:val="118"/>
  </w:num>
  <w:num w:numId="127" w16cid:durableId="555312435">
    <w:abstractNumId w:val="110"/>
  </w:num>
  <w:num w:numId="128" w16cid:durableId="1947342459">
    <w:abstractNumId w:val="2"/>
  </w:num>
  <w:num w:numId="129" w16cid:durableId="1387027177">
    <w:abstractNumId w:val="57"/>
  </w:num>
  <w:num w:numId="130" w16cid:durableId="1633705965">
    <w:abstractNumId w:val="1"/>
  </w:num>
  <w:num w:numId="131" w16cid:durableId="2094692593">
    <w:abstractNumId w:val="146"/>
  </w:num>
  <w:num w:numId="132" w16cid:durableId="2109501716">
    <w:abstractNumId w:val="149"/>
  </w:num>
  <w:num w:numId="133" w16cid:durableId="1207402342">
    <w:abstractNumId w:val="20"/>
  </w:num>
  <w:num w:numId="134" w16cid:durableId="1228566381">
    <w:abstractNumId w:val="30"/>
  </w:num>
  <w:num w:numId="135" w16cid:durableId="1333069141">
    <w:abstractNumId w:val="120"/>
  </w:num>
  <w:num w:numId="136" w16cid:durableId="1864587002">
    <w:abstractNumId w:val="6"/>
  </w:num>
  <w:num w:numId="137" w16cid:durableId="1767845803">
    <w:abstractNumId w:val="130"/>
  </w:num>
  <w:num w:numId="138" w16cid:durableId="1930966130">
    <w:abstractNumId w:val="15"/>
  </w:num>
  <w:num w:numId="139" w16cid:durableId="15930309">
    <w:abstractNumId w:val="48"/>
  </w:num>
  <w:num w:numId="140" w16cid:durableId="1388645571">
    <w:abstractNumId w:val="75"/>
  </w:num>
  <w:num w:numId="141" w16cid:durableId="1025592515">
    <w:abstractNumId w:val="31"/>
  </w:num>
  <w:num w:numId="142" w16cid:durableId="1307081706">
    <w:abstractNumId w:val="8"/>
  </w:num>
  <w:num w:numId="143" w16cid:durableId="1367754649">
    <w:abstractNumId w:val="127"/>
  </w:num>
  <w:num w:numId="144" w16cid:durableId="1719937898">
    <w:abstractNumId w:val="86"/>
  </w:num>
  <w:num w:numId="145" w16cid:durableId="101002372">
    <w:abstractNumId w:val="89"/>
  </w:num>
  <w:num w:numId="146" w16cid:durableId="1530070642">
    <w:abstractNumId w:val="18"/>
  </w:num>
  <w:num w:numId="147" w16cid:durableId="1975670641">
    <w:abstractNumId w:val="19"/>
  </w:num>
  <w:num w:numId="148" w16cid:durableId="180705431">
    <w:abstractNumId w:val="124"/>
  </w:num>
  <w:num w:numId="149" w16cid:durableId="1263218214">
    <w:abstractNumId w:val="101"/>
  </w:num>
  <w:num w:numId="150" w16cid:durableId="327560052">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17E2"/>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E0"/>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379D0"/>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2BA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3B54"/>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EE769506-33D6-45E5-A5E0-05269378175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9858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JPK</dc:creator>
  <cp:keywords/>
  <dc:description/>
  <cp:lastModifiedBy>Bethany Williams-Holthouse</cp:lastModifiedBy>
  <cp:revision>2</cp:revision>
  <cp:lastPrinted>2020-01-20T01:12:00Z</cp:lastPrinted>
  <dcterms:created xsi:type="dcterms:W3CDTF">2023-03-14T23:44:00Z</dcterms:created>
  <dcterms:modified xsi:type="dcterms:W3CDTF">2023-03-14T23:44:00Z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