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DE916" w14:textId="77777777" w:rsidR="000D31F0" w:rsidRPr="000D31F0" w:rsidRDefault="000D31F0" w:rsidP="000D31F0">
      <w:pPr>
        <w:pStyle w:val="ListParagraph"/>
        <w:keepNext/>
        <w:numPr>
          <w:ilvl w:val="0"/>
          <w:numId w:val="2"/>
        </w:numPr>
        <w:spacing w:before="100" w:after="200"/>
        <w:outlineLvl w:val="0"/>
        <w:rPr>
          <w:rFonts w:cs="Arial"/>
          <w:b/>
          <w:bCs/>
          <w:vanish/>
          <w:kern w:val="32"/>
          <w:sz w:val="32"/>
          <w:szCs w:val="32"/>
        </w:rPr>
      </w:pPr>
      <w:bookmarkStart w:id="0" w:name="_Toc321921943"/>
      <w:bookmarkStart w:id="1" w:name="_Toc332985292"/>
      <w:bookmarkStart w:id="2" w:name="_Toc29993456"/>
      <w:bookmarkStart w:id="3" w:name="_Toc29993491"/>
    </w:p>
    <w:p w14:paraId="0F052A9A" w14:textId="77777777" w:rsidR="000D31F0" w:rsidRPr="000D31F0" w:rsidRDefault="000D31F0" w:rsidP="000D31F0">
      <w:pPr>
        <w:pStyle w:val="ListParagraph"/>
        <w:keepNext/>
        <w:numPr>
          <w:ilvl w:val="1"/>
          <w:numId w:val="2"/>
        </w:numPr>
        <w:spacing w:before="100" w:after="200"/>
        <w:outlineLvl w:val="1"/>
        <w:rPr>
          <w:rFonts w:cs="Arial"/>
          <w:b/>
          <w:bCs/>
          <w:iCs/>
          <w:vanish/>
          <w:sz w:val="28"/>
          <w:szCs w:val="28"/>
        </w:rPr>
      </w:pPr>
    </w:p>
    <w:p w14:paraId="3976B1BB" w14:textId="77777777" w:rsidR="000D31F0" w:rsidRPr="000D31F0" w:rsidRDefault="000D31F0" w:rsidP="000D31F0">
      <w:pPr>
        <w:pStyle w:val="ListParagraph"/>
        <w:keepNext/>
        <w:numPr>
          <w:ilvl w:val="1"/>
          <w:numId w:val="2"/>
        </w:numPr>
        <w:spacing w:before="100" w:after="200"/>
        <w:outlineLvl w:val="1"/>
        <w:rPr>
          <w:rFonts w:cs="Arial"/>
          <w:b/>
          <w:bCs/>
          <w:iCs/>
          <w:vanish/>
          <w:sz w:val="28"/>
          <w:szCs w:val="28"/>
        </w:rPr>
      </w:pPr>
    </w:p>
    <w:p w14:paraId="256BD9CF" w14:textId="77777777" w:rsidR="000D31F0" w:rsidRPr="000D31F0" w:rsidRDefault="000D31F0" w:rsidP="000D31F0">
      <w:pPr>
        <w:pStyle w:val="ListParagraph"/>
        <w:keepNext/>
        <w:numPr>
          <w:ilvl w:val="2"/>
          <w:numId w:val="2"/>
        </w:numPr>
        <w:spacing w:before="100" w:after="200"/>
        <w:outlineLvl w:val="2"/>
        <w:rPr>
          <w:rFonts w:cs="Arial"/>
          <w:b/>
          <w:bCs/>
          <w:vanish/>
          <w:sz w:val="24"/>
          <w:szCs w:val="26"/>
        </w:rPr>
      </w:pPr>
    </w:p>
    <w:p w14:paraId="6342E917" w14:textId="77777777" w:rsidR="000D31F0" w:rsidRPr="000D31F0" w:rsidRDefault="000D31F0" w:rsidP="000D31F0">
      <w:pPr>
        <w:pStyle w:val="ListParagraph"/>
        <w:keepNext/>
        <w:numPr>
          <w:ilvl w:val="2"/>
          <w:numId w:val="2"/>
        </w:numPr>
        <w:spacing w:before="100" w:after="200"/>
        <w:outlineLvl w:val="2"/>
        <w:rPr>
          <w:rFonts w:cs="Arial"/>
          <w:b/>
          <w:bCs/>
          <w:vanish/>
          <w:sz w:val="24"/>
          <w:szCs w:val="26"/>
        </w:rPr>
      </w:pPr>
    </w:p>
    <w:p w14:paraId="0A45A0C7" w14:textId="77777777" w:rsidR="000D31F0" w:rsidRPr="000D31F0" w:rsidRDefault="000D31F0" w:rsidP="000D31F0">
      <w:pPr>
        <w:pStyle w:val="ListParagraph"/>
        <w:keepNext/>
        <w:numPr>
          <w:ilvl w:val="2"/>
          <w:numId w:val="2"/>
        </w:numPr>
        <w:spacing w:before="100" w:after="200"/>
        <w:outlineLvl w:val="2"/>
        <w:rPr>
          <w:rFonts w:cs="Arial"/>
          <w:b/>
          <w:bCs/>
          <w:vanish/>
          <w:sz w:val="24"/>
          <w:szCs w:val="26"/>
        </w:rPr>
      </w:pPr>
    </w:p>
    <w:p w14:paraId="1F4AFD94" w14:textId="77777777" w:rsidR="000D31F0" w:rsidRPr="000D31F0" w:rsidRDefault="000D31F0" w:rsidP="000D31F0">
      <w:pPr>
        <w:pStyle w:val="ListParagraph"/>
        <w:keepNext/>
        <w:numPr>
          <w:ilvl w:val="2"/>
          <w:numId w:val="2"/>
        </w:numPr>
        <w:spacing w:before="100" w:after="200"/>
        <w:outlineLvl w:val="2"/>
        <w:rPr>
          <w:rFonts w:cs="Arial"/>
          <w:b/>
          <w:bCs/>
          <w:vanish/>
          <w:sz w:val="24"/>
          <w:szCs w:val="26"/>
        </w:rPr>
      </w:pPr>
    </w:p>
    <w:p w14:paraId="4EB17A62" w14:textId="2C359968" w:rsidR="000D31F0" w:rsidRDefault="000D31F0" w:rsidP="000D31F0">
      <w:pPr>
        <w:pStyle w:val="Heading3"/>
      </w:pPr>
      <w:r>
        <w:t>Major centre zone code</w:t>
      </w:r>
      <w:bookmarkEnd w:id="0"/>
      <w:bookmarkEnd w:id="1"/>
      <w:bookmarkEnd w:id="2"/>
      <w:bookmarkEnd w:id="3"/>
    </w:p>
    <w:p w14:paraId="09B0D7D9" w14:textId="77777777" w:rsidR="000D31F0" w:rsidRDefault="000D31F0" w:rsidP="000D31F0">
      <w:pPr>
        <w:pStyle w:val="Heading4"/>
        <w:spacing w:before="100" w:after="200"/>
        <w:ind w:right="5951"/>
      </w:pPr>
      <w:bookmarkStart w:id="4" w:name="_Toc332985293"/>
      <w:r>
        <w:t>Application</w:t>
      </w:r>
      <w:bookmarkEnd w:id="4"/>
    </w:p>
    <w:p w14:paraId="5924D240" w14:textId="77777777" w:rsidR="00E81E75" w:rsidRPr="000876B7" w:rsidRDefault="00E81E75" w:rsidP="00E81E75">
      <w:pPr>
        <w:rPr>
          <w:rFonts w:cs="Arial"/>
          <w:sz w:val="18"/>
          <w:szCs w:val="18"/>
        </w:rPr>
      </w:pPr>
      <w:r w:rsidRPr="000876B7">
        <w:rPr>
          <w:rFonts w:cs="Arial"/>
          <w:sz w:val="18"/>
          <w:szCs w:val="18"/>
        </w:rPr>
        <w:t>This code applies to development:-</w:t>
      </w:r>
    </w:p>
    <w:p w14:paraId="74A2D8C2" w14:textId="77777777" w:rsidR="00E81E75" w:rsidRPr="000876B7" w:rsidRDefault="00E81E75" w:rsidP="00E81E75">
      <w:pPr>
        <w:ind w:left="567"/>
        <w:rPr>
          <w:rFonts w:cs="Arial"/>
          <w:sz w:val="18"/>
          <w:szCs w:val="18"/>
        </w:rPr>
      </w:pPr>
    </w:p>
    <w:p w14:paraId="26627FD1" w14:textId="77777777" w:rsidR="00E81E75" w:rsidRPr="000876B7" w:rsidRDefault="00E81E75" w:rsidP="00E81E75">
      <w:pPr>
        <w:numPr>
          <w:ilvl w:val="0"/>
          <w:numId w:val="104"/>
        </w:numPr>
        <w:rPr>
          <w:rFonts w:cs="Arial"/>
          <w:sz w:val="18"/>
          <w:szCs w:val="18"/>
        </w:rPr>
      </w:pPr>
      <w:r w:rsidRPr="000876B7">
        <w:rPr>
          <w:rFonts w:cs="Arial"/>
          <w:sz w:val="18"/>
          <w:szCs w:val="18"/>
        </w:rPr>
        <w:t xml:space="preserve">within the </w:t>
      </w:r>
      <w:r>
        <w:rPr>
          <w:rFonts w:cs="Arial"/>
          <w:sz w:val="18"/>
          <w:szCs w:val="18"/>
        </w:rPr>
        <w:t>Major centre</w:t>
      </w:r>
      <w:r w:rsidRPr="000876B7">
        <w:rPr>
          <w:rFonts w:cs="Arial"/>
          <w:sz w:val="18"/>
          <w:szCs w:val="18"/>
        </w:rPr>
        <w:t xml:space="preserve"> zone as identified on the zon</w:t>
      </w:r>
      <w:r>
        <w:rPr>
          <w:rFonts w:cs="Arial"/>
          <w:sz w:val="18"/>
          <w:szCs w:val="18"/>
        </w:rPr>
        <w:t>e</w:t>
      </w:r>
      <w:r w:rsidRPr="000876B7">
        <w:rPr>
          <w:rFonts w:cs="Arial"/>
          <w:sz w:val="18"/>
          <w:szCs w:val="18"/>
        </w:rPr>
        <w:t xml:space="preserve"> maps</w:t>
      </w:r>
      <w:r w:rsidRPr="00262303">
        <w:rPr>
          <w:rFonts w:cs="Arial"/>
          <w:sz w:val="18"/>
          <w:szCs w:val="18"/>
        </w:rPr>
        <w:t xml:space="preserve"> contained in </w:t>
      </w:r>
      <w:r w:rsidRPr="000876B7">
        <w:rPr>
          <w:rFonts w:cs="Arial"/>
          <w:b/>
          <w:sz w:val="18"/>
          <w:szCs w:val="18"/>
        </w:rPr>
        <w:t>Schedule 2 (Mapping)</w:t>
      </w:r>
      <w:r w:rsidRPr="00262303">
        <w:rPr>
          <w:rFonts w:cs="Arial"/>
          <w:sz w:val="18"/>
          <w:szCs w:val="18"/>
        </w:rPr>
        <w:t>; and</w:t>
      </w:r>
    </w:p>
    <w:p w14:paraId="2BCE39C9" w14:textId="77777777" w:rsidR="00E81E75" w:rsidRPr="00262303" w:rsidRDefault="00E81E75" w:rsidP="00E81E75">
      <w:pPr>
        <w:rPr>
          <w:sz w:val="18"/>
          <w:szCs w:val="18"/>
        </w:rPr>
      </w:pPr>
    </w:p>
    <w:p w14:paraId="218BAB17" w14:textId="77777777" w:rsidR="00E81E75" w:rsidRPr="00262303" w:rsidRDefault="00E81E75" w:rsidP="00E81E75">
      <w:pPr>
        <w:numPr>
          <w:ilvl w:val="0"/>
          <w:numId w:val="104"/>
        </w:numPr>
        <w:rPr>
          <w:sz w:val="18"/>
          <w:szCs w:val="18"/>
        </w:rPr>
      </w:pPr>
      <w:r w:rsidRPr="00262303">
        <w:rPr>
          <w:sz w:val="18"/>
          <w:szCs w:val="18"/>
        </w:rPr>
        <w:t xml:space="preserve">identified as requiring assessment against the </w:t>
      </w:r>
      <w:r>
        <w:rPr>
          <w:sz w:val="18"/>
          <w:szCs w:val="18"/>
        </w:rPr>
        <w:t>Major centre</w:t>
      </w:r>
      <w:r w:rsidRPr="00262303">
        <w:rPr>
          <w:sz w:val="18"/>
          <w:szCs w:val="18"/>
        </w:rPr>
        <w:t xml:space="preserve"> zone code by the tables of assessment in </w:t>
      </w:r>
      <w:r w:rsidRPr="00262303">
        <w:rPr>
          <w:b/>
          <w:sz w:val="18"/>
          <w:szCs w:val="18"/>
        </w:rPr>
        <w:t>Part 5 (Tables of assessment)</w:t>
      </w:r>
      <w:r w:rsidRPr="00262303">
        <w:rPr>
          <w:sz w:val="18"/>
          <w:szCs w:val="18"/>
        </w:rPr>
        <w:t>.</w:t>
      </w:r>
    </w:p>
    <w:p w14:paraId="4A353EDE" w14:textId="77777777" w:rsidR="000D31F0" w:rsidRPr="007222E9" w:rsidRDefault="000D31F0" w:rsidP="000D31F0">
      <w:pPr>
        <w:tabs>
          <w:tab w:val="num" w:pos="1827"/>
        </w:tabs>
        <w:ind w:right="5951"/>
        <w:rPr>
          <w:sz w:val="18"/>
          <w:szCs w:val="18"/>
        </w:rPr>
      </w:pPr>
    </w:p>
    <w:p w14:paraId="77B9A070" w14:textId="77777777" w:rsidR="000D31F0" w:rsidRDefault="000D31F0" w:rsidP="000D31F0">
      <w:pPr>
        <w:pStyle w:val="Heading4"/>
        <w:spacing w:before="100" w:after="200"/>
        <w:ind w:right="5951"/>
      </w:pPr>
      <w:bookmarkStart w:id="5" w:name="_Toc332985294"/>
      <w:r>
        <w:t>Purpose and overall outcomes</w:t>
      </w:r>
      <w:bookmarkEnd w:id="5"/>
    </w:p>
    <w:p w14:paraId="6C879298" w14:textId="77777777" w:rsidR="00E81E75" w:rsidRPr="007222E9" w:rsidRDefault="00E81E75" w:rsidP="00E81E75">
      <w:pPr>
        <w:numPr>
          <w:ilvl w:val="0"/>
          <w:numId w:val="66"/>
        </w:numPr>
        <w:rPr>
          <w:sz w:val="18"/>
          <w:szCs w:val="18"/>
        </w:rPr>
      </w:pPr>
      <w:r w:rsidRPr="007222E9">
        <w:rPr>
          <w:sz w:val="18"/>
          <w:szCs w:val="18"/>
        </w:rPr>
        <w:t xml:space="preserve">The purpose of the </w:t>
      </w:r>
      <w:r w:rsidRPr="007222E9">
        <w:rPr>
          <w:rFonts w:cs="Arial"/>
          <w:sz w:val="18"/>
          <w:szCs w:val="18"/>
        </w:rPr>
        <w:t xml:space="preserve">Major centre zone code is to accommodate a wide mix of uses including higher order retail, entertainment and commercial facilities in the major retail centre that services a sub-regional catchment population.  </w:t>
      </w:r>
    </w:p>
    <w:p w14:paraId="280FD1B9" w14:textId="77777777" w:rsidR="00E81E75" w:rsidRPr="007222E9" w:rsidRDefault="00E81E75" w:rsidP="00E81E75">
      <w:pPr>
        <w:ind w:left="567"/>
        <w:rPr>
          <w:sz w:val="18"/>
          <w:szCs w:val="18"/>
        </w:rPr>
      </w:pPr>
    </w:p>
    <w:p w14:paraId="01ED6D78" w14:textId="77777777" w:rsidR="00E81E75" w:rsidRPr="007222E9" w:rsidRDefault="00E81E75" w:rsidP="00E81E75">
      <w:pPr>
        <w:ind w:left="567"/>
        <w:rPr>
          <w:sz w:val="18"/>
          <w:szCs w:val="18"/>
        </w:rPr>
      </w:pPr>
      <w:r w:rsidRPr="007222E9">
        <w:rPr>
          <w:sz w:val="18"/>
          <w:szCs w:val="18"/>
        </w:rPr>
        <w:t>The zone may accommodate concentrations of higher order retail, professional offices, residential, administrative and health services, community and other uses capable of servicing a significant part of the planning scheme area, provided that these facilities and uses should not more appropriately be accommodated in the Bundaberg CBD.</w:t>
      </w:r>
    </w:p>
    <w:p w14:paraId="0C8D3E1C" w14:textId="77777777" w:rsidR="00E81E75" w:rsidRPr="007222E9" w:rsidRDefault="00E81E75" w:rsidP="00E81E75">
      <w:pPr>
        <w:ind w:left="567"/>
        <w:rPr>
          <w:sz w:val="18"/>
          <w:szCs w:val="18"/>
        </w:rPr>
      </w:pPr>
    </w:p>
    <w:p w14:paraId="21945D6A" w14:textId="77777777" w:rsidR="00E81E75" w:rsidRPr="007222E9" w:rsidRDefault="00E81E75" w:rsidP="00E81E75">
      <w:pPr>
        <w:ind w:left="567"/>
        <w:rPr>
          <w:rFonts w:cs="Arial"/>
          <w:sz w:val="18"/>
          <w:szCs w:val="18"/>
        </w:rPr>
      </w:pPr>
      <w:r w:rsidRPr="007222E9">
        <w:rPr>
          <w:rFonts w:cs="Arial"/>
          <w:sz w:val="18"/>
          <w:szCs w:val="18"/>
        </w:rPr>
        <w:t xml:space="preserve">The major centre is developed as a well-designed, safe and visually attractive business, community and employment centre. </w:t>
      </w:r>
    </w:p>
    <w:p w14:paraId="53D0808B" w14:textId="77777777" w:rsidR="00E81E75" w:rsidRPr="007222E9" w:rsidRDefault="00E81E75" w:rsidP="00E81E75">
      <w:pPr>
        <w:ind w:left="567"/>
        <w:rPr>
          <w:sz w:val="18"/>
          <w:szCs w:val="18"/>
        </w:rPr>
      </w:pPr>
    </w:p>
    <w:p w14:paraId="00E0254F" w14:textId="77777777" w:rsidR="00E81E75" w:rsidRPr="007222E9" w:rsidRDefault="00E81E75" w:rsidP="00E81E75">
      <w:pPr>
        <w:ind w:left="567"/>
        <w:rPr>
          <w:rFonts w:cs="Arial"/>
          <w:sz w:val="18"/>
          <w:szCs w:val="18"/>
        </w:rPr>
      </w:pPr>
      <w:r w:rsidRPr="007222E9">
        <w:rPr>
          <w:rFonts w:cs="Arial"/>
          <w:sz w:val="18"/>
          <w:szCs w:val="18"/>
        </w:rPr>
        <w:t xml:space="preserve">The major centre complements and does not undermine the role and function of Bundaberg CBD as the principal activity centre for the region. </w:t>
      </w:r>
    </w:p>
    <w:p w14:paraId="32040A89" w14:textId="77777777" w:rsidR="00E81E75" w:rsidRPr="007222E9" w:rsidRDefault="00E81E75" w:rsidP="00E81E75">
      <w:pPr>
        <w:rPr>
          <w:rFonts w:eastAsia="Calibri" w:cs="Arial"/>
          <w:sz w:val="18"/>
          <w:szCs w:val="18"/>
        </w:rPr>
      </w:pPr>
    </w:p>
    <w:p w14:paraId="60150482" w14:textId="77777777" w:rsidR="00E81E75" w:rsidRPr="007222E9" w:rsidRDefault="00E81E75" w:rsidP="00E81E75">
      <w:pPr>
        <w:numPr>
          <w:ilvl w:val="0"/>
          <w:numId w:val="66"/>
        </w:numPr>
        <w:rPr>
          <w:rFonts w:cs="Arial"/>
          <w:sz w:val="18"/>
          <w:szCs w:val="18"/>
        </w:rPr>
      </w:pPr>
      <w:r w:rsidRPr="007222E9">
        <w:rPr>
          <w:rFonts w:cs="Arial"/>
          <w:sz w:val="18"/>
          <w:szCs w:val="18"/>
        </w:rPr>
        <w:t>The purpose of the Major centre zone</w:t>
      </w:r>
      <w:r>
        <w:rPr>
          <w:rFonts w:cs="Arial"/>
          <w:sz w:val="18"/>
          <w:szCs w:val="18"/>
        </w:rPr>
        <w:t xml:space="preserve"> code</w:t>
      </w:r>
      <w:r w:rsidRPr="007222E9">
        <w:rPr>
          <w:rFonts w:cs="Arial"/>
          <w:sz w:val="18"/>
          <w:szCs w:val="18"/>
        </w:rPr>
        <w:t xml:space="preserve"> will be achieved through the following overall outcomes:-</w:t>
      </w:r>
    </w:p>
    <w:p w14:paraId="215AD34C" w14:textId="77777777" w:rsidR="00E81E75" w:rsidRPr="007222E9" w:rsidRDefault="00E81E75" w:rsidP="00E81E75">
      <w:pPr>
        <w:rPr>
          <w:rFonts w:cs="Arial"/>
          <w:sz w:val="18"/>
          <w:szCs w:val="18"/>
        </w:rPr>
      </w:pPr>
    </w:p>
    <w:p w14:paraId="3468C129" w14:textId="77777777" w:rsidR="00E81E75" w:rsidRDefault="00E81E75" w:rsidP="00E81E75">
      <w:pPr>
        <w:numPr>
          <w:ilvl w:val="1"/>
          <w:numId w:val="27"/>
        </w:numPr>
        <w:tabs>
          <w:tab w:val="num" w:pos="1134"/>
        </w:tabs>
        <w:ind w:left="1134" w:hanging="567"/>
        <w:rPr>
          <w:rFonts w:cs="Arial"/>
          <w:sz w:val="18"/>
          <w:szCs w:val="18"/>
        </w:rPr>
      </w:pPr>
      <w:r w:rsidRPr="007222E9">
        <w:rPr>
          <w:rFonts w:cs="Arial"/>
          <w:sz w:val="18"/>
          <w:szCs w:val="18"/>
        </w:rPr>
        <w:t>development supports the role of the zone as a sub-regional focus and location of a wide mix of higher order retailing, entertainment and commercial activities</w:t>
      </w:r>
      <w:r w:rsidRPr="0047101A">
        <w:t xml:space="preserve"> </w:t>
      </w:r>
      <w:r w:rsidRPr="0047101A">
        <w:rPr>
          <w:rFonts w:cs="Arial"/>
          <w:sz w:val="18"/>
          <w:szCs w:val="18"/>
        </w:rPr>
        <w:t>that service a sub-regional population</w:t>
      </w:r>
      <w:r>
        <w:rPr>
          <w:rFonts w:cs="Arial"/>
          <w:sz w:val="18"/>
          <w:szCs w:val="18"/>
        </w:rPr>
        <w:t>, and supports and strengthens linkages with nearby specialised activity centres, community facilities and industry areas, including the Bundaberg Airport, Bundaberg Recreational Precinct and CQUniversity</w:t>
      </w:r>
      <w:r w:rsidRPr="007222E9">
        <w:rPr>
          <w:rFonts w:cs="Arial"/>
          <w:sz w:val="18"/>
          <w:szCs w:val="18"/>
        </w:rPr>
        <w:t>;</w:t>
      </w:r>
    </w:p>
    <w:p w14:paraId="31C6FE5D" w14:textId="77777777" w:rsidR="00E81E75" w:rsidRDefault="00E81E75" w:rsidP="00E81E75">
      <w:pPr>
        <w:tabs>
          <w:tab w:val="num" w:pos="1134"/>
        </w:tabs>
        <w:ind w:left="1134" w:hanging="567"/>
        <w:rPr>
          <w:rFonts w:cs="Arial"/>
          <w:sz w:val="18"/>
          <w:szCs w:val="18"/>
        </w:rPr>
      </w:pPr>
    </w:p>
    <w:p w14:paraId="3A18FFAA" w14:textId="77777777" w:rsidR="00E81E75" w:rsidRPr="007222E9" w:rsidRDefault="00E81E75" w:rsidP="00E81E75">
      <w:pPr>
        <w:numPr>
          <w:ilvl w:val="1"/>
          <w:numId w:val="27"/>
        </w:numPr>
        <w:tabs>
          <w:tab w:val="num" w:pos="1134"/>
        </w:tabs>
        <w:ind w:left="1134" w:hanging="567"/>
        <w:rPr>
          <w:rFonts w:cs="Arial"/>
          <w:sz w:val="18"/>
          <w:szCs w:val="18"/>
        </w:rPr>
      </w:pPr>
      <w:r>
        <w:rPr>
          <w:rFonts w:cs="Arial"/>
          <w:sz w:val="18"/>
          <w:szCs w:val="18"/>
        </w:rPr>
        <w:t>a</w:t>
      </w:r>
      <w:r w:rsidRPr="0047101A">
        <w:rPr>
          <w:rFonts w:cs="Arial"/>
          <w:sz w:val="18"/>
          <w:szCs w:val="18"/>
        </w:rPr>
        <w:t xml:space="preserve"> department store may be established within the major activity centre only once such a store is established in the principal activity centre</w:t>
      </w:r>
      <w:r>
        <w:rPr>
          <w:rFonts w:cs="Arial"/>
          <w:sz w:val="18"/>
          <w:szCs w:val="18"/>
        </w:rPr>
        <w:t>;</w:t>
      </w:r>
    </w:p>
    <w:p w14:paraId="6C14FA57" w14:textId="77777777" w:rsidR="00E81E75" w:rsidRPr="007222E9" w:rsidRDefault="00E81E75" w:rsidP="00E81E75">
      <w:pPr>
        <w:rPr>
          <w:rFonts w:cs="Arial"/>
          <w:sz w:val="18"/>
          <w:szCs w:val="18"/>
        </w:rPr>
      </w:pPr>
    </w:p>
    <w:p w14:paraId="7BD4D6C9" w14:textId="77777777" w:rsidR="00E81E75" w:rsidRPr="007222E9" w:rsidRDefault="00E81E75" w:rsidP="00E81E75">
      <w:pPr>
        <w:numPr>
          <w:ilvl w:val="1"/>
          <w:numId w:val="27"/>
        </w:numPr>
        <w:tabs>
          <w:tab w:val="num" w:pos="1134"/>
        </w:tabs>
        <w:ind w:left="1134" w:hanging="567"/>
        <w:rPr>
          <w:rFonts w:cs="Arial"/>
          <w:sz w:val="18"/>
          <w:szCs w:val="18"/>
        </w:rPr>
      </w:pPr>
      <w:r w:rsidRPr="001A6813">
        <w:rPr>
          <w:rFonts w:cs="Arial"/>
          <w:sz w:val="18"/>
          <w:szCs w:val="18"/>
        </w:rPr>
        <w:t>higher density residential activities may be established where these activities complement the other functions of the zone</w:t>
      </w:r>
      <w:r>
        <w:rPr>
          <w:rFonts w:cs="Arial"/>
          <w:sz w:val="18"/>
          <w:szCs w:val="18"/>
        </w:rPr>
        <w:t>;</w:t>
      </w:r>
    </w:p>
    <w:p w14:paraId="2F40CE8A" w14:textId="77777777" w:rsidR="00E81E75" w:rsidRPr="007222E9" w:rsidRDefault="00E81E75" w:rsidP="00E81E75">
      <w:pPr>
        <w:rPr>
          <w:sz w:val="18"/>
          <w:szCs w:val="18"/>
        </w:rPr>
      </w:pPr>
    </w:p>
    <w:p w14:paraId="2BE79DF5" w14:textId="7DCFB11F" w:rsidR="00E81E75" w:rsidRPr="00E81E75" w:rsidRDefault="00E81E75" w:rsidP="00E81E75">
      <w:pPr>
        <w:pStyle w:val="ListParagraph"/>
        <w:numPr>
          <w:ilvl w:val="1"/>
          <w:numId w:val="27"/>
        </w:numPr>
        <w:rPr>
          <w:rFonts w:cs="Arial"/>
          <w:sz w:val="18"/>
          <w:szCs w:val="18"/>
        </w:rPr>
      </w:pPr>
      <w:r w:rsidRPr="00E81E75">
        <w:rPr>
          <w:rFonts w:cs="Arial"/>
          <w:sz w:val="18"/>
          <w:szCs w:val="18"/>
        </w:rPr>
        <w:t xml:space="preserve">major land uses contributing to employment, education and services in the Bundaberg Region are located in the centre commensurate with its subregional role and function. Development does not undermine or compromise the activity centre network by proposing a higher order or </w:t>
      </w:r>
      <w:proofErr w:type="spellStart"/>
      <w:r w:rsidRPr="00E81E75">
        <w:rPr>
          <w:rFonts w:cs="Arial"/>
          <w:sz w:val="18"/>
          <w:szCs w:val="18"/>
        </w:rPr>
        <w:t>Iarger</w:t>
      </w:r>
      <w:proofErr w:type="spellEnd"/>
      <w:r w:rsidRPr="00E81E75">
        <w:rPr>
          <w:rFonts w:cs="Arial"/>
          <w:sz w:val="18"/>
          <w:szCs w:val="18"/>
        </w:rPr>
        <w:t xml:space="preserve"> scale of uses than intended for the centre;</w:t>
      </w:r>
    </w:p>
    <w:p w14:paraId="5D86D3C3" w14:textId="77777777" w:rsidR="00E81E75" w:rsidRPr="00E81E75" w:rsidRDefault="00E81E75" w:rsidP="00E81E75">
      <w:pPr>
        <w:pStyle w:val="ListParagraph"/>
        <w:rPr>
          <w:rFonts w:cs="Arial"/>
          <w:sz w:val="18"/>
          <w:szCs w:val="18"/>
        </w:rPr>
      </w:pPr>
    </w:p>
    <w:p w14:paraId="33C913C5" w14:textId="2589720A" w:rsidR="00E81E75" w:rsidRDefault="00E81E75" w:rsidP="00E81E75">
      <w:pPr>
        <w:pStyle w:val="ListParagraph"/>
        <w:numPr>
          <w:ilvl w:val="1"/>
          <w:numId w:val="27"/>
        </w:numPr>
        <w:rPr>
          <w:rFonts w:cs="Arial"/>
          <w:sz w:val="18"/>
          <w:szCs w:val="18"/>
        </w:rPr>
      </w:pPr>
      <w:r w:rsidRPr="00E81E75">
        <w:rPr>
          <w:rFonts w:cs="Arial"/>
          <w:sz w:val="18"/>
          <w:szCs w:val="18"/>
        </w:rPr>
        <w:t>new regional level State government facilities for justice, education, health, community, administration and employment activities serving the Bundaberg Region are located in the Bundaberg CBD as the principal activity centre rather than in this centre;</w:t>
      </w:r>
    </w:p>
    <w:p w14:paraId="24E8B2B1" w14:textId="77777777" w:rsidR="00E81E75" w:rsidRPr="00E81E75" w:rsidRDefault="00E81E75" w:rsidP="00E81E75">
      <w:pPr>
        <w:rPr>
          <w:rFonts w:cs="Arial"/>
          <w:sz w:val="18"/>
          <w:szCs w:val="18"/>
        </w:rPr>
      </w:pPr>
    </w:p>
    <w:p w14:paraId="14A624A8" w14:textId="58CEC4B8" w:rsidR="00E81E75" w:rsidRDefault="00E81E75" w:rsidP="00E81E75">
      <w:pPr>
        <w:pStyle w:val="ListParagraph"/>
        <w:numPr>
          <w:ilvl w:val="1"/>
          <w:numId w:val="27"/>
        </w:numPr>
        <w:rPr>
          <w:rFonts w:cs="Arial"/>
          <w:sz w:val="18"/>
          <w:szCs w:val="18"/>
        </w:rPr>
      </w:pPr>
      <w:r w:rsidRPr="00E81E75">
        <w:rPr>
          <w:rFonts w:cs="Arial"/>
          <w:sz w:val="18"/>
          <w:szCs w:val="18"/>
        </w:rPr>
        <w:t>development facilitates the creation of a vibrant and safe activity centre, with attractive and functional buildings, streets, open space and other public places provided, befitting of the zone’s focus as a sub-regional hub;</w:t>
      </w:r>
    </w:p>
    <w:p w14:paraId="0F5D9EE3" w14:textId="77777777" w:rsidR="00E81E75" w:rsidRDefault="00E81E75" w:rsidP="00E81E75">
      <w:pPr>
        <w:pStyle w:val="ListParagraph"/>
        <w:ind w:left="1287"/>
        <w:rPr>
          <w:rFonts w:cs="Arial"/>
          <w:sz w:val="18"/>
          <w:szCs w:val="18"/>
        </w:rPr>
      </w:pPr>
    </w:p>
    <w:p w14:paraId="586A3A83" w14:textId="77777777" w:rsidR="00E81E75" w:rsidRDefault="00E81E75" w:rsidP="00E81E75">
      <w:pPr>
        <w:pStyle w:val="ListParagraph"/>
        <w:numPr>
          <w:ilvl w:val="1"/>
          <w:numId w:val="27"/>
        </w:numPr>
        <w:rPr>
          <w:rFonts w:cs="Arial"/>
          <w:sz w:val="18"/>
          <w:szCs w:val="18"/>
        </w:rPr>
      </w:pPr>
      <w:r w:rsidRPr="00E81E75">
        <w:rPr>
          <w:rFonts w:cs="Arial"/>
          <w:sz w:val="18"/>
          <w:szCs w:val="18"/>
        </w:rPr>
        <w:t>development creates a cohesive and walkable centre that reduces and mitigates barriers to pedestrian movement, including roads, vehicle movement and car parking, and reduces the need for additional vehicle trips within the centre;</w:t>
      </w:r>
    </w:p>
    <w:p w14:paraId="79CF027A" w14:textId="77777777" w:rsidR="00E81E75" w:rsidRPr="00E81E75" w:rsidRDefault="00E81E75" w:rsidP="00E81E75">
      <w:pPr>
        <w:pStyle w:val="ListParagraph"/>
        <w:rPr>
          <w:rFonts w:cs="Arial"/>
          <w:sz w:val="18"/>
          <w:szCs w:val="18"/>
        </w:rPr>
      </w:pPr>
    </w:p>
    <w:p w14:paraId="5A8B55C4" w14:textId="77777777" w:rsidR="00E81E75" w:rsidRDefault="00E81E75" w:rsidP="00E81E75">
      <w:pPr>
        <w:pStyle w:val="ListParagraph"/>
        <w:numPr>
          <w:ilvl w:val="1"/>
          <w:numId w:val="27"/>
        </w:numPr>
        <w:rPr>
          <w:rFonts w:cs="Arial"/>
          <w:sz w:val="18"/>
          <w:szCs w:val="18"/>
        </w:rPr>
      </w:pPr>
      <w:r w:rsidRPr="00E81E75">
        <w:rPr>
          <w:rFonts w:cs="Arial"/>
          <w:sz w:val="18"/>
          <w:szCs w:val="18"/>
        </w:rPr>
        <w:t>development ensures that the relationship between uses and the public realm is enhanced and that the centre is more outwardly focused over time;</w:t>
      </w:r>
    </w:p>
    <w:p w14:paraId="50447632" w14:textId="77777777" w:rsidR="00E81E75" w:rsidRPr="00E81E75" w:rsidRDefault="00E81E75" w:rsidP="00E81E75">
      <w:pPr>
        <w:pStyle w:val="ListParagraph"/>
        <w:rPr>
          <w:sz w:val="18"/>
          <w:szCs w:val="18"/>
        </w:rPr>
      </w:pPr>
    </w:p>
    <w:p w14:paraId="20FF587F" w14:textId="77777777" w:rsidR="00E81E75" w:rsidRPr="00E81E75" w:rsidRDefault="00E81E75" w:rsidP="00E81E75">
      <w:pPr>
        <w:pStyle w:val="ListParagraph"/>
        <w:numPr>
          <w:ilvl w:val="1"/>
          <w:numId w:val="27"/>
        </w:numPr>
        <w:rPr>
          <w:rFonts w:cs="Arial"/>
          <w:sz w:val="18"/>
          <w:szCs w:val="18"/>
        </w:rPr>
      </w:pPr>
      <w:r w:rsidRPr="00E81E75">
        <w:rPr>
          <w:sz w:val="18"/>
          <w:szCs w:val="18"/>
        </w:rPr>
        <w:t>buildings and structures in the Major centre zone have a medium rise built form and do not unduly dominate their setting;</w:t>
      </w:r>
    </w:p>
    <w:p w14:paraId="263D8047" w14:textId="77777777" w:rsidR="00E81E75" w:rsidRPr="00E81E75" w:rsidRDefault="00E81E75" w:rsidP="00E81E75">
      <w:pPr>
        <w:pStyle w:val="ListParagraph"/>
        <w:rPr>
          <w:rFonts w:eastAsia="Calibri"/>
          <w:sz w:val="18"/>
          <w:szCs w:val="18"/>
        </w:rPr>
      </w:pPr>
    </w:p>
    <w:p w14:paraId="1FCC9273" w14:textId="77777777" w:rsidR="00E81E75" w:rsidRPr="00E81E75" w:rsidRDefault="00E81E75" w:rsidP="00E81E75">
      <w:pPr>
        <w:pStyle w:val="ListParagraph"/>
        <w:numPr>
          <w:ilvl w:val="1"/>
          <w:numId w:val="27"/>
        </w:numPr>
        <w:rPr>
          <w:rFonts w:cs="Arial"/>
          <w:sz w:val="18"/>
          <w:szCs w:val="18"/>
        </w:rPr>
      </w:pPr>
      <w:r w:rsidRPr="00E81E75">
        <w:rPr>
          <w:rFonts w:eastAsia="Calibri"/>
          <w:sz w:val="18"/>
          <w:szCs w:val="18"/>
        </w:rPr>
        <w:t>development encourages and facilitates urban consolidation;</w:t>
      </w:r>
    </w:p>
    <w:p w14:paraId="73D647FD" w14:textId="77777777" w:rsidR="00E81E75" w:rsidRPr="00E81E75" w:rsidRDefault="00E81E75" w:rsidP="00E81E75">
      <w:pPr>
        <w:pStyle w:val="ListParagraph"/>
        <w:rPr>
          <w:rFonts w:cs="Arial"/>
          <w:sz w:val="18"/>
          <w:szCs w:val="18"/>
        </w:rPr>
      </w:pPr>
    </w:p>
    <w:p w14:paraId="3D5DF2B0" w14:textId="77777777" w:rsidR="00E81E75" w:rsidRDefault="00E81E75" w:rsidP="00E81E75">
      <w:pPr>
        <w:pStyle w:val="ListParagraph"/>
        <w:numPr>
          <w:ilvl w:val="1"/>
          <w:numId w:val="27"/>
        </w:numPr>
        <w:rPr>
          <w:rFonts w:cs="Arial"/>
          <w:sz w:val="18"/>
          <w:szCs w:val="18"/>
        </w:rPr>
      </w:pPr>
      <w:r w:rsidRPr="00E81E75">
        <w:rPr>
          <w:rFonts w:cs="Arial"/>
          <w:sz w:val="18"/>
          <w:szCs w:val="18"/>
        </w:rPr>
        <w:t>development provides for efficient and effective transport networks that maximise accessibility within and to the centre; and</w:t>
      </w:r>
    </w:p>
    <w:p w14:paraId="500BA6C0" w14:textId="77777777" w:rsidR="00E81E75" w:rsidRPr="00E81E75" w:rsidRDefault="00E81E75" w:rsidP="00E81E75">
      <w:pPr>
        <w:pStyle w:val="ListParagraph"/>
        <w:rPr>
          <w:rFonts w:eastAsia="Calibri"/>
          <w:sz w:val="18"/>
          <w:szCs w:val="18"/>
        </w:rPr>
      </w:pPr>
    </w:p>
    <w:p w14:paraId="58AB8017" w14:textId="40093C60" w:rsidR="00E81E75" w:rsidRPr="00E81E75" w:rsidRDefault="00E81E75" w:rsidP="00E81E75">
      <w:pPr>
        <w:pStyle w:val="ListParagraph"/>
        <w:numPr>
          <w:ilvl w:val="1"/>
          <w:numId w:val="27"/>
        </w:numPr>
        <w:rPr>
          <w:rFonts w:cs="Arial"/>
          <w:sz w:val="18"/>
          <w:szCs w:val="18"/>
        </w:rPr>
      </w:pPr>
      <w:r w:rsidRPr="00E81E75">
        <w:rPr>
          <w:rFonts w:eastAsia="Calibri"/>
          <w:sz w:val="18"/>
          <w:szCs w:val="18"/>
        </w:rPr>
        <w:t xml:space="preserve">development </w:t>
      </w:r>
      <w:r w:rsidRPr="00E81E75">
        <w:rPr>
          <w:sz w:val="18"/>
          <w:szCs w:val="18"/>
        </w:rPr>
        <w:t>encourages and facilitates the efficient provision and safe operation of physical and social infrastructure</w:t>
      </w:r>
      <w:r w:rsidRPr="00E81E75">
        <w:rPr>
          <w:rFonts w:eastAsia="Calibri"/>
          <w:sz w:val="18"/>
          <w:szCs w:val="18"/>
        </w:rPr>
        <w:t>.</w:t>
      </w:r>
    </w:p>
    <w:p w14:paraId="5DC881A9" w14:textId="77777777" w:rsidR="000D31F0" w:rsidRPr="00592814" w:rsidRDefault="000D31F0" w:rsidP="000D31F0">
      <w:pPr>
        <w:ind w:right="5951"/>
        <w:rPr>
          <w:rFonts w:cs="Arial"/>
          <w:sz w:val="18"/>
          <w:szCs w:val="18"/>
        </w:rPr>
      </w:pPr>
    </w:p>
    <w:p w14:paraId="7023147F" w14:textId="77777777" w:rsidR="000D31F0" w:rsidRDefault="000D31F0" w:rsidP="000D31F0">
      <w:pPr>
        <w:pStyle w:val="Heading4"/>
        <w:spacing w:before="100" w:after="200"/>
        <w:ind w:right="5951"/>
      </w:pPr>
      <w:r>
        <w:t>Specific benchmarks for assessment</w:t>
      </w:r>
    </w:p>
    <w:p w14:paraId="0CD63FC1" w14:textId="77777777" w:rsidR="000D31F0" w:rsidRPr="003B5121" w:rsidRDefault="000D31F0" w:rsidP="000D31F0">
      <w:pPr>
        <w:pStyle w:val="Heading7"/>
        <w:shd w:val="clear" w:color="auto" w:fill="FFFFFF" w:themeFill="background1"/>
        <w:ind w:right="5951"/>
      </w:pPr>
      <w:bookmarkStart w:id="6" w:name="_Toc422825345"/>
      <w:bookmarkStart w:id="7" w:name="_Toc422826638"/>
      <w:r w:rsidRPr="003B5121">
        <w:t>Table 6.2.5.3.1</w:t>
      </w:r>
      <w:r w:rsidRPr="003B5121">
        <w:tab/>
      </w:r>
      <w:r>
        <w:t>Benchmarks</w:t>
      </w:r>
      <w:r w:rsidRPr="003B5121">
        <w:t xml:space="preserve"> for assessable development</w:t>
      </w:r>
      <w:bookmarkEnd w:id="6"/>
      <w:bookmarkEnd w:id="7"/>
    </w:p>
    <w:tbl>
      <w:tblPr>
        <w:tblW w:w="1394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4648"/>
        <w:gridCol w:w="4648"/>
        <w:gridCol w:w="4648"/>
      </w:tblGrid>
      <w:tr w:rsidR="00E81E75" w:rsidRPr="00084AFB" w14:paraId="1293043C" w14:textId="158AF4E3" w:rsidTr="00E81E75">
        <w:trPr>
          <w:tblHeader/>
        </w:trPr>
        <w:tc>
          <w:tcPr>
            <w:tcW w:w="4648" w:type="dxa"/>
            <w:shd w:val="solid" w:color="auto" w:fill="auto"/>
          </w:tcPr>
          <w:p w14:paraId="7F93F07B" w14:textId="77777777" w:rsidR="00E81E75" w:rsidRPr="00084AFB" w:rsidRDefault="00E81E75" w:rsidP="003352DF">
            <w:pPr>
              <w:pStyle w:val="ListParagraph"/>
              <w:ind w:left="0"/>
              <w:rPr>
                <w:rFonts w:cs="Arial"/>
                <w:b/>
                <w:sz w:val="18"/>
                <w:szCs w:val="18"/>
              </w:rPr>
            </w:pPr>
            <w:r w:rsidRPr="00084AFB">
              <w:rPr>
                <w:rFonts w:cs="Arial"/>
                <w:b/>
                <w:sz w:val="18"/>
                <w:szCs w:val="18"/>
              </w:rPr>
              <w:t>Performance outcomes</w:t>
            </w:r>
          </w:p>
        </w:tc>
        <w:tc>
          <w:tcPr>
            <w:tcW w:w="4648" w:type="dxa"/>
            <w:shd w:val="solid" w:color="auto" w:fill="auto"/>
          </w:tcPr>
          <w:p w14:paraId="697D9A3D" w14:textId="77777777" w:rsidR="00E81E75" w:rsidRPr="00084AFB" w:rsidRDefault="00E81E75" w:rsidP="003352DF">
            <w:pPr>
              <w:pStyle w:val="ListParagraph"/>
              <w:ind w:left="0"/>
              <w:rPr>
                <w:rFonts w:cs="Arial"/>
                <w:b/>
                <w:sz w:val="18"/>
                <w:szCs w:val="18"/>
              </w:rPr>
            </w:pPr>
            <w:r w:rsidRPr="00084AFB">
              <w:rPr>
                <w:rFonts w:cs="Arial"/>
                <w:b/>
                <w:sz w:val="18"/>
                <w:szCs w:val="18"/>
              </w:rPr>
              <w:t>Acceptable outcomes</w:t>
            </w:r>
          </w:p>
        </w:tc>
        <w:tc>
          <w:tcPr>
            <w:tcW w:w="4648" w:type="dxa"/>
            <w:shd w:val="solid" w:color="auto" w:fill="auto"/>
          </w:tcPr>
          <w:p w14:paraId="0EE15C2B" w14:textId="4E71BD25" w:rsidR="00E81E75" w:rsidRPr="00084AFB" w:rsidRDefault="00861D46" w:rsidP="003352DF">
            <w:pPr>
              <w:pStyle w:val="ListParagraph"/>
              <w:ind w:left="0"/>
              <w:rPr>
                <w:rFonts w:cs="Arial"/>
                <w:b/>
                <w:sz w:val="18"/>
                <w:szCs w:val="18"/>
              </w:rPr>
            </w:pPr>
            <w:r>
              <w:rPr>
                <w:rFonts w:cs="Arial"/>
                <w:b/>
                <w:sz w:val="18"/>
                <w:szCs w:val="18"/>
              </w:rPr>
              <w:t xml:space="preserve">Compliance / Representations </w:t>
            </w:r>
          </w:p>
        </w:tc>
      </w:tr>
      <w:tr w:rsidR="00E81E75" w:rsidRPr="00084AFB" w14:paraId="44A6AB5A" w14:textId="76999DD5" w:rsidTr="00AC0014">
        <w:tc>
          <w:tcPr>
            <w:tcW w:w="13944" w:type="dxa"/>
            <w:gridSpan w:val="3"/>
            <w:shd w:val="clear" w:color="auto" w:fill="D9D9D9"/>
          </w:tcPr>
          <w:p w14:paraId="7E48E7C4" w14:textId="3F0FD9BB" w:rsidR="00E81E75" w:rsidRDefault="00E81E75" w:rsidP="003352DF">
            <w:pPr>
              <w:pStyle w:val="ListParagraph"/>
              <w:ind w:left="0"/>
              <w:rPr>
                <w:rFonts w:cs="Arial"/>
                <w:b/>
                <w:i/>
                <w:sz w:val="18"/>
                <w:szCs w:val="18"/>
              </w:rPr>
            </w:pPr>
            <w:r>
              <w:rPr>
                <w:rFonts w:cs="Arial"/>
                <w:b/>
                <w:i/>
                <w:sz w:val="18"/>
                <w:szCs w:val="18"/>
              </w:rPr>
              <w:t>Land use composition and activity centre network</w:t>
            </w:r>
          </w:p>
        </w:tc>
      </w:tr>
      <w:tr w:rsidR="00E81E75" w:rsidRPr="00084AFB" w14:paraId="62963EB8" w14:textId="4DF03FEA" w:rsidTr="00E81E75">
        <w:tc>
          <w:tcPr>
            <w:tcW w:w="4648" w:type="dxa"/>
            <w:shd w:val="clear" w:color="auto" w:fill="auto"/>
          </w:tcPr>
          <w:p w14:paraId="49088259" w14:textId="77777777" w:rsidR="00E81E75" w:rsidRPr="00084AFB" w:rsidRDefault="00E81E75" w:rsidP="003352DF">
            <w:pPr>
              <w:pStyle w:val="ListParagraph"/>
              <w:ind w:left="0"/>
              <w:rPr>
                <w:rFonts w:cs="Arial"/>
                <w:b/>
                <w:sz w:val="18"/>
                <w:szCs w:val="18"/>
              </w:rPr>
            </w:pPr>
            <w:r w:rsidRPr="00084AFB">
              <w:rPr>
                <w:rFonts w:cs="Arial"/>
                <w:b/>
                <w:sz w:val="18"/>
                <w:szCs w:val="18"/>
              </w:rPr>
              <w:t>PO1</w:t>
            </w:r>
          </w:p>
          <w:p w14:paraId="667D6453" w14:textId="77777777" w:rsidR="00E81E75" w:rsidRPr="00084AFB" w:rsidRDefault="00E81E75" w:rsidP="003352DF">
            <w:pPr>
              <w:pStyle w:val="ListParagraph"/>
              <w:ind w:left="0"/>
              <w:rPr>
                <w:rFonts w:cs="Arial"/>
                <w:sz w:val="18"/>
                <w:szCs w:val="18"/>
              </w:rPr>
            </w:pPr>
            <w:r w:rsidRPr="00084AFB">
              <w:rPr>
                <w:rFonts w:cs="Arial"/>
                <w:sz w:val="18"/>
                <w:szCs w:val="18"/>
              </w:rPr>
              <w:t xml:space="preserve">Development in the </w:t>
            </w:r>
            <w:r>
              <w:rPr>
                <w:rFonts w:cs="Arial"/>
                <w:sz w:val="18"/>
                <w:szCs w:val="18"/>
              </w:rPr>
              <w:t xml:space="preserve">Major centre </w:t>
            </w:r>
            <w:r w:rsidRPr="00084AFB">
              <w:rPr>
                <w:rFonts w:cs="Arial"/>
                <w:sz w:val="18"/>
                <w:szCs w:val="18"/>
              </w:rPr>
              <w:t xml:space="preserve">zone provides </w:t>
            </w:r>
            <w:r>
              <w:rPr>
                <w:rFonts w:cs="Arial"/>
                <w:sz w:val="18"/>
                <w:szCs w:val="18"/>
              </w:rPr>
              <w:t>for higher</w:t>
            </w:r>
            <w:r w:rsidRPr="007222E9">
              <w:rPr>
                <w:rFonts w:cs="Arial"/>
                <w:sz w:val="18"/>
                <w:szCs w:val="18"/>
              </w:rPr>
              <w:t xml:space="preserve"> order </w:t>
            </w:r>
            <w:r>
              <w:rPr>
                <w:rFonts w:cs="Arial"/>
                <w:sz w:val="18"/>
                <w:szCs w:val="18"/>
              </w:rPr>
              <w:t xml:space="preserve">business activities (particularly retailing uses) and entertainment activities. </w:t>
            </w:r>
          </w:p>
        </w:tc>
        <w:tc>
          <w:tcPr>
            <w:tcW w:w="4648" w:type="dxa"/>
            <w:shd w:val="clear" w:color="auto" w:fill="auto"/>
          </w:tcPr>
          <w:p w14:paraId="737EB5BE" w14:textId="77777777" w:rsidR="00E81E75" w:rsidRPr="00084AFB" w:rsidRDefault="00E81E75" w:rsidP="003352DF">
            <w:pPr>
              <w:pStyle w:val="ListParagraph"/>
              <w:ind w:left="0"/>
              <w:rPr>
                <w:rFonts w:cs="Arial"/>
                <w:b/>
                <w:sz w:val="18"/>
                <w:szCs w:val="18"/>
              </w:rPr>
            </w:pPr>
            <w:r>
              <w:rPr>
                <w:rFonts w:cs="Arial"/>
                <w:b/>
                <w:sz w:val="18"/>
                <w:szCs w:val="18"/>
              </w:rPr>
              <w:t>AO1</w:t>
            </w:r>
          </w:p>
          <w:p w14:paraId="5F0F21F3" w14:textId="77777777" w:rsidR="00E81E75" w:rsidRPr="00436005" w:rsidRDefault="00E81E75" w:rsidP="003352DF">
            <w:pPr>
              <w:pStyle w:val="CommentText"/>
              <w:rPr>
                <w:rFonts w:cs="Arial"/>
                <w:sz w:val="18"/>
                <w:szCs w:val="18"/>
              </w:rPr>
            </w:pPr>
            <w:r>
              <w:rPr>
                <w:rFonts w:cs="Arial"/>
                <w:sz w:val="18"/>
                <w:szCs w:val="18"/>
              </w:rPr>
              <w:t>No acceptable outcome provided.</w:t>
            </w:r>
          </w:p>
        </w:tc>
        <w:tc>
          <w:tcPr>
            <w:tcW w:w="4648" w:type="dxa"/>
          </w:tcPr>
          <w:p w14:paraId="14D0DBA3" w14:textId="747CBBC7" w:rsidR="00E81E75" w:rsidRDefault="00861D46" w:rsidP="003352DF">
            <w:pPr>
              <w:pStyle w:val="ListParagraph"/>
              <w:ind w:left="0"/>
              <w:rPr>
                <w:rFonts w:cs="Arial"/>
                <w:b/>
                <w:sz w:val="18"/>
                <w:szCs w:val="18"/>
              </w:rPr>
            </w:pPr>
            <w:r>
              <w:rPr>
                <w:szCs w:val="18"/>
              </w:rPr>
              <w:fldChar w:fldCharType="begin">
                <w:ffData>
                  <w:name w:val=""/>
                  <w:enabled/>
                  <w:calcOnExit w:val="0"/>
                  <w:textInput>
                    <w:default w:val="Provide a brief description how your proposal complies with the relevant Acceptable outcome (if applicable) or a detailed analysis how compliance is achieved with the Performance outcome."/>
                  </w:textInput>
                </w:ffData>
              </w:fldChar>
            </w:r>
            <w:r>
              <w:rPr>
                <w:szCs w:val="18"/>
              </w:rPr>
              <w:instrText xml:space="preserve"> FORMTEXT </w:instrText>
            </w:r>
            <w:r>
              <w:rPr>
                <w:szCs w:val="18"/>
              </w:rPr>
            </w:r>
            <w:r>
              <w:rPr>
                <w:szCs w:val="18"/>
              </w:rPr>
              <w:fldChar w:fldCharType="separate"/>
            </w:r>
            <w:r>
              <w:rPr>
                <w:noProof/>
                <w:szCs w:val="18"/>
              </w:rPr>
              <w:t>Provide a brief description how your proposal complies with the relevant Acceptable outcome (if applicable) or a detailed analysis how compliance is achieved with the Performance outcome.</w:t>
            </w:r>
            <w:r>
              <w:rPr>
                <w:szCs w:val="18"/>
              </w:rPr>
              <w:fldChar w:fldCharType="end"/>
            </w:r>
          </w:p>
        </w:tc>
      </w:tr>
      <w:tr w:rsidR="00E81E75" w:rsidRPr="00084AFB" w14:paraId="4DE3E8C5" w14:textId="2B86B7B6" w:rsidTr="00E81E75">
        <w:tc>
          <w:tcPr>
            <w:tcW w:w="4648" w:type="dxa"/>
            <w:shd w:val="clear" w:color="auto" w:fill="auto"/>
          </w:tcPr>
          <w:p w14:paraId="38F0F1B6" w14:textId="77777777" w:rsidR="00E81E75" w:rsidRPr="00FC37F6" w:rsidRDefault="00E81E75" w:rsidP="003352DF">
            <w:pPr>
              <w:pStyle w:val="ListParagraph"/>
              <w:ind w:left="0"/>
              <w:rPr>
                <w:b/>
                <w:sz w:val="18"/>
                <w:szCs w:val="18"/>
              </w:rPr>
            </w:pPr>
            <w:r w:rsidRPr="00FC37F6">
              <w:rPr>
                <w:b/>
                <w:sz w:val="18"/>
                <w:szCs w:val="18"/>
              </w:rPr>
              <w:t>PO2</w:t>
            </w:r>
          </w:p>
          <w:p w14:paraId="0E7596EE" w14:textId="77777777" w:rsidR="00E81E75" w:rsidRPr="006635AD" w:rsidRDefault="00E81E75" w:rsidP="003352DF">
            <w:pPr>
              <w:pStyle w:val="ListParagraph"/>
              <w:ind w:left="0"/>
              <w:rPr>
                <w:rFonts w:cs="Arial"/>
                <w:b/>
                <w:sz w:val="18"/>
                <w:szCs w:val="18"/>
              </w:rPr>
            </w:pPr>
            <w:r>
              <w:rPr>
                <w:sz w:val="18"/>
                <w:szCs w:val="18"/>
              </w:rPr>
              <w:t>D</w:t>
            </w:r>
            <w:r w:rsidRPr="007222E9">
              <w:rPr>
                <w:sz w:val="18"/>
                <w:szCs w:val="18"/>
              </w:rPr>
              <w:t xml:space="preserve">evelopment for business activities is of a scale and intensity that is consistent with the intended role and function of the major activity centre as </w:t>
            </w:r>
            <w:r w:rsidRPr="00E3265A">
              <w:rPr>
                <w:sz w:val="18"/>
                <w:szCs w:val="18"/>
              </w:rPr>
              <w:t>a sub-regional centre which is subordinate to, and does not undermine the intended role and function o</w:t>
            </w:r>
            <w:r>
              <w:rPr>
                <w:sz w:val="18"/>
                <w:szCs w:val="18"/>
              </w:rPr>
              <w:t>f the principal activity centre.</w:t>
            </w:r>
          </w:p>
        </w:tc>
        <w:tc>
          <w:tcPr>
            <w:tcW w:w="4648" w:type="dxa"/>
            <w:shd w:val="clear" w:color="auto" w:fill="auto"/>
          </w:tcPr>
          <w:p w14:paraId="502BEAB2" w14:textId="77777777" w:rsidR="00E81E75" w:rsidRPr="00084AFB" w:rsidRDefault="00E81E75" w:rsidP="003352DF">
            <w:pPr>
              <w:pStyle w:val="ListParagraph"/>
              <w:ind w:left="0"/>
              <w:rPr>
                <w:rFonts w:cs="Arial"/>
                <w:b/>
                <w:sz w:val="18"/>
                <w:szCs w:val="18"/>
              </w:rPr>
            </w:pPr>
            <w:r>
              <w:rPr>
                <w:rFonts w:cs="Arial"/>
                <w:b/>
                <w:sz w:val="18"/>
                <w:szCs w:val="18"/>
              </w:rPr>
              <w:t>AO2</w:t>
            </w:r>
          </w:p>
          <w:p w14:paraId="3FD79E62" w14:textId="77777777" w:rsidR="00E81E75" w:rsidRDefault="00E81E75" w:rsidP="003352DF">
            <w:pPr>
              <w:pStyle w:val="ListParagraph"/>
              <w:ind w:left="0"/>
              <w:rPr>
                <w:rFonts w:cs="Arial"/>
                <w:b/>
                <w:sz w:val="18"/>
                <w:szCs w:val="18"/>
              </w:rPr>
            </w:pPr>
            <w:r>
              <w:rPr>
                <w:rFonts w:cs="Arial"/>
                <w:sz w:val="18"/>
                <w:szCs w:val="18"/>
              </w:rPr>
              <w:t>No acceptable outcome provided.</w:t>
            </w:r>
          </w:p>
        </w:tc>
        <w:tc>
          <w:tcPr>
            <w:tcW w:w="4648" w:type="dxa"/>
          </w:tcPr>
          <w:p w14:paraId="5A009AEC" w14:textId="77777777" w:rsidR="00861D46" w:rsidRDefault="00861D46" w:rsidP="00861D46">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p w14:paraId="6A427D22" w14:textId="77777777" w:rsidR="00E81E75" w:rsidRDefault="00E81E75" w:rsidP="003352DF">
            <w:pPr>
              <w:pStyle w:val="ListParagraph"/>
              <w:ind w:left="0"/>
              <w:rPr>
                <w:rFonts w:cs="Arial"/>
                <w:b/>
                <w:sz w:val="18"/>
                <w:szCs w:val="18"/>
              </w:rPr>
            </w:pPr>
          </w:p>
        </w:tc>
      </w:tr>
      <w:tr w:rsidR="00E81E75" w:rsidRPr="00084AFB" w14:paraId="21785A19" w14:textId="13C76E27" w:rsidTr="00E81E75">
        <w:tc>
          <w:tcPr>
            <w:tcW w:w="4648" w:type="dxa"/>
            <w:shd w:val="clear" w:color="auto" w:fill="auto"/>
          </w:tcPr>
          <w:p w14:paraId="3B65BF3C" w14:textId="77777777" w:rsidR="00E81E75" w:rsidRPr="006635AD" w:rsidRDefault="00E81E75" w:rsidP="003352DF">
            <w:pPr>
              <w:pStyle w:val="ListParagraph"/>
              <w:ind w:left="0"/>
              <w:rPr>
                <w:rFonts w:cs="Arial"/>
                <w:b/>
                <w:sz w:val="18"/>
                <w:szCs w:val="18"/>
              </w:rPr>
            </w:pPr>
            <w:r w:rsidRPr="006635AD">
              <w:rPr>
                <w:rFonts w:cs="Arial"/>
                <w:b/>
                <w:sz w:val="18"/>
                <w:szCs w:val="18"/>
              </w:rPr>
              <w:t>PO</w:t>
            </w:r>
            <w:r>
              <w:rPr>
                <w:rFonts w:cs="Arial"/>
                <w:b/>
                <w:sz w:val="18"/>
                <w:szCs w:val="18"/>
              </w:rPr>
              <w:t>3</w:t>
            </w:r>
          </w:p>
          <w:p w14:paraId="49662954" w14:textId="77777777" w:rsidR="00E81E75" w:rsidRPr="006635AD" w:rsidRDefault="00E81E75" w:rsidP="003352DF">
            <w:pPr>
              <w:pStyle w:val="ListParagraph"/>
              <w:ind w:left="0"/>
              <w:rPr>
                <w:rFonts w:cs="Arial"/>
                <w:b/>
                <w:sz w:val="18"/>
                <w:szCs w:val="18"/>
              </w:rPr>
            </w:pPr>
            <w:r>
              <w:rPr>
                <w:rFonts w:cs="Arial"/>
                <w:sz w:val="18"/>
                <w:szCs w:val="18"/>
              </w:rPr>
              <w:t>D</w:t>
            </w:r>
            <w:r w:rsidRPr="007222E9">
              <w:rPr>
                <w:rFonts w:cs="Arial"/>
                <w:sz w:val="18"/>
                <w:szCs w:val="18"/>
              </w:rPr>
              <w:t xml:space="preserve">evelopment ensures that a department store is not established in the </w:t>
            </w:r>
            <w:r>
              <w:rPr>
                <w:rFonts w:cs="Arial"/>
                <w:sz w:val="18"/>
                <w:szCs w:val="18"/>
              </w:rPr>
              <w:t xml:space="preserve">Major centre </w:t>
            </w:r>
            <w:r w:rsidRPr="007222E9">
              <w:rPr>
                <w:rFonts w:cs="Arial"/>
                <w:sz w:val="18"/>
                <w:szCs w:val="18"/>
              </w:rPr>
              <w:t>zone unless such a use has already been established in the Bundaberg CBD</w:t>
            </w:r>
            <w:r>
              <w:rPr>
                <w:rFonts w:cs="Arial"/>
                <w:sz w:val="18"/>
                <w:szCs w:val="18"/>
              </w:rPr>
              <w:t>.</w:t>
            </w:r>
          </w:p>
        </w:tc>
        <w:tc>
          <w:tcPr>
            <w:tcW w:w="4648" w:type="dxa"/>
            <w:shd w:val="clear" w:color="auto" w:fill="auto"/>
          </w:tcPr>
          <w:p w14:paraId="6F4C4EC2" w14:textId="77777777" w:rsidR="00E81E75" w:rsidRPr="00084AFB" w:rsidRDefault="00E81E75" w:rsidP="003352DF">
            <w:pPr>
              <w:pStyle w:val="ListParagraph"/>
              <w:ind w:left="0"/>
              <w:rPr>
                <w:rFonts w:cs="Arial"/>
                <w:b/>
                <w:sz w:val="18"/>
                <w:szCs w:val="18"/>
              </w:rPr>
            </w:pPr>
            <w:r>
              <w:rPr>
                <w:rFonts w:cs="Arial"/>
                <w:b/>
                <w:sz w:val="18"/>
                <w:szCs w:val="18"/>
              </w:rPr>
              <w:t>AO3</w:t>
            </w:r>
          </w:p>
          <w:p w14:paraId="5D76611C" w14:textId="77777777" w:rsidR="00E81E75" w:rsidRDefault="00E81E75" w:rsidP="003352DF">
            <w:pPr>
              <w:pStyle w:val="ListParagraph"/>
              <w:ind w:left="0"/>
              <w:rPr>
                <w:rFonts w:cs="Arial"/>
                <w:b/>
                <w:sz w:val="18"/>
                <w:szCs w:val="18"/>
              </w:rPr>
            </w:pPr>
            <w:r>
              <w:rPr>
                <w:rFonts w:cs="Arial"/>
                <w:sz w:val="18"/>
                <w:szCs w:val="18"/>
              </w:rPr>
              <w:t>No acceptable outcome provided.</w:t>
            </w:r>
          </w:p>
        </w:tc>
        <w:tc>
          <w:tcPr>
            <w:tcW w:w="4648" w:type="dxa"/>
          </w:tcPr>
          <w:p w14:paraId="1B6DDC6A" w14:textId="77777777" w:rsidR="00861D46" w:rsidRDefault="00861D46" w:rsidP="00861D46">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p w14:paraId="64D977C0" w14:textId="77777777" w:rsidR="00E81E75" w:rsidRDefault="00E81E75" w:rsidP="003352DF">
            <w:pPr>
              <w:pStyle w:val="ListParagraph"/>
              <w:ind w:left="0"/>
              <w:rPr>
                <w:rFonts w:cs="Arial"/>
                <w:b/>
                <w:sz w:val="18"/>
                <w:szCs w:val="18"/>
              </w:rPr>
            </w:pPr>
          </w:p>
        </w:tc>
      </w:tr>
      <w:tr w:rsidR="00E81E75" w:rsidRPr="00084AFB" w14:paraId="0D735774" w14:textId="05D3F9B0" w:rsidTr="00E81E75">
        <w:tc>
          <w:tcPr>
            <w:tcW w:w="4648" w:type="dxa"/>
            <w:shd w:val="clear" w:color="auto" w:fill="auto"/>
          </w:tcPr>
          <w:p w14:paraId="21252C47" w14:textId="77777777" w:rsidR="00E81E75" w:rsidRDefault="00E81E75" w:rsidP="003352DF">
            <w:pPr>
              <w:pStyle w:val="ListParagraph"/>
              <w:ind w:left="0"/>
              <w:rPr>
                <w:rFonts w:cs="Arial"/>
                <w:b/>
                <w:sz w:val="18"/>
                <w:szCs w:val="18"/>
              </w:rPr>
            </w:pPr>
            <w:r>
              <w:rPr>
                <w:rFonts w:cs="Arial"/>
                <w:b/>
                <w:sz w:val="18"/>
                <w:szCs w:val="18"/>
              </w:rPr>
              <w:t>PO4</w:t>
            </w:r>
          </w:p>
          <w:p w14:paraId="2A20664D" w14:textId="77777777" w:rsidR="00E81E75" w:rsidRPr="00084AFB" w:rsidRDefault="00E81E75" w:rsidP="003352DF">
            <w:pPr>
              <w:pStyle w:val="ListParagraph"/>
              <w:ind w:left="0"/>
              <w:rPr>
                <w:rFonts w:cs="Arial"/>
                <w:b/>
                <w:sz w:val="18"/>
                <w:szCs w:val="18"/>
              </w:rPr>
            </w:pPr>
            <w:r>
              <w:rPr>
                <w:rFonts w:cs="Arial"/>
                <w:sz w:val="18"/>
                <w:szCs w:val="18"/>
              </w:rPr>
              <w:t>As part of mixed use premises</w:t>
            </w:r>
            <w:r w:rsidRPr="007222E9">
              <w:rPr>
                <w:rFonts w:cs="Arial"/>
                <w:sz w:val="18"/>
                <w:szCs w:val="18"/>
              </w:rPr>
              <w:t xml:space="preserve">, </w:t>
            </w:r>
            <w:r>
              <w:rPr>
                <w:rFonts w:cs="Arial"/>
                <w:sz w:val="18"/>
                <w:szCs w:val="18"/>
              </w:rPr>
              <w:t xml:space="preserve">development may provide for </w:t>
            </w:r>
            <w:r w:rsidRPr="007222E9">
              <w:rPr>
                <w:rFonts w:cs="Arial"/>
                <w:sz w:val="18"/>
                <w:szCs w:val="18"/>
              </w:rPr>
              <w:t xml:space="preserve">a mix of medium and high density residential </w:t>
            </w:r>
            <w:r>
              <w:rPr>
                <w:rFonts w:cs="Arial"/>
                <w:sz w:val="18"/>
                <w:szCs w:val="18"/>
              </w:rPr>
              <w:t>activities</w:t>
            </w:r>
            <w:r w:rsidRPr="007222E9">
              <w:rPr>
                <w:rFonts w:cs="Arial"/>
                <w:sz w:val="18"/>
                <w:szCs w:val="18"/>
              </w:rPr>
              <w:t xml:space="preserve"> and short-term accommodation</w:t>
            </w:r>
            <w:r>
              <w:rPr>
                <w:rFonts w:cs="Arial"/>
                <w:sz w:val="18"/>
                <w:szCs w:val="18"/>
              </w:rPr>
              <w:t xml:space="preserve"> uses</w:t>
            </w:r>
            <w:r w:rsidRPr="007222E9">
              <w:rPr>
                <w:rFonts w:cs="Arial"/>
                <w:sz w:val="18"/>
                <w:szCs w:val="18"/>
              </w:rPr>
              <w:t xml:space="preserve"> </w:t>
            </w:r>
            <w:r>
              <w:rPr>
                <w:rFonts w:cs="Arial"/>
                <w:sz w:val="18"/>
                <w:szCs w:val="18"/>
              </w:rPr>
              <w:t>that</w:t>
            </w:r>
            <w:r w:rsidRPr="007222E9">
              <w:rPr>
                <w:rFonts w:cs="Arial"/>
                <w:sz w:val="18"/>
                <w:szCs w:val="18"/>
              </w:rPr>
              <w:t xml:space="preserve"> are complementary to the predominant non-residential uses and business functions of the zone</w:t>
            </w:r>
            <w:r>
              <w:rPr>
                <w:rFonts w:cs="Arial"/>
                <w:sz w:val="18"/>
                <w:szCs w:val="18"/>
              </w:rPr>
              <w:t>.</w:t>
            </w:r>
          </w:p>
        </w:tc>
        <w:tc>
          <w:tcPr>
            <w:tcW w:w="4648" w:type="dxa"/>
            <w:shd w:val="clear" w:color="auto" w:fill="auto"/>
          </w:tcPr>
          <w:p w14:paraId="38016EE4" w14:textId="77777777" w:rsidR="00E81E75" w:rsidRPr="00084AFB" w:rsidRDefault="00E81E75" w:rsidP="003352DF">
            <w:pPr>
              <w:pStyle w:val="ListParagraph"/>
              <w:ind w:left="0"/>
              <w:rPr>
                <w:rFonts w:cs="Arial"/>
                <w:b/>
                <w:sz w:val="18"/>
                <w:szCs w:val="18"/>
              </w:rPr>
            </w:pPr>
            <w:r>
              <w:rPr>
                <w:rFonts w:cs="Arial"/>
                <w:b/>
                <w:sz w:val="18"/>
                <w:szCs w:val="18"/>
              </w:rPr>
              <w:t>AO4</w:t>
            </w:r>
          </w:p>
          <w:p w14:paraId="2A07EF48" w14:textId="77777777" w:rsidR="00E81E75" w:rsidRDefault="00E81E75" w:rsidP="003352DF">
            <w:pPr>
              <w:pStyle w:val="ListParagraph"/>
              <w:ind w:left="0"/>
              <w:rPr>
                <w:rFonts w:cs="Arial"/>
                <w:b/>
                <w:sz w:val="18"/>
                <w:szCs w:val="18"/>
              </w:rPr>
            </w:pPr>
            <w:r>
              <w:rPr>
                <w:rFonts w:cs="Arial"/>
                <w:sz w:val="18"/>
                <w:szCs w:val="18"/>
              </w:rPr>
              <w:t>No acceptable outcome provided.</w:t>
            </w:r>
          </w:p>
        </w:tc>
        <w:tc>
          <w:tcPr>
            <w:tcW w:w="4648" w:type="dxa"/>
          </w:tcPr>
          <w:p w14:paraId="4A0D9161" w14:textId="77777777" w:rsidR="00861D46" w:rsidRDefault="00861D46" w:rsidP="00861D46">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p w14:paraId="301E8EDC" w14:textId="77777777" w:rsidR="00E81E75" w:rsidRDefault="00E81E75" w:rsidP="003352DF">
            <w:pPr>
              <w:pStyle w:val="ListParagraph"/>
              <w:ind w:left="0"/>
              <w:rPr>
                <w:rFonts w:cs="Arial"/>
                <w:b/>
                <w:sz w:val="18"/>
                <w:szCs w:val="18"/>
              </w:rPr>
            </w:pPr>
          </w:p>
        </w:tc>
      </w:tr>
      <w:tr w:rsidR="00E81E75" w:rsidRPr="00084AFB" w14:paraId="0DCC1A1F" w14:textId="1F5B510F" w:rsidTr="0020266D">
        <w:tc>
          <w:tcPr>
            <w:tcW w:w="13944" w:type="dxa"/>
            <w:gridSpan w:val="3"/>
            <w:shd w:val="clear" w:color="auto" w:fill="D9D9D9"/>
          </w:tcPr>
          <w:p w14:paraId="0D417CB3" w14:textId="511F35C6" w:rsidR="00E81E75" w:rsidRDefault="00E81E75" w:rsidP="003352DF">
            <w:pPr>
              <w:pStyle w:val="ListParagraph"/>
              <w:ind w:left="0"/>
              <w:rPr>
                <w:rFonts w:cs="Arial"/>
                <w:b/>
                <w:i/>
                <w:sz w:val="18"/>
                <w:szCs w:val="18"/>
              </w:rPr>
            </w:pPr>
            <w:r>
              <w:rPr>
                <w:rFonts w:cs="Arial"/>
                <w:b/>
                <w:i/>
                <w:sz w:val="18"/>
                <w:szCs w:val="18"/>
              </w:rPr>
              <w:t>Building height, built form and urban design</w:t>
            </w:r>
          </w:p>
        </w:tc>
      </w:tr>
      <w:tr w:rsidR="00E81E75" w:rsidRPr="00084AFB" w14:paraId="7BDD2091" w14:textId="2459A71C" w:rsidTr="00E81E75">
        <w:tc>
          <w:tcPr>
            <w:tcW w:w="4648" w:type="dxa"/>
            <w:shd w:val="clear" w:color="auto" w:fill="auto"/>
          </w:tcPr>
          <w:p w14:paraId="6A12E137" w14:textId="77777777" w:rsidR="00E81E75" w:rsidRPr="00084AFB" w:rsidRDefault="00E81E75" w:rsidP="003352DF">
            <w:pPr>
              <w:pStyle w:val="ListParagraph"/>
              <w:ind w:left="0"/>
              <w:rPr>
                <w:rFonts w:cs="Arial"/>
                <w:b/>
                <w:sz w:val="18"/>
                <w:szCs w:val="18"/>
              </w:rPr>
            </w:pPr>
            <w:r>
              <w:rPr>
                <w:rFonts w:cs="Arial"/>
                <w:b/>
                <w:sz w:val="18"/>
                <w:szCs w:val="18"/>
              </w:rPr>
              <w:t>PO5</w:t>
            </w:r>
          </w:p>
          <w:p w14:paraId="7156DF88" w14:textId="77777777" w:rsidR="00E81E75" w:rsidRPr="00084AFB" w:rsidRDefault="00E81E75" w:rsidP="003352DF">
            <w:pPr>
              <w:pStyle w:val="ListParagraph"/>
              <w:ind w:left="0"/>
              <w:rPr>
                <w:rFonts w:cs="Arial"/>
                <w:sz w:val="18"/>
                <w:szCs w:val="18"/>
              </w:rPr>
            </w:pPr>
            <w:r>
              <w:rPr>
                <w:sz w:val="18"/>
                <w:szCs w:val="18"/>
              </w:rPr>
              <w:t xml:space="preserve">Development has </w:t>
            </w:r>
            <w:r w:rsidRPr="007222E9">
              <w:rPr>
                <w:sz w:val="18"/>
                <w:szCs w:val="18"/>
              </w:rPr>
              <w:t xml:space="preserve">a maximum </w:t>
            </w:r>
            <w:r>
              <w:rPr>
                <w:sz w:val="18"/>
                <w:szCs w:val="18"/>
              </w:rPr>
              <w:t xml:space="preserve">building </w:t>
            </w:r>
            <w:r w:rsidRPr="007222E9">
              <w:rPr>
                <w:sz w:val="18"/>
                <w:szCs w:val="18"/>
              </w:rPr>
              <w:t xml:space="preserve">height of </w:t>
            </w:r>
            <w:r>
              <w:rPr>
                <w:sz w:val="18"/>
                <w:szCs w:val="18"/>
              </w:rPr>
              <w:t>3</w:t>
            </w:r>
            <w:r w:rsidRPr="007222E9">
              <w:rPr>
                <w:sz w:val="18"/>
                <w:szCs w:val="18"/>
              </w:rPr>
              <w:t xml:space="preserve"> storeys and 12m</w:t>
            </w:r>
            <w:r>
              <w:rPr>
                <w:rFonts w:cs="Arial"/>
                <w:sz w:val="18"/>
                <w:szCs w:val="18"/>
              </w:rPr>
              <w:t>.</w:t>
            </w:r>
          </w:p>
        </w:tc>
        <w:tc>
          <w:tcPr>
            <w:tcW w:w="4648" w:type="dxa"/>
            <w:shd w:val="clear" w:color="auto" w:fill="auto"/>
          </w:tcPr>
          <w:p w14:paraId="2CCA5B78" w14:textId="77777777" w:rsidR="00E81E75" w:rsidRPr="00084AFB" w:rsidRDefault="00E81E75" w:rsidP="003352DF">
            <w:pPr>
              <w:pStyle w:val="ListParagraph"/>
              <w:ind w:left="0"/>
              <w:rPr>
                <w:rFonts w:cs="Arial"/>
                <w:b/>
                <w:sz w:val="18"/>
                <w:szCs w:val="18"/>
              </w:rPr>
            </w:pPr>
            <w:r>
              <w:rPr>
                <w:rFonts w:cs="Arial"/>
                <w:b/>
                <w:sz w:val="18"/>
                <w:szCs w:val="18"/>
              </w:rPr>
              <w:t>AO5</w:t>
            </w:r>
          </w:p>
          <w:p w14:paraId="6A23D632" w14:textId="77777777" w:rsidR="00E81E75" w:rsidRPr="00436005" w:rsidRDefault="00E81E75" w:rsidP="003352DF">
            <w:pPr>
              <w:pStyle w:val="CommentText"/>
              <w:rPr>
                <w:rFonts w:cs="Arial"/>
                <w:sz w:val="18"/>
                <w:szCs w:val="18"/>
              </w:rPr>
            </w:pPr>
            <w:r>
              <w:rPr>
                <w:sz w:val="18"/>
                <w:szCs w:val="18"/>
              </w:rPr>
              <w:t>No acceptable outcome provided.</w:t>
            </w:r>
          </w:p>
        </w:tc>
        <w:tc>
          <w:tcPr>
            <w:tcW w:w="4648" w:type="dxa"/>
          </w:tcPr>
          <w:p w14:paraId="0EDF47BE" w14:textId="77777777" w:rsidR="00861D46" w:rsidRDefault="00861D46" w:rsidP="00861D46">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p w14:paraId="1E6CACF9" w14:textId="77777777" w:rsidR="00E81E75" w:rsidRDefault="00E81E75" w:rsidP="003352DF">
            <w:pPr>
              <w:pStyle w:val="ListParagraph"/>
              <w:ind w:left="0"/>
              <w:rPr>
                <w:rFonts w:cs="Arial"/>
                <w:b/>
                <w:sz w:val="18"/>
                <w:szCs w:val="18"/>
              </w:rPr>
            </w:pPr>
          </w:p>
        </w:tc>
      </w:tr>
      <w:tr w:rsidR="00E81E75" w:rsidRPr="00084AFB" w14:paraId="6CC883C6" w14:textId="4A349117" w:rsidTr="00E81E75">
        <w:tc>
          <w:tcPr>
            <w:tcW w:w="4648" w:type="dxa"/>
            <w:shd w:val="clear" w:color="auto" w:fill="auto"/>
          </w:tcPr>
          <w:p w14:paraId="6D3743CC" w14:textId="77777777" w:rsidR="00E81E75" w:rsidRPr="006635AD" w:rsidRDefault="00E81E75" w:rsidP="003352DF">
            <w:pPr>
              <w:pStyle w:val="ListParagraph"/>
              <w:ind w:left="0"/>
              <w:rPr>
                <w:rFonts w:cs="Arial"/>
                <w:b/>
                <w:sz w:val="18"/>
                <w:szCs w:val="18"/>
              </w:rPr>
            </w:pPr>
            <w:r w:rsidRPr="006635AD">
              <w:rPr>
                <w:rFonts w:cs="Arial"/>
                <w:b/>
                <w:sz w:val="18"/>
                <w:szCs w:val="18"/>
              </w:rPr>
              <w:t>PO</w:t>
            </w:r>
            <w:r>
              <w:rPr>
                <w:rFonts w:cs="Arial"/>
                <w:b/>
                <w:sz w:val="18"/>
                <w:szCs w:val="18"/>
              </w:rPr>
              <w:t>6</w:t>
            </w:r>
          </w:p>
          <w:p w14:paraId="7C30E350" w14:textId="77777777" w:rsidR="00E81E75" w:rsidRPr="006635AD" w:rsidRDefault="00E81E75" w:rsidP="003352DF">
            <w:pPr>
              <w:pStyle w:val="ListParagraph"/>
              <w:ind w:left="0"/>
              <w:rPr>
                <w:rFonts w:cs="Arial"/>
                <w:b/>
                <w:sz w:val="18"/>
                <w:szCs w:val="18"/>
              </w:rPr>
            </w:pPr>
            <w:r>
              <w:rPr>
                <w:rFonts w:cs="Arial"/>
                <w:sz w:val="18"/>
                <w:szCs w:val="18"/>
              </w:rPr>
              <w:lastRenderedPageBreak/>
              <w:t>T</w:t>
            </w:r>
            <w:r w:rsidRPr="007222E9">
              <w:rPr>
                <w:rFonts w:cs="Arial"/>
                <w:sz w:val="18"/>
                <w:szCs w:val="18"/>
              </w:rPr>
              <w:t>he structure and form of development within the zone is progressively improved to provide better connectivity between uses and the public realm and enhance the centre so that</w:t>
            </w:r>
            <w:r>
              <w:rPr>
                <w:rFonts w:cs="Arial"/>
                <w:sz w:val="18"/>
                <w:szCs w:val="18"/>
              </w:rPr>
              <w:t xml:space="preserve"> it does not function only as a</w:t>
            </w:r>
            <w:r w:rsidRPr="007222E9">
              <w:rPr>
                <w:rFonts w:cs="Arial"/>
                <w:sz w:val="18"/>
                <w:szCs w:val="18"/>
              </w:rPr>
              <w:t xml:space="preserve"> conventional enclosed shopping centre with internalised malls and inward facing retail uses</w:t>
            </w:r>
            <w:r>
              <w:rPr>
                <w:rFonts w:cs="Arial"/>
                <w:sz w:val="18"/>
                <w:szCs w:val="18"/>
              </w:rPr>
              <w:t>.</w:t>
            </w:r>
          </w:p>
        </w:tc>
        <w:tc>
          <w:tcPr>
            <w:tcW w:w="4648" w:type="dxa"/>
            <w:shd w:val="clear" w:color="auto" w:fill="auto"/>
          </w:tcPr>
          <w:p w14:paraId="7A8D7E27" w14:textId="77777777" w:rsidR="00E81E75" w:rsidRPr="00B2594D" w:rsidRDefault="00E81E75" w:rsidP="003352DF">
            <w:pPr>
              <w:pStyle w:val="ListParagraph"/>
              <w:ind w:left="0"/>
              <w:rPr>
                <w:rFonts w:cs="Arial"/>
                <w:b/>
                <w:sz w:val="18"/>
                <w:szCs w:val="18"/>
              </w:rPr>
            </w:pPr>
            <w:r w:rsidRPr="00B2594D">
              <w:rPr>
                <w:rFonts w:cs="Arial"/>
                <w:b/>
                <w:sz w:val="18"/>
                <w:szCs w:val="18"/>
              </w:rPr>
              <w:lastRenderedPageBreak/>
              <w:t>AO</w:t>
            </w:r>
            <w:r>
              <w:rPr>
                <w:rFonts w:cs="Arial"/>
                <w:b/>
                <w:sz w:val="18"/>
                <w:szCs w:val="18"/>
              </w:rPr>
              <w:t>6</w:t>
            </w:r>
          </w:p>
          <w:p w14:paraId="212D9562" w14:textId="77777777" w:rsidR="00E81E75" w:rsidRPr="00B2594D" w:rsidRDefault="00E81E75" w:rsidP="003352DF">
            <w:pPr>
              <w:pStyle w:val="ListParagraph"/>
              <w:ind w:left="0"/>
              <w:rPr>
                <w:rFonts w:cs="Arial"/>
                <w:b/>
                <w:sz w:val="18"/>
                <w:szCs w:val="18"/>
              </w:rPr>
            </w:pPr>
            <w:r w:rsidRPr="00084AFB">
              <w:rPr>
                <w:rFonts w:cs="Arial"/>
                <w:sz w:val="18"/>
                <w:szCs w:val="18"/>
              </w:rPr>
              <w:t>No acceptable outcome provided</w:t>
            </w:r>
            <w:r>
              <w:rPr>
                <w:rFonts w:cs="Arial"/>
                <w:sz w:val="18"/>
                <w:szCs w:val="18"/>
              </w:rPr>
              <w:t>.</w:t>
            </w:r>
          </w:p>
        </w:tc>
        <w:tc>
          <w:tcPr>
            <w:tcW w:w="4648" w:type="dxa"/>
          </w:tcPr>
          <w:p w14:paraId="17D234DD" w14:textId="77777777" w:rsidR="00861D46" w:rsidRDefault="00861D46" w:rsidP="00861D46">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p w14:paraId="5DAF07E1" w14:textId="77777777" w:rsidR="00E81E75" w:rsidRPr="00B2594D" w:rsidRDefault="00E81E75" w:rsidP="003352DF">
            <w:pPr>
              <w:pStyle w:val="ListParagraph"/>
              <w:ind w:left="0"/>
              <w:rPr>
                <w:rFonts w:cs="Arial"/>
                <w:b/>
                <w:sz w:val="18"/>
                <w:szCs w:val="18"/>
              </w:rPr>
            </w:pPr>
          </w:p>
        </w:tc>
      </w:tr>
      <w:tr w:rsidR="00E81E75" w:rsidRPr="00084AFB" w14:paraId="129A400B" w14:textId="1ECE2B7E" w:rsidTr="00E81E75">
        <w:tc>
          <w:tcPr>
            <w:tcW w:w="4648" w:type="dxa"/>
            <w:shd w:val="clear" w:color="auto" w:fill="auto"/>
          </w:tcPr>
          <w:p w14:paraId="63744574" w14:textId="77777777" w:rsidR="00E81E75" w:rsidRDefault="00E81E75" w:rsidP="003352DF">
            <w:pPr>
              <w:pStyle w:val="ListParagraph"/>
              <w:ind w:left="0"/>
              <w:rPr>
                <w:rFonts w:cs="Arial"/>
                <w:b/>
                <w:sz w:val="18"/>
                <w:szCs w:val="18"/>
              </w:rPr>
            </w:pPr>
            <w:r>
              <w:rPr>
                <w:rFonts w:cs="Arial"/>
                <w:b/>
                <w:sz w:val="18"/>
                <w:szCs w:val="18"/>
              </w:rPr>
              <w:t>PO7</w:t>
            </w:r>
          </w:p>
          <w:p w14:paraId="7E995D29" w14:textId="77777777" w:rsidR="00E81E75" w:rsidRPr="009A03DC" w:rsidRDefault="00E81E75" w:rsidP="003352DF">
            <w:pPr>
              <w:pStyle w:val="ListParagraph"/>
              <w:ind w:left="0"/>
              <w:rPr>
                <w:rFonts w:cs="Arial"/>
                <w:sz w:val="18"/>
                <w:szCs w:val="18"/>
              </w:rPr>
            </w:pPr>
            <w:r>
              <w:rPr>
                <w:rFonts w:cs="Arial"/>
                <w:sz w:val="18"/>
                <w:szCs w:val="18"/>
              </w:rPr>
              <w:t>T</w:t>
            </w:r>
            <w:r w:rsidRPr="007222E9">
              <w:rPr>
                <w:rFonts w:cs="Arial"/>
                <w:sz w:val="18"/>
                <w:szCs w:val="18"/>
              </w:rPr>
              <w:t>he built form and urban design of development incorporates a high standard of architecture, urban design and landscaping that creates attractive and functional buildings, streets and places in keeping with the role and function of the zone as a sub-regional hub</w:t>
            </w:r>
            <w:r>
              <w:rPr>
                <w:rFonts w:cs="Arial"/>
                <w:sz w:val="18"/>
                <w:szCs w:val="18"/>
              </w:rPr>
              <w:t>.</w:t>
            </w:r>
          </w:p>
        </w:tc>
        <w:tc>
          <w:tcPr>
            <w:tcW w:w="4648" w:type="dxa"/>
            <w:shd w:val="clear" w:color="auto" w:fill="auto"/>
          </w:tcPr>
          <w:p w14:paraId="5C97EEEB" w14:textId="77777777" w:rsidR="00E81E75" w:rsidRPr="00B2594D" w:rsidRDefault="00E81E75" w:rsidP="003352DF">
            <w:pPr>
              <w:pStyle w:val="ListParagraph"/>
              <w:ind w:left="0"/>
              <w:rPr>
                <w:rFonts w:cs="Arial"/>
                <w:b/>
                <w:sz w:val="18"/>
                <w:szCs w:val="18"/>
              </w:rPr>
            </w:pPr>
            <w:r w:rsidRPr="00B2594D">
              <w:rPr>
                <w:rFonts w:cs="Arial"/>
                <w:b/>
                <w:sz w:val="18"/>
                <w:szCs w:val="18"/>
              </w:rPr>
              <w:t>AO</w:t>
            </w:r>
            <w:r>
              <w:rPr>
                <w:rFonts w:cs="Arial"/>
                <w:b/>
                <w:sz w:val="18"/>
                <w:szCs w:val="18"/>
              </w:rPr>
              <w:t>7</w:t>
            </w:r>
          </w:p>
          <w:p w14:paraId="4BB5A57B" w14:textId="77777777" w:rsidR="00E81E75" w:rsidRPr="009A03DC" w:rsidRDefault="00E81E75" w:rsidP="003352DF">
            <w:pPr>
              <w:pStyle w:val="ListParagraph"/>
              <w:ind w:left="0"/>
              <w:rPr>
                <w:rFonts w:cs="Arial"/>
                <w:sz w:val="18"/>
                <w:szCs w:val="18"/>
              </w:rPr>
            </w:pPr>
            <w:r w:rsidRPr="00084AFB">
              <w:rPr>
                <w:rFonts w:cs="Arial"/>
                <w:sz w:val="18"/>
                <w:szCs w:val="18"/>
              </w:rPr>
              <w:t>No acceptable outcome provided</w:t>
            </w:r>
            <w:r>
              <w:rPr>
                <w:rFonts w:cs="Arial"/>
                <w:sz w:val="18"/>
                <w:szCs w:val="18"/>
              </w:rPr>
              <w:t>.</w:t>
            </w:r>
          </w:p>
        </w:tc>
        <w:tc>
          <w:tcPr>
            <w:tcW w:w="4648" w:type="dxa"/>
          </w:tcPr>
          <w:p w14:paraId="483ED5DD" w14:textId="77777777" w:rsidR="00861D46" w:rsidRDefault="00861D46" w:rsidP="00861D46">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p w14:paraId="666731B3" w14:textId="77777777" w:rsidR="00E81E75" w:rsidRPr="00B2594D" w:rsidRDefault="00E81E75" w:rsidP="003352DF">
            <w:pPr>
              <w:pStyle w:val="ListParagraph"/>
              <w:ind w:left="0"/>
              <w:rPr>
                <w:rFonts w:cs="Arial"/>
                <w:b/>
                <w:sz w:val="18"/>
                <w:szCs w:val="18"/>
              </w:rPr>
            </w:pPr>
          </w:p>
        </w:tc>
      </w:tr>
      <w:tr w:rsidR="00E81E75" w:rsidRPr="00084AFB" w14:paraId="12365AED" w14:textId="1FEA9152" w:rsidTr="00E81E75">
        <w:tc>
          <w:tcPr>
            <w:tcW w:w="4648" w:type="dxa"/>
            <w:shd w:val="clear" w:color="auto" w:fill="auto"/>
          </w:tcPr>
          <w:p w14:paraId="4297B01A" w14:textId="77777777" w:rsidR="00E81E75" w:rsidRPr="006635AD" w:rsidRDefault="00E81E75" w:rsidP="003352DF">
            <w:pPr>
              <w:pStyle w:val="ListParagraph"/>
              <w:ind w:left="0"/>
              <w:rPr>
                <w:rFonts w:cs="Arial"/>
                <w:b/>
                <w:sz w:val="18"/>
                <w:szCs w:val="18"/>
              </w:rPr>
            </w:pPr>
            <w:r w:rsidRPr="006635AD">
              <w:rPr>
                <w:rFonts w:cs="Arial"/>
                <w:b/>
                <w:sz w:val="18"/>
                <w:szCs w:val="18"/>
              </w:rPr>
              <w:t>PO</w:t>
            </w:r>
            <w:r>
              <w:rPr>
                <w:rFonts w:cs="Arial"/>
                <w:b/>
                <w:sz w:val="18"/>
                <w:szCs w:val="18"/>
              </w:rPr>
              <w:t>8</w:t>
            </w:r>
          </w:p>
          <w:p w14:paraId="504BA192" w14:textId="77777777" w:rsidR="00E81E75" w:rsidRDefault="00E81E75" w:rsidP="003352DF">
            <w:pPr>
              <w:pStyle w:val="ListParagraph"/>
              <w:ind w:left="0"/>
              <w:rPr>
                <w:rFonts w:cs="Arial"/>
                <w:b/>
                <w:sz w:val="18"/>
                <w:szCs w:val="18"/>
              </w:rPr>
            </w:pPr>
            <w:r>
              <w:rPr>
                <w:rFonts w:cs="Arial"/>
                <w:sz w:val="18"/>
                <w:szCs w:val="18"/>
              </w:rPr>
              <w:t>D</w:t>
            </w:r>
            <w:r w:rsidRPr="007222E9">
              <w:rPr>
                <w:rFonts w:cs="Arial"/>
                <w:sz w:val="18"/>
                <w:szCs w:val="18"/>
              </w:rPr>
              <w:t>evelopment contributes to the creation of an active, safe and legible public realm, incorporating public open spaces including outdoor plazas or other breakout areas</w:t>
            </w:r>
            <w:r>
              <w:rPr>
                <w:rFonts w:cs="Arial"/>
                <w:sz w:val="18"/>
                <w:szCs w:val="18"/>
              </w:rPr>
              <w:t>,</w:t>
            </w:r>
            <w:r w:rsidRPr="007222E9">
              <w:rPr>
                <w:rFonts w:cs="Arial"/>
                <w:sz w:val="18"/>
                <w:szCs w:val="18"/>
              </w:rPr>
              <w:t xml:space="preserve"> where appropriate and practicable</w:t>
            </w:r>
            <w:r>
              <w:rPr>
                <w:rFonts w:cs="Arial"/>
                <w:sz w:val="18"/>
                <w:szCs w:val="18"/>
              </w:rPr>
              <w:t>.</w:t>
            </w:r>
          </w:p>
        </w:tc>
        <w:tc>
          <w:tcPr>
            <w:tcW w:w="4648" w:type="dxa"/>
            <w:shd w:val="clear" w:color="auto" w:fill="auto"/>
          </w:tcPr>
          <w:p w14:paraId="00824CDD" w14:textId="77777777" w:rsidR="00E81E75" w:rsidRPr="00B2594D" w:rsidRDefault="00E81E75" w:rsidP="003352DF">
            <w:pPr>
              <w:pStyle w:val="ListParagraph"/>
              <w:ind w:left="0"/>
              <w:rPr>
                <w:rFonts w:cs="Arial"/>
                <w:b/>
                <w:sz w:val="18"/>
                <w:szCs w:val="18"/>
              </w:rPr>
            </w:pPr>
            <w:r w:rsidRPr="00B2594D">
              <w:rPr>
                <w:rFonts w:cs="Arial"/>
                <w:b/>
                <w:sz w:val="18"/>
                <w:szCs w:val="18"/>
              </w:rPr>
              <w:t>AO</w:t>
            </w:r>
            <w:r>
              <w:rPr>
                <w:rFonts w:cs="Arial"/>
                <w:b/>
                <w:sz w:val="18"/>
                <w:szCs w:val="18"/>
              </w:rPr>
              <w:t>8</w:t>
            </w:r>
          </w:p>
          <w:p w14:paraId="21CB6033" w14:textId="77777777" w:rsidR="00E81E75" w:rsidRPr="00B2594D" w:rsidRDefault="00E81E75" w:rsidP="003352DF">
            <w:pPr>
              <w:pStyle w:val="ListParagraph"/>
              <w:ind w:left="0"/>
              <w:rPr>
                <w:rFonts w:cs="Arial"/>
                <w:b/>
                <w:sz w:val="18"/>
                <w:szCs w:val="18"/>
              </w:rPr>
            </w:pPr>
            <w:r w:rsidRPr="00084AFB">
              <w:rPr>
                <w:rFonts w:cs="Arial"/>
                <w:sz w:val="18"/>
                <w:szCs w:val="18"/>
              </w:rPr>
              <w:t>No acceptable outcome provided</w:t>
            </w:r>
            <w:r>
              <w:rPr>
                <w:rFonts w:cs="Arial"/>
                <w:sz w:val="18"/>
                <w:szCs w:val="18"/>
              </w:rPr>
              <w:t>.</w:t>
            </w:r>
          </w:p>
        </w:tc>
        <w:tc>
          <w:tcPr>
            <w:tcW w:w="4648" w:type="dxa"/>
          </w:tcPr>
          <w:p w14:paraId="5CC19B1D" w14:textId="77777777" w:rsidR="00861D46" w:rsidRDefault="00861D46" w:rsidP="00861D46">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p w14:paraId="04D5C2D8" w14:textId="77777777" w:rsidR="00E81E75" w:rsidRPr="00B2594D" w:rsidRDefault="00E81E75" w:rsidP="003352DF">
            <w:pPr>
              <w:pStyle w:val="ListParagraph"/>
              <w:ind w:left="0"/>
              <w:rPr>
                <w:rFonts w:cs="Arial"/>
                <w:b/>
                <w:sz w:val="18"/>
                <w:szCs w:val="18"/>
              </w:rPr>
            </w:pPr>
          </w:p>
        </w:tc>
      </w:tr>
      <w:tr w:rsidR="00E81E75" w:rsidRPr="00084AFB" w14:paraId="5716AC6B" w14:textId="17A099F5" w:rsidTr="00E81E75">
        <w:tc>
          <w:tcPr>
            <w:tcW w:w="4648" w:type="dxa"/>
            <w:shd w:val="clear" w:color="auto" w:fill="auto"/>
          </w:tcPr>
          <w:p w14:paraId="4A4ADF45" w14:textId="77777777" w:rsidR="00E81E75" w:rsidRPr="008F4C13" w:rsidRDefault="00E81E75" w:rsidP="003352DF">
            <w:pPr>
              <w:pStyle w:val="ListParagraph"/>
              <w:ind w:left="0"/>
              <w:rPr>
                <w:rFonts w:cs="Arial"/>
                <w:b/>
                <w:sz w:val="18"/>
                <w:szCs w:val="18"/>
              </w:rPr>
            </w:pPr>
            <w:r w:rsidRPr="008F4C13">
              <w:rPr>
                <w:rFonts w:cs="Arial"/>
                <w:b/>
                <w:sz w:val="18"/>
                <w:szCs w:val="18"/>
              </w:rPr>
              <w:t>PO</w:t>
            </w:r>
            <w:r>
              <w:rPr>
                <w:rFonts w:cs="Arial"/>
                <w:b/>
                <w:sz w:val="18"/>
                <w:szCs w:val="18"/>
              </w:rPr>
              <w:t>9</w:t>
            </w:r>
          </w:p>
          <w:p w14:paraId="35643FDC" w14:textId="77777777" w:rsidR="00E81E75" w:rsidRPr="006635AD" w:rsidRDefault="00E81E75" w:rsidP="003352DF">
            <w:pPr>
              <w:pStyle w:val="ListParagraph"/>
              <w:ind w:left="0"/>
              <w:rPr>
                <w:rFonts w:cs="Arial"/>
                <w:b/>
                <w:sz w:val="18"/>
                <w:szCs w:val="18"/>
              </w:rPr>
            </w:pPr>
            <w:r>
              <w:rPr>
                <w:rFonts w:cs="Arial"/>
                <w:sz w:val="18"/>
                <w:szCs w:val="18"/>
              </w:rPr>
              <w:t>Where located in the zone, r</w:t>
            </w:r>
            <w:r w:rsidRPr="007222E9">
              <w:rPr>
                <w:rFonts w:cs="Arial"/>
                <w:sz w:val="18"/>
                <w:szCs w:val="18"/>
              </w:rPr>
              <w:t>esidential buildings incorporat</w:t>
            </w:r>
            <w:r>
              <w:rPr>
                <w:rFonts w:cs="Arial"/>
                <w:sz w:val="18"/>
                <w:szCs w:val="18"/>
              </w:rPr>
              <w:t>e</w:t>
            </w:r>
            <w:r w:rsidRPr="007222E9">
              <w:rPr>
                <w:rFonts w:cs="Arial"/>
                <w:sz w:val="18"/>
                <w:szCs w:val="18"/>
              </w:rPr>
              <w:t xml:space="preserve"> non-residential uses at street level to activate the public realm</w:t>
            </w:r>
            <w:r>
              <w:rPr>
                <w:rFonts w:cs="Arial"/>
                <w:sz w:val="18"/>
                <w:szCs w:val="18"/>
              </w:rPr>
              <w:t>.</w:t>
            </w:r>
          </w:p>
        </w:tc>
        <w:tc>
          <w:tcPr>
            <w:tcW w:w="4648" w:type="dxa"/>
            <w:shd w:val="clear" w:color="auto" w:fill="auto"/>
          </w:tcPr>
          <w:p w14:paraId="61F2985D" w14:textId="77777777" w:rsidR="00E81E75" w:rsidRPr="00B2594D" w:rsidRDefault="00E81E75" w:rsidP="003352DF">
            <w:pPr>
              <w:pStyle w:val="ListParagraph"/>
              <w:ind w:left="0"/>
              <w:rPr>
                <w:rFonts w:cs="Arial"/>
                <w:b/>
                <w:sz w:val="18"/>
                <w:szCs w:val="18"/>
              </w:rPr>
            </w:pPr>
            <w:r w:rsidRPr="00B2594D">
              <w:rPr>
                <w:rFonts w:cs="Arial"/>
                <w:b/>
                <w:sz w:val="18"/>
                <w:szCs w:val="18"/>
              </w:rPr>
              <w:t>AO</w:t>
            </w:r>
            <w:r>
              <w:rPr>
                <w:rFonts w:cs="Arial"/>
                <w:b/>
                <w:sz w:val="18"/>
                <w:szCs w:val="18"/>
              </w:rPr>
              <w:t>9</w:t>
            </w:r>
          </w:p>
          <w:p w14:paraId="32CBFF87" w14:textId="77777777" w:rsidR="00E81E75" w:rsidRPr="00B2594D" w:rsidRDefault="00E81E75" w:rsidP="003352DF">
            <w:pPr>
              <w:pStyle w:val="ListParagraph"/>
              <w:ind w:left="0"/>
              <w:rPr>
                <w:rFonts w:cs="Arial"/>
                <w:b/>
                <w:sz w:val="18"/>
                <w:szCs w:val="18"/>
              </w:rPr>
            </w:pPr>
            <w:r w:rsidRPr="00084AFB">
              <w:rPr>
                <w:rFonts w:cs="Arial"/>
                <w:sz w:val="18"/>
                <w:szCs w:val="18"/>
              </w:rPr>
              <w:t>No acceptable outcome provided</w:t>
            </w:r>
            <w:r>
              <w:rPr>
                <w:rFonts w:cs="Arial"/>
                <w:sz w:val="18"/>
                <w:szCs w:val="18"/>
              </w:rPr>
              <w:t>.</w:t>
            </w:r>
          </w:p>
        </w:tc>
        <w:tc>
          <w:tcPr>
            <w:tcW w:w="4648" w:type="dxa"/>
          </w:tcPr>
          <w:p w14:paraId="5FE6DF59" w14:textId="77777777" w:rsidR="00861D46" w:rsidRDefault="00861D46" w:rsidP="00861D46">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p w14:paraId="073F1C68" w14:textId="77777777" w:rsidR="00E81E75" w:rsidRPr="00B2594D" w:rsidRDefault="00E81E75" w:rsidP="003352DF">
            <w:pPr>
              <w:pStyle w:val="ListParagraph"/>
              <w:ind w:left="0"/>
              <w:rPr>
                <w:rFonts w:cs="Arial"/>
                <w:b/>
                <w:sz w:val="18"/>
                <w:szCs w:val="18"/>
              </w:rPr>
            </w:pPr>
          </w:p>
        </w:tc>
      </w:tr>
      <w:tr w:rsidR="00E81E75" w:rsidRPr="00084AFB" w14:paraId="2FF57E0D" w14:textId="1B317170" w:rsidTr="003B08EB">
        <w:tc>
          <w:tcPr>
            <w:tcW w:w="13944" w:type="dxa"/>
            <w:gridSpan w:val="3"/>
            <w:shd w:val="clear" w:color="auto" w:fill="D9D9D9"/>
          </w:tcPr>
          <w:p w14:paraId="52D99D3E" w14:textId="573743C6" w:rsidR="00E81E75" w:rsidRDefault="00E81E75" w:rsidP="003352DF">
            <w:pPr>
              <w:pStyle w:val="ListParagraph"/>
              <w:keepNext/>
              <w:ind w:left="0"/>
              <w:rPr>
                <w:rFonts w:cs="Arial"/>
                <w:b/>
                <w:i/>
                <w:sz w:val="18"/>
                <w:szCs w:val="18"/>
              </w:rPr>
            </w:pPr>
            <w:r>
              <w:rPr>
                <w:rFonts w:cs="Arial"/>
                <w:b/>
                <w:i/>
                <w:sz w:val="18"/>
                <w:szCs w:val="18"/>
              </w:rPr>
              <w:t>Transport networks</w:t>
            </w:r>
          </w:p>
        </w:tc>
      </w:tr>
      <w:tr w:rsidR="00E81E75" w:rsidRPr="00084AFB" w14:paraId="24BA7B7E" w14:textId="01723F46" w:rsidTr="00E81E75">
        <w:tc>
          <w:tcPr>
            <w:tcW w:w="4648" w:type="dxa"/>
            <w:shd w:val="clear" w:color="auto" w:fill="auto"/>
          </w:tcPr>
          <w:p w14:paraId="77F173FD" w14:textId="77777777" w:rsidR="00E81E75" w:rsidRPr="00084AFB" w:rsidRDefault="00E81E75" w:rsidP="003352DF">
            <w:pPr>
              <w:pStyle w:val="ListParagraph"/>
              <w:keepNext/>
              <w:ind w:left="0"/>
              <w:rPr>
                <w:rFonts w:cs="Arial"/>
                <w:b/>
                <w:sz w:val="18"/>
                <w:szCs w:val="18"/>
              </w:rPr>
            </w:pPr>
            <w:r>
              <w:rPr>
                <w:rFonts w:cs="Arial"/>
                <w:b/>
                <w:sz w:val="18"/>
                <w:szCs w:val="18"/>
              </w:rPr>
              <w:t>PO10</w:t>
            </w:r>
          </w:p>
          <w:p w14:paraId="04FBA4C1" w14:textId="77777777" w:rsidR="00E81E75" w:rsidRPr="00084AFB" w:rsidRDefault="00E81E75" w:rsidP="003352DF">
            <w:pPr>
              <w:pStyle w:val="ListParagraph"/>
              <w:ind w:left="0"/>
              <w:rPr>
                <w:rFonts w:cs="Arial"/>
                <w:sz w:val="18"/>
                <w:szCs w:val="18"/>
              </w:rPr>
            </w:pPr>
            <w:r>
              <w:rPr>
                <w:rFonts w:cs="Arial"/>
                <w:sz w:val="18"/>
                <w:szCs w:val="18"/>
              </w:rPr>
              <w:t>D</w:t>
            </w:r>
            <w:r w:rsidRPr="007222E9">
              <w:rPr>
                <w:rFonts w:cs="Arial"/>
                <w:sz w:val="18"/>
                <w:szCs w:val="18"/>
              </w:rPr>
              <w:t>evelopment encourages public transport accessibility and use and also provides for pedestrian, bicycle and vehicular movement networks that maximise connectivity, permeability and ease of movement within and to the centre</w:t>
            </w:r>
            <w:r>
              <w:rPr>
                <w:rFonts w:cs="Arial"/>
                <w:sz w:val="18"/>
                <w:szCs w:val="18"/>
              </w:rPr>
              <w:t>.</w:t>
            </w:r>
          </w:p>
        </w:tc>
        <w:tc>
          <w:tcPr>
            <w:tcW w:w="4648" w:type="dxa"/>
            <w:shd w:val="clear" w:color="auto" w:fill="auto"/>
          </w:tcPr>
          <w:p w14:paraId="44EC2CB2" w14:textId="77777777" w:rsidR="00E81E75" w:rsidRPr="00B2594D" w:rsidRDefault="00E81E75" w:rsidP="003352DF">
            <w:pPr>
              <w:pStyle w:val="ListParagraph"/>
              <w:ind w:left="0"/>
              <w:rPr>
                <w:rFonts w:cs="Arial"/>
                <w:b/>
                <w:sz w:val="18"/>
                <w:szCs w:val="18"/>
              </w:rPr>
            </w:pPr>
            <w:r w:rsidRPr="00B2594D">
              <w:rPr>
                <w:rFonts w:cs="Arial"/>
                <w:b/>
                <w:sz w:val="18"/>
                <w:szCs w:val="18"/>
              </w:rPr>
              <w:t>AO</w:t>
            </w:r>
            <w:r>
              <w:rPr>
                <w:rFonts w:cs="Arial"/>
                <w:b/>
                <w:sz w:val="18"/>
                <w:szCs w:val="18"/>
              </w:rPr>
              <w:t>10</w:t>
            </w:r>
          </w:p>
          <w:p w14:paraId="337B856D" w14:textId="77777777" w:rsidR="00E81E75" w:rsidRPr="00436005" w:rsidRDefault="00E81E75" w:rsidP="003352DF">
            <w:pPr>
              <w:pStyle w:val="CommentText"/>
              <w:rPr>
                <w:rFonts w:cs="Arial"/>
                <w:sz w:val="18"/>
                <w:szCs w:val="18"/>
              </w:rPr>
            </w:pPr>
            <w:r w:rsidRPr="00084AFB">
              <w:rPr>
                <w:rFonts w:cs="Arial"/>
                <w:sz w:val="18"/>
                <w:szCs w:val="18"/>
              </w:rPr>
              <w:t>No acceptable outcome provided</w:t>
            </w:r>
            <w:r>
              <w:rPr>
                <w:rFonts w:cs="Arial"/>
                <w:sz w:val="18"/>
                <w:szCs w:val="18"/>
              </w:rPr>
              <w:t>.</w:t>
            </w:r>
          </w:p>
        </w:tc>
        <w:tc>
          <w:tcPr>
            <w:tcW w:w="4648" w:type="dxa"/>
          </w:tcPr>
          <w:p w14:paraId="40007FAE" w14:textId="77777777" w:rsidR="00861D46" w:rsidRDefault="00861D46" w:rsidP="00861D46">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p w14:paraId="16F21B8D" w14:textId="77777777" w:rsidR="00E81E75" w:rsidRPr="00B2594D" w:rsidRDefault="00E81E75" w:rsidP="003352DF">
            <w:pPr>
              <w:pStyle w:val="ListParagraph"/>
              <w:ind w:left="0"/>
              <w:rPr>
                <w:rFonts w:cs="Arial"/>
                <w:b/>
                <w:sz w:val="18"/>
                <w:szCs w:val="18"/>
              </w:rPr>
            </w:pPr>
          </w:p>
        </w:tc>
      </w:tr>
      <w:tr w:rsidR="00E81E75" w:rsidRPr="00084AFB" w14:paraId="727EC806" w14:textId="6117AFC3" w:rsidTr="00416725">
        <w:tc>
          <w:tcPr>
            <w:tcW w:w="13944" w:type="dxa"/>
            <w:gridSpan w:val="3"/>
            <w:shd w:val="clear" w:color="auto" w:fill="D9D9D9"/>
          </w:tcPr>
          <w:p w14:paraId="64BEB261" w14:textId="3A5A6190" w:rsidR="00E81E75" w:rsidRDefault="00E81E75" w:rsidP="003352DF">
            <w:pPr>
              <w:pStyle w:val="ListParagraph"/>
              <w:ind w:left="0"/>
              <w:rPr>
                <w:rFonts w:cs="Arial"/>
                <w:b/>
                <w:i/>
                <w:sz w:val="18"/>
                <w:szCs w:val="18"/>
              </w:rPr>
            </w:pPr>
            <w:r>
              <w:rPr>
                <w:rFonts w:cs="Arial"/>
                <w:b/>
                <w:i/>
                <w:sz w:val="18"/>
                <w:szCs w:val="18"/>
              </w:rPr>
              <w:t>Infrastructure and services</w:t>
            </w:r>
          </w:p>
        </w:tc>
      </w:tr>
      <w:tr w:rsidR="00E81E75" w:rsidRPr="00084AFB" w14:paraId="3F6D5213" w14:textId="02CE1001" w:rsidTr="00E81E75">
        <w:tc>
          <w:tcPr>
            <w:tcW w:w="4648" w:type="dxa"/>
            <w:shd w:val="clear" w:color="auto" w:fill="auto"/>
          </w:tcPr>
          <w:p w14:paraId="04CC9069" w14:textId="77777777" w:rsidR="00E81E75" w:rsidRPr="00B2594D" w:rsidRDefault="00E81E75" w:rsidP="003352DF">
            <w:pPr>
              <w:pStyle w:val="ListParagraph"/>
              <w:ind w:left="0"/>
              <w:rPr>
                <w:rFonts w:cs="Arial"/>
                <w:b/>
                <w:sz w:val="18"/>
                <w:szCs w:val="18"/>
              </w:rPr>
            </w:pPr>
            <w:r w:rsidRPr="00B2594D">
              <w:rPr>
                <w:rFonts w:cs="Arial"/>
                <w:b/>
                <w:sz w:val="18"/>
                <w:szCs w:val="18"/>
              </w:rPr>
              <w:t>PO</w:t>
            </w:r>
            <w:r>
              <w:rPr>
                <w:rFonts w:cs="Arial"/>
                <w:b/>
                <w:sz w:val="18"/>
                <w:szCs w:val="18"/>
              </w:rPr>
              <w:t>11</w:t>
            </w:r>
          </w:p>
          <w:p w14:paraId="36CCB3EF" w14:textId="77777777" w:rsidR="00E81E75" w:rsidRPr="00084AFB" w:rsidRDefault="00E81E75" w:rsidP="003352DF">
            <w:pPr>
              <w:pStyle w:val="ListParagraph"/>
              <w:ind w:left="0"/>
              <w:rPr>
                <w:rFonts w:cs="Arial"/>
                <w:b/>
                <w:sz w:val="18"/>
                <w:szCs w:val="18"/>
              </w:rPr>
            </w:pPr>
            <w:r>
              <w:rPr>
                <w:rFonts w:cs="Arial"/>
                <w:sz w:val="18"/>
                <w:szCs w:val="18"/>
              </w:rPr>
              <w:t>D</w:t>
            </w:r>
            <w:r w:rsidRPr="00262303">
              <w:rPr>
                <w:rFonts w:cs="Arial"/>
                <w:sz w:val="18"/>
                <w:szCs w:val="18"/>
              </w:rPr>
              <w:t>evelopment is provided with urban services to support the needs of the community, including parks, reticulated water, sewerage, stormwater drainage, sealed roads, pathways, electricity and telecommunication infrastructure</w:t>
            </w:r>
            <w:r>
              <w:rPr>
                <w:rFonts w:cs="Arial"/>
                <w:sz w:val="18"/>
                <w:szCs w:val="18"/>
              </w:rPr>
              <w:t>.</w:t>
            </w:r>
          </w:p>
        </w:tc>
        <w:tc>
          <w:tcPr>
            <w:tcW w:w="4648" w:type="dxa"/>
            <w:shd w:val="clear" w:color="auto" w:fill="auto"/>
          </w:tcPr>
          <w:p w14:paraId="661F9C9B" w14:textId="77777777" w:rsidR="00E81E75" w:rsidRPr="00B2594D" w:rsidRDefault="00E81E75" w:rsidP="003352DF">
            <w:pPr>
              <w:pStyle w:val="ListParagraph"/>
              <w:ind w:left="0"/>
              <w:rPr>
                <w:rFonts w:cs="Arial"/>
                <w:b/>
                <w:sz w:val="18"/>
                <w:szCs w:val="18"/>
              </w:rPr>
            </w:pPr>
            <w:r w:rsidRPr="00B2594D">
              <w:rPr>
                <w:rFonts w:cs="Arial"/>
                <w:b/>
                <w:sz w:val="18"/>
                <w:szCs w:val="18"/>
              </w:rPr>
              <w:t>AO</w:t>
            </w:r>
            <w:r>
              <w:rPr>
                <w:rFonts w:cs="Arial"/>
                <w:b/>
                <w:sz w:val="18"/>
                <w:szCs w:val="18"/>
              </w:rPr>
              <w:t>11</w:t>
            </w:r>
          </w:p>
          <w:p w14:paraId="65C7DCC5" w14:textId="77777777" w:rsidR="00E81E75" w:rsidRPr="00084AFB" w:rsidRDefault="00E81E75" w:rsidP="003352DF">
            <w:pPr>
              <w:pStyle w:val="ListParagraph"/>
              <w:ind w:left="0"/>
              <w:rPr>
                <w:rFonts w:cs="Arial"/>
                <w:b/>
                <w:sz w:val="18"/>
                <w:szCs w:val="18"/>
              </w:rPr>
            </w:pPr>
            <w:r w:rsidRPr="00084AFB">
              <w:rPr>
                <w:rFonts w:cs="Arial"/>
                <w:sz w:val="18"/>
                <w:szCs w:val="18"/>
              </w:rPr>
              <w:t>No acceptable outcome provided</w:t>
            </w:r>
            <w:r>
              <w:rPr>
                <w:rFonts w:cs="Arial"/>
                <w:sz w:val="18"/>
                <w:szCs w:val="18"/>
              </w:rPr>
              <w:t>.</w:t>
            </w:r>
          </w:p>
        </w:tc>
        <w:tc>
          <w:tcPr>
            <w:tcW w:w="4648" w:type="dxa"/>
          </w:tcPr>
          <w:p w14:paraId="617FCC03" w14:textId="77777777" w:rsidR="00861D46" w:rsidRDefault="00861D46" w:rsidP="00861D46">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p w14:paraId="3648A4E5" w14:textId="77777777" w:rsidR="00E81E75" w:rsidRPr="00B2594D" w:rsidRDefault="00E81E75" w:rsidP="003352DF">
            <w:pPr>
              <w:pStyle w:val="ListParagraph"/>
              <w:ind w:left="0"/>
              <w:rPr>
                <w:rFonts w:cs="Arial"/>
                <w:b/>
                <w:sz w:val="18"/>
                <w:szCs w:val="18"/>
              </w:rPr>
            </w:pPr>
          </w:p>
        </w:tc>
      </w:tr>
      <w:tr w:rsidR="00E81E75" w:rsidRPr="00084AFB" w14:paraId="2D2B46D5" w14:textId="1BEAB751" w:rsidTr="00E81E75">
        <w:tc>
          <w:tcPr>
            <w:tcW w:w="4648" w:type="dxa"/>
            <w:shd w:val="clear" w:color="auto" w:fill="auto"/>
          </w:tcPr>
          <w:p w14:paraId="5FF27AF1" w14:textId="77777777" w:rsidR="00E81E75" w:rsidRPr="00B2594D" w:rsidRDefault="00E81E75" w:rsidP="003352DF">
            <w:pPr>
              <w:pStyle w:val="ListParagraph"/>
              <w:ind w:left="0"/>
              <w:rPr>
                <w:rFonts w:cs="Arial"/>
                <w:b/>
                <w:sz w:val="18"/>
                <w:szCs w:val="18"/>
              </w:rPr>
            </w:pPr>
            <w:r w:rsidRPr="00B2594D">
              <w:rPr>
                <w:rFonts w:cs="Arial"/>
                <w:b/>
                <w:sz w:val="18"/>
                <w:szCs w:val="18"/>
              </w:rPr>
              <w:t>PO</w:t>
            </w:r>
            <w:r>
              <w:rPr>
                <w:rFonts w:cs="Arial"/>
                <w:b/>
                <w:sz w:val="18"/>
                <w:szCs w:val="18"/>
              </w:rPr>
              <w:t>12</w:t>
            </w:r>
          </w:p>
          <w:p w14:paraId="746359CC" w14:textId="77777777" w:rsidR="00E81E75" w:rsidRPr="00262303" w:rsidRDefault="00E81E75" w:rsidP="003352DF">
            <w:pPr>
              <w:pStyle w:val="ListParagraph"/>
              <w:ind w:left="0"/>
              <w:rPr>
                <w:rFonts w:cs="Arial"/>
                <w:sz w:val="18"/>
                <w:szCs w:val="18"/>
              </w:rPr>
            </w:pPr>
            <w:r>
              <w:rPr>
                <w:rFonts w:cs="Arial"/>
                <w:sz w:val="18"/>
                <w:szCs w:val="18"/>
              </w:rPr>
              <w:t>D</w:t>
            </w:r>
            <w:r w:rsidRPr="00262303">
              <w:rPr>
                <w:rFonts w:cs="Arial"/>
                <w:sz w:val="18"/>
                <w:szCs w:val="18"/>
              </w:rPr>
              <w:t>evelopment does not adversely impact on the continued operation, viability and maintenance of existing infrastructure or compromise the future provision of planned infrastructure</w:t>
            </w:r>
            <w:r>
              <w:rPr>
                <w:rFonts w:cs="Arial"/>
                <w:sz w:val="18"/>
                <w:szCs w:val="18"/>
              </w:rPr>
              <w:t>.</w:t>
            </w:r>
          </w:p>
        </w:tc>
        <w:tc>
          <w:tcPr>
            <w:tcW w:w="4648" w:type="dxa"/>
            <w:shd w:val="clear" w:color="auto" w:fill="auto"/>
          </w:tcPr>
          <w:p w14:paraId="2278D6AE" w14:textId="77777777" w:rsidR="00E81E75" w:rsidRPr="00B2594D" w:rsidRDefault="00E81E75" w:rsidP="003352DF">
            <w:pPr>
              <w:pStyle w:val="ListParagraph"/>
              <w:ind w:left="0"/>
              <w:rPr>
                <w:rFonts w:cs="Arial"/>
                <w:b/>
                <w:sz w:val="18"/>
                <w:szCs w:val="18"/>
              </w:rPr>
            </w:pPr>
            <w:r w:rsidRPr="00B2594D">
              <w:rPr>
                <w:rFonts w:cs="Arial"/>
                <w:b/>
                <w:sz w:val="18"/>
                <w:szCs w:val="18"/>
              </w:rPr>
              <w:t>AO</w:t>
            </w:r>
            <w:r>
              <w:rPr>
                <w:rFonts w:cs="Arial"/>
                <w:b/>
                <w:sz w:val="18"/>
                <w:szCs w:val="18"/>
              </w:rPr>
              <w:t>12</w:t>
            </w:r>
          </w:p>
          <w:p w14:paraId="10D09686" w14:textId="77777777" w:rsidR="00E81E75" w:rsidRPr="00084AFB" w:rsidRDefault="00E81E75" w:rsidP="003352DF">
            <w:pPr>
              <w:pStyle w:val="ListParagraph"/>
              <w:ind w:left="0"/>
              <w:rPr>
                <w:rFonts w:cs="Arial"/>
                <w:b/>
                <w:sz w:val="18"/>
                <w:szCs w:val="18"/>
              </w:rPr>
            </w:pPr>
            <w:r w:rsidRPr="00084AFB">
              <w:rPr>
                <w:rFonts w:cs="Arial"/>
                <w:sz w:val="18"/>
                <w:szCs w:val="18"/>
              </w:rPr>
              <w:t>No acceptable outcome provided</w:t>
            </w:r>
            <w:r>
              <w:rPr>
                <w:rFonts w:cs="Arial"/>
                <w:sz w:val="18"/>
                <w:szCs w:val="18"/>
              </w:rPr>
              <w:t>.</w:t>
            </w:r>
          </w:p>
        </w:tc>
        <w:tc>
          <w:tcPr>
            <w:tcW w:w="4648" w:type="dxa"/>
          </w:tcPr>
          <w:p w14:paraId="3E96F7FD" w14:textId="77777777" w:rsidR="00861D46" w:rsidRDefault="00861D46" w:rsidP="00861D46">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p w14:paraId="16876BE8" w14:textId="77777777" w:rsidR="00E81E75" w:rsidRPr="00B2594D" w:rsidRDefault="00E81E75" w:rsidP="003352DF">
            <w:pPr>
              <w:pStyle w:val="ListParagraph"/>
              <w:ind w:left="0"/>
              <w:rPr>
                <w:rFonts w:cs="Arial"/>
                <w:b/>
                <w:sz w:val="18"/>
                <w:szCs w:val="18"/>
              </w:rPr>
            </w:pPr>
          </w:p>
        </w:tc>
      </w:tr>
    </w:tbl>
    <w:p w14:paraId="4398BD84" w14:textId="52EBD967" w:rsidR="00315005" w:rsidRDefault="00315005" w:rsidP="00887F91"/>
    <w:p w14:paraId="3D001D0F" w14:textId="48679DB8" w:rsidR="00E81E75" w:rsidRPr="00E81E75" w:rsidRDefault="00E81E75" w:rsidP="00E81E75"/>
    <w:p w14:paraId="4A1A6A71" w14:textId="574928F0" w:rsidR="00E81E75" w:rsidRDefault="00E81E75" w:rsidP="00E81E75"/>
    <w:p w14:paraId="7BAA810C" w14:textId="33D8EE51" w:rsidR="00E81E75" w:rsidRPr="00E81E75" w:rsidRDefault="00E81E75" w:rsidP="00E81E75">
      <w:pPr>
        <w:tabs>
          <w:tab w:val="left" w:pos="5916"/>
        </w:tabs>
      </w:pPr>
      <w:r>
        <w:tab/>
      </w:r>
    </w:p>
    <w:sectPr w:rsidR="00E81E75" w:rsidRPr="00E81E75" w:rsidSect="00887F91">
      <w:headerReference w:type="even" r:id="rId9"/>
      <w:headerReference w:type="default" r:id="rId10"/>
      <w:footerReference w:type="even" r:id="rId11"/>
      <w:footerReference w:type="default" r:id="rId12"/>
      <w:headerReference w:type="first" r:id="rId13"/>
      <w:pgSz w:w="16838" w:h="11906" w:orient="landscape" w:code="9"/>
      <w:pgMar w:top="1134" w:right="1361" w:bottom="1134" w:left="1304" w:header="510" w:footer="51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70B63" w14:textId="77777777" w:rsidR="00E705B4" w:rsidRDefault="00E705B4">
      <w:r>
        <w:separator/>
      </w:r>
    </w:p>
  </w:endnote>
  <w:endnote w:type="continuationSeparator" w:id="0">
    <w:p w14:paraId="593303AA" w14:textId="77777777" w:rsidR="00E705B4" w:rsidRDefault="00E70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245B6" w14:textId="6222F5BF" w:rsidR="00887F91" w:rsidRDefault="00887F91" w:rsidP="00887F91">
    <w:pPr>
      <w:pStyle w:val="Footer"/>
      <w:tabs>
        <w:tab w:val="clear" w:pos="4153"/>
        <w:tab w:val="clear" w:pos="8306"/>
        <w:tab w:val="left" w:pos="0"/>
        <w:tab w:val="left" w:pos="5103"/>
      </w:tabs>
      <w:ind w:left="-851"/>
    </w:pPr>
    <w:r w:rsidRPr="0077553E">
      <w:rPr>
        <w:sz w:val="14"/>
        <w:szCs w:val="14"/>
      </w:rPr>
      <w:t xml:space="preserve">Page </w:t>
    </w:r>
    <w:r w:rsidRPr="00B205D9">
      <w:rPr>
        <w:sz w:val="14"/>
      </w:rPr>
      <w:fldChar w:fldCharType="begin"/>
    </w:r>
    <w:r w:rsidRPr="00B205D9">
      <w:rPr>
        <w:sz w:val="14"/>
      </w:rPr>
      <w:instrText xml:space="preserve"> PAGE </w:instrText>
    </w:r>
    <w:r w:rsidRPr="00B205D9">
      <w:rPr>
        <w:sz w:val="14"/>
      </w:rPr>
      <w:fldChar w:fldCharType="separate"/>
    </w:r>
    <w:r>
      <w:rPr>
        <w:sz w:val="14"/>
      </w:rPr>
      <w:t>2</w:t>
    </w:r>
    <w:r w:rsidRPr="00B205D9">
      <w:rPr>
        <w:sz w:val="14"/>
      </w:rPr>
      <w:fldChar w:fldCharType="end"/>
    </w:r>
    <w:r>
      <w:rPr>
        <w:sz w:val="14"/>
      </w:rPr>
      <w:tab/>
    </w:r>
    <w:r w:rsidRPr="0077553E">
      <w:rPr>
        <w:sz w:val="14"/>
        <w:szCs w:val="14"/>
      </w:rPr>
      <w:t>Bundaberg Region</w:t>
    </w:r>
    <w:r>
      <w:rPr>
        <w:sz w:val="14"/>
        <w:szCs w:val="14"/>
      </w:rPr>
      <w:t>al Council</w:t>
    </w:r>
    <w:r w:rsidRPr="0077553E">
      <w:rPr>
        <w:sz w:val="14"/>
        <w:szCs w:val="14"/>
      </w:rPr>
      <w:t xml:space="preserve"> Planning Scheme 2015</w:t>
    </w:r>
    <w:r>
      <w:rPr>
        <w:sz w:val="14"/>
        <w:szCs w:val="14"/>
      </w:rPr>
      <w:tab/>
      <w:t xml:space="preserve">Version </w:t>
    </w:r>
    <w:r w:rsidR="00E81E75">
      <w:rPr>
        <w:sz w:val="14"/>
        <w:szCs w:val="14"/>
      </w:rPr>
      <w:t>6.0</w:t>
    </w:r>
    <w:r>
      <w:rPr>
        <w:sz w:val="14"/>
        <w:szCs w:val="14"/>
      </w:rPr>
      <w:t xml:space="preserve"> effective 10 </w:t>
    </w:r>
    <w:r w:rsidR="00E81E75">
      <w:rPr>
        <w:sz w:val="14"/>
        <w:szCs w:val="14"/>
      </w:rPr>
      <w:t>March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5B024" w14:textId="72C132B5" w:rsidR="00887F91" w:rsidRDefault="00887F91" w:rsidP="00887F91">
    <w:pPr>
      <w:pStyle w:val="Footer"/>
      <w:tabs>
        <w:tab w:val="clear" w:pos="4153"/>
        <w:tab w:val="clear" w:pos="8306"/>
        <w:tab w:val="left" w:pos="0"/>
        <w:tab w:val="left" w:pos="5103"/>
        <w:tab w:val="left" w:pos="14601"/>
      </w:tabs>
      <w:ind w:left="-851" w:right="-1136"/>
      <w:jc w:val="both"/>
    </w:pPr>
    <w:r>
      <w:rPr>
        <w:sz w:val="14"/>
        <w:szCs w:val="14"/>
      </w:rPr>
      <w:tab/>
    </w:r>
    <w:r w:rsidRPr="0077553E">
      <w:rPr>
        <w:sz w:val="14"/>
        <w:szCs w:val="14"/>
      </w:rPr>
      <w:t>Bundaberg Region</w:t>
    </w:r>
    <w:r>
      <w:rPr>
        <w:sz w:val="14"/>
        <w:szCs w:val="14"/>
      </w:rPr>
      <w:t>al Council</w:t>
    </w:r>
    <w:r w:rsidRPr="0077553E">
      <w:rPr>
        <w:sz w:val="14"/>
        <w:szCs w:val="14"/>
      </w:rPr>
      <w:t xml:space="preserve"> Planning Scheme 2015</w:t>
    </w:r>
    <w:r>
      <w:rPr>
        <w:sz w:val="14"/>
        <w:szCs w:val="14"/>
      </w:rPr>
      <w:tab/>
      <w:t xml:space="preserve">Version </w:t>
    </w:r>
    <w:r w:rsidR="00E81E75">
      <w:rPr>
        <w:sz w:val="14"/>
        <w:szCs w:val="14"/>
      </w:rPr>
      <w:t>6</w:t>
    </w:r>
    <w:r>
      <w:rPr>
        <w:sz w:val="14"/>
        <w:szCs w:val="14"/>
      </w:rPr>
      <w:t xml:space="preserve">.0 effective 10 </w:t>
    </w:r>
    <w:r w:rsidR="00E81E75">
      <w:rPr>
        <w:sz w:val="14"/>
        <w:szCs w:val="14"/>
      </w:rPr>
      <w:t>March 2023</w:t>
    </w:r>
    <w:r>
      <w:rPr>
        <w:sz w:val="14"/>
        <w:szCs w:val="14"/>
      </w:rPr>
      <w:tab/>
    </w:r>
    <w:r>
      <w:rPr>
        <w:rFonts w:cs="Arial"/>
        <w:sz w:val="14"/>
        <w:szCs w:val="14"/>
      </w:rPr>
      <w:t xml:space="preserve">Page </w:t>
    </w:r>
    <w:r w:rsidRPr="00B205D9">
      <w:rPr>
        <w:sz w:val="14"/>
      </w:rPr>
      <w:fldChar w:fldCharType="begin"/>
    </w:r>
    <w:r w:rsidRPr="00B205D9">
      <w:rPr>
        <w:sz w:val="14"/>
      </w:rPr>
      <w:instrText xml:space="preserve"> PAGE </w:instrText>
    </w:r>
    <w:r w:rsidRPr="00B205D9">
      <w:rPr>
        <w:sz w:val="14"/>
      </w:rPr>
      <w:fldChar w:fldCharType="separate"/>
    </w:r>
    <w:r>
      <w:rPr>
        <w:sz w:val="14"/>
      </w:rPr>
      <w:t>1</w:t>
    </w:r>
    <w:r w:rsidRPr="00B205D9">
      <w:rPr>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CB2E0" w14:textId="77777777" w:rsidR="00E705B4" w:rsidRDefault="00E705B4">
      <w:r>
        <w:separator/>
      </w:r>
    </w:p>
  </w:footnote>
  <w:footnote w:type="continuationSeparator" w:id="0">
    <w:p w14:paraId="61626935" w14:textId="77777777" w:rsidR="00E705B4" w:rsidRDefault="00E70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7D95F" w14:textId="1AB98ED9" w:rsidR="00931D0D" w:rsidRDefault="00887F91" w:rsidP="00887F91">
    <w:pPr>
      <w:pStyle w:val="Header"/>
      <w:tabs>
        <w:tab w:val="clear" w:pos="4153"/>
        <w:tab w:val="clear" w:pos="8306"/>
        <w:tab w:val="right" w:pos="14173"/>
      </w:tabs>
      <w:rPr>
        <w:sz w:val="14"/>
        <w:szCs w:val="14"/>
      </w:rPr>
    </w:pPr>
    <w:r>
      <w:rPr>
        <w:sz w:val="14"/>
        <w:szCs w:val="14"/>
      </w:rPr>
      <w:t>6.2.  Zone codes</w:t>
    </w:r>
    <w:r>
      <w:rPr>
        <w:sz w:val="14"/>
        <w:szCs w:val="14"/>
      </w:rPr>
      <w:tab/>
      <w:t>Editable word version</w:t>
    </w:r>
  </w:p>
  <w:p w14:paraId="7AB10E4A" w14:textId="293FDF63" w:rsidR="00931D0D" w:rsidRDefault="00887F91">
    <w:pPr>
      <w:pStyle w:val="Header"/>
    </w:pPr>
    <w:r>
      <w:rPr>
        <w:noProof/>
      </w:rPr>
      <mc:AlternateContent>
        <mc:Choice Requires="wps">
          <w:drawing>
            <wp:anchor distT="0" distB="0" distL="114300" distR="114300" simplePos="0" relativeHeight="251656704" behindDoc="0" locked="0" layoutInCell="1" allowOverlap="1" wp14:anchorId="62508EB3" wp14:editId="1A96A7DF">
              <wp:simplePos x="0" y="0"/>
              <wp:positionH relativeFrom="page">
                <wp:posOffset>195580</wp:posOffset>
              </wp:positionH>
              <wp:positionV relativeFrom="page">
                <wp:posOffset>2722245</wp:posOffset>
              </wp:positionV>
              <wp:extent cx="539750" cy="3792855"/>
              <wp:effectExtent l="0" t="0" r="0" b="0"/>
              <wp:wrapNone/>
              <wp:docPr id="4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37928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2E2FCE9" w14:textId="27817EE9" w:rsidR="00887F91" w:rsidRDefault="00887F91" w:rsidP="00887F91">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art 6 – Zone Codes</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2508EB3" id="_x0000_t202" coordsize="21600,21600" o:spt="202" path="m,l,21600r21600,l21600,xe">
              <v:stroke joinstyle="miter"/>
              <v:path gradientshapeok="t" o:connecttype="rect"/>
            </v:shapetype>
            <v:shape id="Text Box 6" o:spid="_x0000_s1026" type="#_x0000_t202" style="position:absolute;margin-left:15.4pt;margin-top:214.35pt;width:42.5pt;height:298.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" stroked="f" strokeweight=".5pt">
              <v:textbox style="layout-flow:vertical;mso-layout-flow-alt:bottom-to-top">
                <w:txbxContent>
                  <w:p w14:paraId="72E2FCE9" w14:textId="27817EE9" w:rsidR="00887F91" w:rsidRDefault="00887F91" w:rsidP="00887F91">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art 6 – Zone Codes</w:t>
                    </w:r>
                  </w:p>
                </w:txbxContent>
              </v:textbox>
              <w10:wrap anchorx="page" anchory="page"/>
            </v:shape>
          </w:pict>
        </mc:Fallback>
      </mc:AlternateContent>
    </w:r>
    <w:r w:rsidR="00931D0D">
      <w:rPr>
        <w:b/>
        <w:sz w:val="14"/>
        <w:szCs w:val="14"/>
      </w:rPr>
      <w:fldChar w:fldCharType="begin"/>
    </w:r>
    <w:r w:rsidR="00931D0D">
      <w:rPr>
        <w:b/>
        <w:sz w:val="14"/>
        <w:szCs w:val="14"/>
      </w:rPr>
      <w:instrText xml:space="preserve"> STYLEREF  "Heading 3" \n  \* MERGEFORMAT </w:instrText>
    </w:r>
    <w:r w:rsidR="00931D0D">
      <w:rPr>
        <w:b/>
        <w:sz w:val="14"/>
        <w:szCs w:val="14"/>
      </w:rPr>
      <w:fldChar w:fldCharType="separate"/>
    </w:r>
    <w:r w:rsidR="00861D46">
      <w:rPr>
        <w:b/>
        <w:noProof/>
        <w:sz w:val="14"/>
        <w:szCs w:val="14"/>
      </w:rPr>
      <w:t>6.2.5</w:t>
    </w:r>
    <w:r w:rsidR="00931D0D">
      <w:rPr>
        <w:b/>
        <w:sz w:val="14"/>
        <w:szCs w:val="14"/>
      </w:rPr>
      <w:fldChar w:fldCharType="end"/>
    </w:r>
    <w:r w:rsidR="00931D0D">
      <w:rPr>
        <w:b/>
        <w:sz w:val="14"/>
        <w:szCs w:val="14"/>
      </w:rPr>
      <w:t xml:space="preserve">  </w:t>
    </w:r>
    <w:r w:rsidR="00931D0D">
      <w:rPr>
        <w:b/>
        <w:sz w:val="14"/>
        <w:szCs w:val="14"/>
      </w:rPr>
      <w:fldChar w:fldCharType="begin"/>
    </w:r>
    <w:r w:rsidR="00931D0D">
      <w:rPr>
        <w:b/>
        <w:sz w:val="14"/>
        <w:szCs w:val="14"/>
      </w:rPr>
      <w:instrText xml:space="preserve"> STYLEREF  "Heading 3"  \* MERGEFORMAT </w:instrText>
    </w:r>
    <w:r w:rsidR="00931D0D">
      <w:rPr>
        <w:b/>
        <w:sz w:val="14"/>
        <w:szCs w:val="14"/>
      </w:rPr>
      <w:fldChar w:fldCharType="separate"/>
    </w:r>
    <w:r w:rsidR="00861D46">
      <w:rPr>
        <w:b/>
        <w:noProof/>
        <w:sz w:val="14"/>
        <w:szCs w:val="14"/>
      </w:rPr>
      <w:t>Major centre zone code</w:t>
    </w:r>
    <w:r w:rsidR="00931D0D">
      <w:rPr>
        <w:b/>
        <w:sz w:val="14"/>
        <w:szCs w:val="1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C9A1C" w14:textId="395529C7" w:rsidR="00887F91" w:rsidRDefault="00887F91" w:rsidP="00887F91">
    <w:pPr>
      <w:pStyle w:val="Header"/>
      <w:tabs>
        <w:tab w:val="clear" w:pos="4153"/>
        <w:tab w:val="clear" w:pos="8306"/>
        <w:tab w:val="right" w:pos="14173"/>
      </w:tabs>
      <w:rPr>
        <w:sz w:val="14"/>
        <w:szCs w:val="14"/>
      </w:rPr>
    </w:pPr>
    <w:r>
      <w:rPr>
        <w:sz w:val="14"/>
        <w:szCs w:val="14"/>
      </w:rPr>
      <w:t xml:space="preserve">Editable word version </w:t>
    </w:r>
    <w:r>
      <w:rPr>
        <w:sz w:val="14"/>
        <w:szCs w:val="14"/>
      </w:rPr>
      <w:tab/>
      <w:t>6.2.  Zone codes</w:t>
    </w:r>
  </w:p>
  <w:p w14:paraId="2EF0E0F1" w14:textId="0CF264C0" w:rsidR="00887F91" w:rsidRDefault="00887F91" w:rsidP="00887F91">
    <w:pPr>
      <w:pStyle w:val="Header"/>
      <w:jc w:val="right"/>
    </w:pPr>
    <w:r>
      <w:rPr>
        <w:b/>
        <w:sz w:val="14"/>
        <w:szCs w:val="14"/>
      </w:rPr>
      <w:fldChar w:fldCharType="begin"/>
    </w:r>
    <w:r>
      <w:rPr>
        <w:b/>
        <w:sz w:val="14"/>
        <w:szCs w:val="14"/>
      </w:rPr>
      <w:instrText xml:space="preserve"> STYLEREF  "Heading 3" \n  \* MERGEFORMAT </w:instrText>
    </w:r>
    <w:r>
      <w:rPr>
        <w:b/>
        <w:sz w:val="14"/>
        <w:szCs w:val="14"/>
      </w:rPr>
      <w:fldChar w:fldCharType="separate"/>
    </w:r>
    <w:r w:rsidR="00861D46">
      <w:rPr>
        <w:b/>
        <w:noProof/>
        <w:sz w:val="14"/>
        <w:szCs w:val="14"/>
      </w:rPr>
      <w:t>6.2.5</w:t>
    </w:r>
    <w:r>
      <w:rPr>
        <w:b/>
        <w:sz w:val="14"/>
        <w:szCs w:val="14"/>
      </w:rPr>
      <w:fldChar w:fldCharType="end"/>
    </w:r>
    <w:r>
      <w:rPr>
        <w:b/>
        <w:sz w:val="14"/>
        <w:szCs w:val="14"/>
      </w:rPr>
      <w:t xml:space="preserve">  </w:t>
    </w:r>
    <w:r>
      <w:rPr>
        <w:b/>
        <w:sz w:val="14"/>
        <w:szCs w:val="14"/>
      </w:rPr>
      <w:fldChar w:fldCharType="begin"/>
    </w:r>
    <w:r>
      <w:rPr>
        <w:b/>
        <w:sz w:val="14"/>
        <w:szCs w:val="14"/>
      </w:rPr>
      <w:instrText xml:space="preserve"> STYLEREF  "Heading 3"  \* MERGEFORMAT </w:instrText>
    </w:r>
    <w:r>
      <w:rPr>
        <w:b/>
        <w:sz w:val="14"/>
        <w:szCs w:val="14"/>
      </w:rPr>
      <w:fldChar w:fldCharType="separate"/>
    </w:r>
    <w:r w:rsidR="00861D46">
      <w:rPr>
        <w:b/>
        <w:noProof/>
        <w:sz w:val="14"/>
        <w:szCs w:val="14"/>
      </w:rPr>
      <w:t>Major centre zone code</w:t>
    </w:r>
    <w:r>
      <w:rPr>
        <w:b/>
        <w:sz w:val="14"/>
        <w:szCs w:val="14"/>
      </w:rPr>
      <w:fldChar w:fldCharType="end"/>
    </w:r>
  </w:p>
  <w:p w14:paraId="2AAEC438" w14:textId="6C11D82C" w:rsidR="00887F91" w:rsidRDefault="00887F91" w:rsidP="00887F91">
    <w:pPr>
      <w:pStyle w:val="Header"/>
      <w:jc w:val="right"/>
    </w:pPr>
    <w:r>
      <w:rPr>
        <w:noProof/>
      </w:rPr>
      <mc:AlternateContent>
        <mc:Choice Requires="wps">
          <w:drawing>
            <wp:anchor distT="0" distB="0" distL="114300" distR="114300" simplePos="0" relativeHeight="251657728" behindDoc="0" locked="0" layoutInCell="1" allowOverlap="1" wp14:anchorId="7C418670" wp14:editId="62A4A9BC">
              <wp:simplePos x="0" y="0"/>
              <wp:positionH relativeFrom="page">
                <wp:posOffset>9956800</wp:posOffset>
              </wp:positionH>
              <wp:positionV relativeFrom="page">
                <wp:posOffset>2752725</wp:posOffset>
              </wp:positionV>
              <wp:extent cx="539750" cy="379285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37928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2A36D7C" w14:textId="1D0E677E" w:rsidR="00887F91" w:rsidRDefault="00887F91" w:rsidP="00887F91">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art 6 – Zone Codes</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C418670" id="_x0000_t202" coordsize="21600,21600" o:spt="202" path="m,l,21600r21600,l21600,xe">
              <v:stroke joinstyle="miter"/>
              <v:path gradientshapeok="t" o:connecttype="rect"/>
            </v:shapetype>
            <v:shape id="_x0000_s1027" type="#_x0000_t202" style="position:absolute;left:0;text-align:left;margin-left:784pt;margin-top:216.75pt;width:42.5pt;height:298.6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" stroked="f" strokeweight=".5pt">
              <v:textbox style="layout-flow:vertical;mso-layout-flow-alt:bottom-to-top">
                <w:txbxContent>
                  <w:p w14:paraId="52A36D7C" w14:textId="1D0E677E" w:rsidR="00887F91" w:rsidRDefault="00887F91" w:rsidP="00887F91">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art 6 – Zone Codes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48661" w14:textId="77777777" w:rsidR="00931D0D" w:rsidRDefault="00861D46">
    <w:pPr>
      <w:pStyle w:val="Header"/>
    </w:pPr>
    <w:r>
      <w:rPr>
        <w:noProof/>
      </w:rPr>
      <w:pict w14:anchorId="31BEEA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226" type="#_x0000_t136" style="position:absolute;margin-left:0;margin-top:0;width:534.55pt;height:50.9pt;rotation:315;z-index:-251657728;mso-position-horizontal:center;mso-position-horizontal-relative:margin;mso-position-vertical:center;mso-position-vertical-relative:margin" o:allowincell="f" fillcolor="silver" stroked="f">
          <v:fill opacity=".5"/>
          <v:textpath style="font-family:&quot;Arial&quot;;font-size:1pt" string="DRAFT / CONFIDENTI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121B"/>
    <w:multiLevelType w:val="hybridMultilevel"/>
    <w:tmpl w:val="73FC2CF2"/>
    <w:lvl w:ilvl="0" w:tplc="DAFCA62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1D167BD"/>
    <w:multiLevelType w:val="hybridMultilevel"/>
    <w:tmpl w:val="7B889568"/>
    <w:lvl w:ilvl="0" w:tplc="2446FA8C">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1EB30EA"/>
    <w:multiLevelType w:val="hybridMultilevel"/>
    <w:tmpl w:val="881C121C"/>
    <w:lvl w:ilvl="0" w:tplc="4FEA5C5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280265D"/>
    <w:multiLevelType w:val="hybridMultilevel"/>
    <w:tmpl w:val="E0ACC4EE"/>
    <w:lvl w:ilvl="0" w:tplc="67CC67FA">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2E07A50"/>
    <w:multiLevelType w:val="hybridMultilevel"/>
    <w:tmpl w:val="2DE64DBE"/>
    <w:lvl w:ilvl="0" w:tplc="C8CAA3B8">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31A32DC"/>
    <w:multiLevelType w:val="hybridMultilevel"/>
    <w:tmpl w:val="D14CF412"/>
    <w:lvl w:ilvl="0" w:tplc="84B44E5E">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3CA1EB9"/>
    <w:multiLevelType w:val="hybridMultilevel"/>
    <w:tmpl w:val="B7C6B652"/>
    <w:lvl w:ilvl="0" w:tplc="4FEA5C52">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7" w15:restartNumberingAfterBreak="0">
    <w:nsid w:val="043A61F5"/>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4A71943"/>
    <w:multiLevelType w:val="hybridMultilevel"/>
    <w:tmpl w:val="793C6EC2"/>
    <w:lvl w:ilvl="0" w:tplc="4FEA5C52">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9" w15:restartNumberingAfterBreak="0">
    <w:nsid w:val="05257CB0"/>
    <w:multiLevelType w:val="multilevel"/>
    <w:tmpl w:val="2A8C8EC8"/>
    <w:lvl w:ilvl="0">
      <w:start w:val="6"/>
      <w:numFmt w:val="decimal"/>
      <w:pStyle w:val="Heading1"/>
      <w:lvlText w:val="Part %1"/>
      <w:lvlJc w:val="left"/>
      <w:pPr>
        <w:tabs>
          <w:tab w:val="num" w:pos="1134"/>
        </w:tabs>
        <w:ind w:left="1134" w:hanging="1134"/>
      </w:pPr>
      <w:rPr>
        <w:rFonts w:hint="default"/>
      </w:rPr>
    </w:lvl>
    <w:lvl w:ilvl="1">
      <w:start w:val="1"/>
      <w:numFmt w:val="decimal"/>
      <w:pStyle w:val="Heading2"/>
      <w:lvlText w:val="%1.%2"/>
      <w:lvlJc w:val="left"/>
      <w:pPr>
        <w:tabs>
          <w:tab w:val="num" w:pos="1134"/>
        </w:tabs>
        <w:ind w:left="1134" w:hanging="1134"/>
      </w:pPr>
      <w:rPr>
        <w:rFonts w:hint="default"/>
      </w:rPr>
    </w:lvl>
    <w:lvl w:ilvl="2">
      <w:start w:val="1"/>
      <w:numFmt w:val="decimal"/>
      <w:pStyle w:val="Heading3"/>
      <w:lvlText w:val="%1.%2.%3"/>
      <w:lvlJc w:val="left"/>
      <w:pPr>
        <w:tabs>
          <w:tab w:val="num" w:pos="1134"/>
        </w:tabs>
        <w:ind w:left="1134" w:hanging="1134"/>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10" w15:restartNumberingAfterBreak="0">
    <w:nsid w:val="094E30CF"/>
    <w:multiLevelType w:val="hybridMultilevel"/>
    <w:tmpl w:val="2DE64DBE"/>
    <w:lvl w:ilvl="0" w:tplc="C8CAA3B8">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0A53472E"/>
    <w:multiLevelType w:val="hybridMultilevel"/>
    <w:tmpl w:val="4D8C46F2"/>
    <w:lvl w:ilvl="0" w:tplc="06D46A7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B5A2F1E"/>
    <w:multiLevelType w:val="hybridMultilevel"/>
    <w:tmpl w:val="91B098F2"/>
    <w:lvl w:ilvl="0" w:tplc="E12028DE">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0BEA317B"/>
    <w:multiLevelType w:val="hybridMultilevel"/>
    <w:tmpl w:val="DC7AC6FE"/>
    <w:lvl w:ilvl="0" w:tplc="AE1CEF4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0C816B33"/>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0E5F17E2"/>
    <w:multiLevelType w:val="hybridMultilevel"/>
    <w:tmpl w:val="D8DCF96E"/>
    <w:lvl w:ilvl="0" w:tplc="1BF03536">
      <w:start w:val="1"/>
      <w:numFmt w:val="lowerRoman"/>
      <w:lvlText w:val="(%1)"/>
      <w:lvlJc w:val="left"/>
      <w:pPr>
        <w:ind w:left="1495" w:hanging="360"/>
      </w:pPr>
      <w:rPr>
        <w:rFonts w:hint="default"/>
      </w:r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16" w15:restartNumberingAfterBreak="0">
    <w:nsid w:val="10362AF0"/>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11E64EFF"/>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132D69C4"/>
    <w:multiLevelType w:val="hybridMultilevel"/>
    <w:tmpl w:val="0C768EB4"/>
    <w:lvl w:ilvl="0" w:tplc="57969CE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3BB20AE"/>
    <w:multiLevelType w:val="hybridMultilevel"/>
    <w:tmpl w:val="BD1A422C"/>
    <w:lvl w:ilvl="0" w:tplc="57969CE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4163D66"/>
    <w:multiLevelType w:val="multilevel"/>
    <w:tmpl w:val="AAD66C0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165918A8"/>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16DB7E61"/>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176D770F"/>
    <w:multiLevelType w:val="multilevel"/>
    <w:tmpl w:val="8726363A"/>
    <w:numStyleLink w:val="StyleNumbered1"/>
  </w:abstractNum>
  <w:abstractNum w:abstractNumId="24" w15:restartNumberingAfterBreak="0">
    <w:nsid w:val="18C61628"/>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25" w15:restartNumberingAfterBreak="0">
    <w:nsid w:val="1A585ACB"/>
    <w:multiLevelType w:val="multilevel"/>
    <w:tmpl w:val="E7B0F284"/>
    <w:lvl w:ilvl="0">
      <w:start w:val="1"/>
      <w:numFmt w:val="lowerLetter"/>
      <w:lvlText w:val="(%1)"/>
      <w:lvlJc w:val="left"/>
      <w:pPr>
        <w:tabs>
          <w:tab w:val="num" w:pos="720"/>
        </w:tabs>
        <w:ind w:left="720" w:hanging="720"/>
      </w:pPr>
      <w:rPr>
        <w:rFonts w:hint="default"/>
        <w:b w:val="0"/>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1A753849"/>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1B33241B"/>
    <w:multiLevelType w:val="multilevel"/>
    <w:tmpl w:val="C46C0CF6"/>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1C1226AC"/>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1EB12B03"/>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1FD555EF"/>
    <w:multiLevelType w:val="hybridMultilevel"/>
    <w:tmpl w:val="C03A1B58"/>
    <w:lvl w:ilvl="0" w:tplc="0CB61F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230E0FBF"/>
    <w:multiLevelType w:val="hybridMultilevel"/>
    <w:tmpl w:val="083C1EE4"/>
    <w:lvl w:ilvl="0" w:tplc="5B4E5348">
      <w:start w:val="1"/>
      <w:numFmt w:val="lowerLetter"/>
      <w:lvlText w:val="(%1)"/>
      <w:lvlJc w:val="left"/>
      <w:pPr>
        <w:ind w:left="928" w:hanging="360"/>
      </w:pPr>
      <w:rPr>
        <w:rFonts w:hint="default"/>
        <w:sz w:val="18"/>
        <w:szCs w:val="18"/>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32" w15:restartNumberingAfterBreak="0">
    <w:nsid w:val="231351B1"/>
    <w:multiLevelType w:val="hybridMultilevel"/>
    <w:tmpl w:val="91B098F2"/>
    <w:lvl w:ilvl="0" w:tplc="E12028DE">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235771BD"/>
    <w:multiLevelType w:val="hybridMultilevel"/>
    <w:tmpl w:val="91B098F2"/>
    <w:lvl w:ilvl="0" w:tplc="E12028DE">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23AC4664"/>
    <w:multiLevelType w:val="hybridMultilevel"/>
    <w:tmpl w:val="73FC2CF2"/>
    <w:lvl w:ilvl="0" w:tplc="DAFCA62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2552019A"/>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30"/>
        </w:tabs>
        <w:ind w:left="143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255A1620"/>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37" w15:restartNumberingAfterBreak="0">
    <w:nsid w:val="25B71CF3"/>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2718770D"/>
    <w:multiLevelType w:val="multilevel"/>
    <w:tmpl w:val="17C2F200"/>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274707F5"/>
    <w:multiLevelType w:val="multilevel"/>
    <w:tmpl w:val="17C2F200"/>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27F80058"/>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28C012AD"/>
    <w:multiLevelType w:val="multilevel"/>
    <w:tmpl w:val="AAD66C0E"/>
    <w:numStyleLink w:val="StyleNumbered"/>
  </w:abstractNum>
  <w:abstractNum w:abstractNumId="42" w15:restartNumberingAfterBreak="0">
    <w:nsid w:val="29DD3554"/>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2A180D7D"/>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15:restartNumberingAfterBreak="0">
    <w:nsid w:val="2C6E39D6"/>
    <w:multiLevelType w:val="hybridMultilevel"/>
    <w:tmpl w:val="1F9CE360"/>
    <w:lvl w:ilvl="0" w:tplc="56542C48">
      <w:start w:val="1"/>
      <w:numFmt w:val="lowerLetter"/>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2DE143CE"/>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15:restartNumberingAfterBreak="0">
    <w:nsid w:val="2EDD1B58"/>
    <w:multiLevelType w:val="multilevel"/>
    <w:tmpl w:val="FBE28FDA"/>
    <w:lvl w:ilvl="0">
      <w:start w:val="1"/>
      <w:numFmt w:val="lowerLetter"/>
      <w:lvlText w:val="(%1)"/>
      <w:lvlJc w:val="left"/>
      <w:pPr>
        <w:tabs>
          <w:tab w:val="num" w:pos="437"/>
        </w:tabs>
        <w:ind w:left="437" w:hanging="437"/>
      </w:pPr>
      <w:rPr>
        <w:rFonts w:ascii="Arial" w:hAnsi="Arial" w:hint="default"/>
        <w:sz w:val="16"/>
        <w:szCs w:val="16"/>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47" w15:restartNumberingAfterBreak="0">
    <w:nsid w:val="30DB0124"/>
    <w:multiLevelType w:val="multilevel"/>
    <w:tmpl w:val="07048AB8"/>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15:restartNumberingAfterBreak="0">
    <w:nsid w:val="31205DC1"/>
    <w:multiLevelType w:val="hybridMultilevel"/>
    <w:tmpl w:val="3E1E5884"/>
    <w:lvl w:ilvl="0" w:tplc="1AB04982">
      <w:start w:val="1"/>
      <w:numFmt w:val="lowerLetter"/>
      <w:lvlText w:val="(%1)"/>
      <w:lvlJc w:val="left"/>
      <w:pPr>
        <w:ind w:left="928" w:hanging="360"/>
      </w:pPr>
      <w:rPr>
        <w:rFonts w:hint="default"/>
        <w:sz w:val="18"/>
        <w:szCs w:val="18"/>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49" w15:restartNumberingAfterBreak="0">
    <w:nsid w:val="31AF53D7"/>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15:restartNumberingAfterBreak="0">
    <w:nsid w:val="322A3174"/>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15:restartNumberingAfterBreak="0">
    <w:nsid w:val="3351792C"/>
    <w:multiLevelType w:val="hybridMultilevel"/>
    <w:tmpl w:val="CD04BB38"/>
    <w:lvl w:ilvl="0" w:tplc="C9B80FD2">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2" w15:restartNumberingAfterBreak="0">
    <w:nsid w:val="33AA33FC"/>
    <w:multiLevelType w:val="multilevel"/>
    <w:tmpl w:val="17C2F200"/>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15:restartNumberingAfterBreak="0">
    <w:nsid w:val="33D0644F"/>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4" w15:restartNumberingAfterBreak="0">
    <w:nsid w:val="341F39CF"/>
    <w:multiLevelType w:val="multilevel"/>
    <w:tmpl w:val="E7B0F284"/>
    <w:lvl w:ilvl="0">
      <w:start w:val="1"/>
      <w:numFmt w:val="lowerLetter"/>
      <w:lvlText w:val="(%1)"/>
      <w:lvlJc w:val="left"/>
      <w:pPr>
        <w:tabs>
          <w:tab w:val="num" w:pos="720"/>
        </w:tabs>
        <w:ind w:left="720" w:hanging="720"/>
      </w:pPr>
      <w:rPr>
        <w:rFonts w:hint="default"/>
        <w:b w:val="0"/>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15:restartNumberingAfterBreak="0">
    <w:nsid w:val="35995B67"/>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360E7871"/>
    <w:multiLevelType w:val="multilevel"/>
    <w:tmpl w:val="9BBAA0CE"/>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7" w15:restartNumberingAfterBreak="0">
    <w:nsid w:val="36726B49"/>
    <w:multiLevelType w:val="hybridMultilevel"/>
    <w:tmpl w:val="2DAA5D7A"/>
    <w:lvl w:ilvl="0" w:tplc="1BF03536">
      <w:start w:val="1"/>
      <w:numFmt w:val="lowerRoman"/>
      <w:lvlText w:val="(%1)"/>
      <w:lvlJc w:val="left"/>
      <w:pPr>
        <w:ind w:left="785" w:hanging="360"/>
      </w:pPr>
      <w:rPr>
        <w:rFonts w:hint="default"/>
      </w:r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58" w15:restartNumberingAfterBreak="0">
    <w:nsid w:val="37AF0533"/>
    <w:multiLevelType w:val="hybridMultilevel"/>
    <w:tmpl w:val="EBB057F6"/>
    <w:lvl w:ilvl="0" w:tplc="01B24498">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9" w15:restartNumberingAfterBreak="0">
    <w:nsid w:val="380B4FF2"/>
    <w:multiLevelType w:val="multilevel"/>
    <w:tmpl w:val="50564A30"/>
    <w:styleLink w:val="StyleNumbered3"/>
    <w:lvl w:ilvl="0">
      <w:start w:val="1"/>
      <w:numFmt w:val="lowerLetter"/>
      <w:lvlText w:val="(%1)"/>
      <w:lvlJc w:val="left"/>
      <w:pPr>
        <w:tabs>
          <w:tab w:val="num" w:pos="1134"/>
        </w:tabs>
        <w:ind w:left="1134" w:hanging="567"/>
      </w:pPr>
      <w:rPr>
        <w:rFonts w:ascii="Arial" w:hAnsi="Aria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0" w15:restartNumberingAfterBreak="0">
    <w:nsid w:val="38C3569E"/>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1" w15:restartNumberingAfterBreak="0">
    <w:nsid w:val="39023DC5"/>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2" w15:restartNumberingAfterBreak="0">
    <w:nsid w:val="395123EC"/>
    <w:multiLevelType w:val="hybridMultilevel"/>
    <w:tmpl w:val="91B098F2"/>
    <w:lvl w:ilvl="0" w:tplc="E12028DE">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3" w15:restartNumberingAfterBreak="0">
    <w:nsid w:val="399422BF"/>
    <w:multiLevelType w:val="hybridMultilevel"/>
    <w:tmpl w:val="45A8C332"/>
    <w:lvl w:ilvl="0" w:tplc="DE366CD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4" w15:restartNumberingAfterBreak="0">
    <w:nsid w:val="39DA271F"/>
    <w:multiLevelType w:val="hybridMultilevel"/>
    <w:tmpl w:val="F39C60B4"/>
    <w:lvl w:ilvl="0" w:tplc="56542C48">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5" w15:restartNumberingAfterBreak="0">
    <w:nsid w:val="3A0463B3"/>
    <w:multiLevelType w:val="hybridMultilevel"/>
    <w:tmpl w:val="171003DE"/>
    <w:lvl w:ilvl="0" w:tplc="67CC67F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6" w15:restartNumberingAfterBreak="0">
    <w:nsid w:val="3AB03A53"/>
    <w:multiLevelType w:val="multilevel"/>
    <w:tmpl w:val="E318BE72"/>
    <w:styleLink w:val="StyleStyleNumberedOutlinenumberedArial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7" w15:restartNumberingAfterBreak="0">
    <w:nsid w:val="3B0F60F4"/>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8" w15:restartNumberingAfterBreak="0">
    <w:nsid w:val="3C5E2639"/>
    <w:multiLevelType w:val="hybridMultilevel"/>
    <w:tmpl w:val="74F2E308"/>
    <w:lvl w:ilvl="0" w:tplc="47723A72">
      <w:start w:val="1"/>
      <w:numFmt w:val="lowerLetter"/>
      <w:lvlText w:val="(%1)"/>
      <w:lvlJc w:val="left"/>
      <w:pPr>
        <w:ind w:left="928" w:hanging="360"/>
      </w:pPr>
      <w:rPr>
        <w:rFonts w:hint="default"/>
        <w:sz w:val="18"/>
        <w:szCs w:val="18"/>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69" w15:restartNumberingAfterBreak="0">
    <w:nsid w:val="3C9E33EA"/>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0" w15:restartNumberingAfterBreak="0">
    <w:nsid w:val="3CC76318"/>
    <w:multiLevelType w:val="multilevel"/>
    <w:tmpl w:val="FBE28FDA"/>
    <w:lvl w:ilvl="0">
      <w:start w:val="1"/>
      <w:numFmt w:val="lowerLetter"/>
      <w:lvlText w:val="(%1)"/>
      <w:lvlJc w:val="left"/>
      <w:pPr>
        <w:tabs>
          <w:tab w:val="num" w:pos="437"/>
        </w:tabs>
        <w:ind w:left="437" w:hanging="437"/>
      </w:pPr>
      <w:rPr>
        <w:rFonts w:ascii="Arial" w:hAnsi="Arial" w:hint="default"/>
        <w:sz w:val="16"/>
        <w:szCs w:val="16"/>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71" w15:restartNumberingAfterBreak="0">
    <w:nsid w:val="3D756C97"/>
    <w:multiLevelType w:val="hybridMultilevel"/>
    <w:tmpl w:val="577816C0"/>
    <w:lvl w:ilvl="0" w:tplc="DAFCA62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3F1F5665"/>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3" w15:restartNumberingAfterBreak="0">
    <w:nsid w:val="42102620"/>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4" w15:restartNumberingAfterBreak="0">
    <w:nsid w:val="423F2C1D"/>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571"/>
        </w:tabs>
        <w:ind w:left="1571"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5" w15:restartNumberingAfterBreak="0">
    <w:nsid w:val="424223E1"/>
    <w:multiLevelType w:val="hybridMultilevel"/>
    <w:tmpl w:val="2F04F20C"/>
    <w:lvl w:ilvl="0" w:tplc="1BF03536">
      <w:start w:val="1"/>
      <w:numFmt w:val="lowerRoman"/>
      <w:lvlText w:val="(%1)"/>
      <w:lvlJc w:val="left"/>
      <w:pPr>
        <w:ind w:left="1495" w:hanging="360"/>
      </w:pPr>
      <w:rPr>
        <w:rFonts w:hint="default"/>
      </w:r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76" w15:restartNumberingAfterBreak="0">
    <w:nsid w:val="42C41627"/>
    <w:multiLevelType w:val="multilevel"/>
    <w:tmpl w:val="FBE28FDA"/>
    <w:lvl w:ilvl="0">
      <w:start w:val="1"/>
      <w:numFmt w:val="lowerLetter"/>
      <w:lvlText w:val="(%1)"/>
      <w:lvlJc w:val="left"/>
      <w:pPr>
        <w:tabs>
          <w:tab w:val="num" w:pos="437"/>
        </w:tabs>
        <w:ind w:left="437" w:hanging="437"/>
      </w:pPr>
      <w:rPr>
        <w:rFonts w:ascii="Arial" w:hAnsi="Arial" w:hint="default"/>
        <w:sz w:val="16"/>
        <w:szCs w:val="16"/>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77" w15:restartNumberingAfterBreak="0">
    <w:nsid w:val="42DB0145"/>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8" w15:restartNumberingAfterBreak="0">
    <w:nsid w:val="43624571"/>
    <w:multiLevelType w:val="multilevel"/>
    <w:tmpl w:val="A6883384"/>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9" w15:restartNumberingAfterBreak="0">
    <w:nsid w:val="439900FA"/>
    <w:multiLevelType w:val="multilevel"/>
    <w:tmpl w:val="112870F0"/>
    <w:styleLink w:val="StyleStyleNumberedOutlinenumberedArial3"/>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0" w15:restartNumberingAfterBreak="0">
    <w:nsid w:val="452E37FE"/>
    <w:multiLevelType w:val="multilevel"/>
    <w:tmpl w:val="DE669AA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1" w15:restartNumberingAfterBreak="0">
    <w:nsid w:val="456035D2"/>
    <w:multiLevelType w:val="multilevel"/>
    <w:tmpl w:val="12ACB600"/>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2" w15:restartNumberingAfterBreak="0">
    <w:nsid w:val="46015DED"/>
    <w:multiLevelType w:val="hybridMultilevel"/>
    <w:tmpl w:val="19AE85F8"/>
    <w:lvl w:ilvl="0" w:tplc="1FE4B4D6">
      <w:start w:val="1"/>
      <w:numFmt w:val="lowerRoman"/>
      <w:lvlText w:val="(%1)"/>
      <w:lvlJc w:val="left"/>
      <w:pPr>
        <w:ind w:left="720" w:hanging="360"/>
      </w:pPr>
      <w:rPr>
        <w:rFonts w:ascii="Arial" w:hAnsi="Arial" w:hint="default"/>
        <w:b w:val="0"/>
        <w:i w:val="0"/>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15:restartNumberingAfterBreak="0">
    <w:nsid w:val="47C50D0F"/>
    <w:multiLevelType w:val="hybridMultilevel"/>
    <w:tmpl w:val="2DE64DBE"/>
    <w:lvl w:ilvl="0" w:tplc="C8CAA3B8">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4" w15:restartNumberingAfterBreak="0">
    <w:nsid w:val="48AA6A6E"/>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5" w15:restartNumberingAfterBreak="0">
    <w:nsid w:val="497A21BC"/>
    <w:multiLevelType w:val="multilevel"/>
    <w:tmpl w:val="E0F49114"/>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6" w15:restartNumberingAfterBreak="0">
    <w:nsid w:val="4BB77422"/>
    <w:multiLevelType w:val="hybridMultilevel"/>
    <w:tmpl w:val="3E92F23E"/>
    <w:lvl w:ilvl="0" w:tplc="4FEA5C52">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87" w15:restartNumberingAfterBreak="0">
    <w:nsid w:val="4D3F2E66"/>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8" w15:restartNumberingAfterBreak="0">
    <w:nsid w:val="4D950712"/>
    <w:multiLevelType w:val="multilevel"/>
    <w:tmpl w:val="CC9292AE"/>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9" w15:restartNumberingAfterBreak="0">
    <w:nsid w:val="4DD52BC0"/>
    <w:multiLevelType w:val="hybridMultilevel"/>
    <w:tmpl w:val="41606EC6"/>
    <w:lvl w:ilvl="0" w:tplc="4FEA5C52">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90" w15:restartNumberingAfterBreak="0">
    <w:nsid w:val="4E973A34"/>
    <w:multiLevelType w:val="multilevel"/>
    <w:tmpl w:val="3E3E1CF4"/>
    <w:styleLink w:val="StyleStyleNumberedOutlinenumberedArial"/>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35"/>
        </w:tabs>
        <w:ind w:left="2835"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1" w15:restartNumberingAfterBreak="0">
    <w:nsid w:val="4EDA57FE"/>
    <w:multiLevelType w:val="multilevel"/>
    <w:tmpl w:val="AAD66C0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2" w15:restartNumberingAfterBreak="0">
    <w:nsid w:val="4FC32903"/>
    <w:multiLevelType w:val="hybridMultilevel"/>
    <w:tmpl w:val="DC7AC6FE"/>
    <w:lvl w:ilvl="0" w:tplc="AE1CEF4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3" w15:restartNumberingAfterBreak="0">
    <w:nsid w:val="4FEC67F1"/>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4" w15:restartNumberingAfterBreak="0">
    <w:nsid w:val="51876C13"/>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5" w15:restartNumberingAfterBreak="0">
    <w:nsid w:val="52E31812"/>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6" w15:restartNumberingAfterBreak="0">
    <w:nsid w:val="537E565F"/>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287"/>
        </w:tabs>
        <w:ind w:left="1287"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7" w15:restartNumberingAfterBreak="0">
    <w:nsid w:val="53E77ABB"/>
    <w:multiLevelType w:val="multilevel"/>
    <w:tmpl w:val="51F45B3A"/>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8" w15:restartNumberingAfterBreak="0">
    <w:nsid w:val="56B81D80"/>
    <w:multiLevelType w:val="multilevel"/>
    <w:tmpl w:val="16647A0C"/>
    <w:styleLink w:val="StyleNumbered2"/>
    <w:lvl w:ilvl="0">
      <w:start w:val="1"/>
      <w:numFmt w:val="decimal"/>
      <w:lvlText w:val="(%1)"/>
      <w:lvlJc w:val="left"/>
      <w:pPr>
        <w:tabs>
          <w:tab w:val="num" w:pos="567"/>
        </w:tabs>
        <w:ind w:left="567" w:hanging="567"/>
      </w:pPr>
      <w:rPr>
        <w:rFonts w:ascii="Arial" w:hAnsi="Arial"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9" w15:restartNumberingAfterBreak="0">
    <w:nsid w:val="57B92839"/>
    <w:multiLevelType w:val="hybridMultilevel"/>
    <w:tmpl w:val="577816C0"/>
    <w:lvl w:ilvl="0" w:tplc="DAFCA6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BF354F3"/>
    <w:multiLevelType w:val="multilevel"/>
    <w:tmpl w:val="17C2F200"/>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1" w15:restartNumberingAfterBreak="0">
    <w:nsid w:val="5CC35ECA"/>
    <w:multiLevelType w:val="multilevel"/>
    <w:tmpl w:val="AAD66C0E"/>
    <w:styleLink w:val="StyleNumbered"/>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2" w15:restartNumberingAfterBreak="0">
    <w:nsid w:val="5CD4059C"/>
    <w:multiLevelType w:val="multilevel"/>
    <w:tmpl w:val="AAD66C0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3" w15:restartNumberingAfterBreak="0">
    <w:nsid w:val="5CEC14D5"/>
    <w:multiLevelType w:val="hybridMultilevel"/>
    <w:tmpl w:val="AEF45F32"/>
    <w:lvl w:ilvl="0" w:tplc="518AA878">
      <w:start w:val="1"/>
      <w:numFmt w:val="lowerRoman"/>
      <w:lvlText w:val="(%1)  "/>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04" w15:restartNumberingAfterBreak="0">
    <w:nsid w:val="5CED3F23"/>
    <w:multiLevelType w:val="multilevel"/>
    <w:tmpl w:val="27646EA0"/>
    <w:lvl w:ilvl="0">
      <w:start w:val="1"/>
      <w:numFmt w:val="lowerLetter"/>
      <w:lvlText w:val="(%1)"/>
      <w:lvlJc w:val="left"/>
      <w:pPr>
        <w:tabs>
          <w:tab w:val="num" w:pos="437"/>
        </w:tabs>
        <w:ind w:left="437" w:hanging="437"/>
      </w:pPr>
      <w:rPr>
        <w:rFonts w:ascii="Arial" w:hAnsi="Arial" w:hint="default"/>
        <w:b w:val="0"/>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05" w15:restartNumberingAfterBreak="0">
    <w:nsid w:val="5F0766B3"/>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6" w15:restartNumberingAfterBreak="0">
    <w:nsid w:val="5FA87441"/>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7" w15:restartNumberingAfterBreak="0">
    <w:nsid w:val="60C2495D"/>
    <w:multiLevelType w:val="hybridMultilevel"/>
    <w:tmpl w:val="90188198"/>
    <w:lvl w:ilvl="0" w:tplc="86329BB0">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8" w15:restartNumberingAfterBreak="0">
    <w:nsid w:val="60E62153"/>
    <w:multiLevelType w:val="hybridMultilevel"/>
    <w:tmpl w:val="F8A8F3A8"/>
    <w:lvl w:ilvl="0" w:tplc="4FEA5C5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9" w15:restartNumberingAfterBreak="0">
    <w:nsid w:val="61302947"/>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0" w15:restartNumberingAfterBreak="0">
    <w:nsid w:val="62871C10"/>
    <w:multiLevelType w:val="multilevel"/>
    <w:tmpl w:val="CAD00F42"/>
    <w:styleLink w:val="StyleStyleNumberedOutlinenumberedArial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1" w15:restartNumberingAfterBreak="0">
    <w:nsid w:val="62F64CDD"/>
    <w:multiLevelType w:val="hybridMultilevel"/>
    <w:tmpl w:val="D19E4FC4"/>
    <w:lvl w:ilvl="0" w:tplc="72628F30">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2" w15:restartNumberingAfterBreak="0">
    <w:nsid w:val="644F6AFA"/>
    <w:multiLevelType w:val="multilevel"/>
    <w:tmpl w:val="3E3E1CF4"/>
    <w:numStyleLink w:val="StyleStyleNumberedOutlinenumberedArial"/>
  </w:abstractNum>
  <w:abstractNum w:abstractNumId="113" w15:restartNumberingAfterBreak="0">
    <w:nsid w:val="65F07E0C"/>
    <w:multiLevelType w:val="hybridMultilevel"/>
    <w:tmpl w:val="B034440A"/>
    <w:lvl w:ilvl="0" w:tplc="DE366CD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4" w15:restartNumberingAfterBreak="0">
    <w:nsid w:val="667270FA"/>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5" w15:restartNumberingAfterBreak="0">
    <w:nsid w:val="668D00F3"/>
    <w:multiLevelType w:val="multilevel"/>
    <w:tmpl w:val="0C09001D"/>
    <w:styleLink w:val="1ai"/>
    <w:lvl w:ilvl="0">
      <w:start w:val="1"/>
      <w:numFmt w:val="decimal"/>
      <w:lvlText w:val="%1)"/>
      <w:lvlJc w:val="left"/>
      <w:pPr>
        <w:tabs>
          <w:tab w:val="num" w:pos="360"/>
        </w:tabs>
        <w:ind w:left="360" w:hanging="360"/>
      </w:pPr>
      <w:rPr>
        <w:rFonts w:ascii="Arial" w:hAnsi="Arial"/>
        <w:sz w:val="20"/>
      </w:rPr>
    </w:lvl>
    <w:lvl w:ilvl="1">
      <w:start w:val="1"/>
      <w:numFmt w:val="lowerLetter"/>
      <w:lvlText w:val="%2)"/>
      <w:lvlJc w:val="left"/>
      <w:pPr>
        <w:tabs>
          <w:tab w:val="num" w:pos="720"/>
        </w:tabs>
        <w:ind w:left="720" w:hanging="360"/>
      </w:pPr>
      <w:rPr>
        <w:rFonts w:ascii="Arial" w:hAnsi="Arial"/>
        <w:sz w:val="2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6" w15:restartNumberingAfterBreak="0">
    <w:nsid w:val="66C13AE0"/>
    <w:multiLevelType w:val="hybridMultilevel"/>
    <w:tmpl w:val="0FD020DE"/>
    <w:lvl w:ilvl="0" w:tplc="6CC09A6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7" w15:restartNumberingAfterBreak="0">
    <w:nsid w:val="6779611A"/>
    <w:multiLevelType w:val="hybridMultilevel"/>
    <w:tmpl w:val="980C8CD0"/>
    <w:lvl w:ilvl="0" w:tplc="8F24CC92">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8" w15:restartNumberingAfterBreak="0">
    <w:nsid w:val="686F2CC6"/>
    <w:multiLevelType w:val="hybridMultilevel"/>
    <w:tmpl w:val="45F4F3D4"/>
    <w:lvl w:ilvl="0" w:tplc="9224D23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9" w15:restartNumberingAfterBreak="0">
    <w:nsid w:val="69D85ACD"/>
    <w:multiLevelType w:val="hybridMultilevel"/>
    <w:tmpl w:val="7986AFA8"/>
    <w:lvl w:ilvl="0" w:tplc="67CC67F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0" w15:restartNumberingAfterBreak="0">
    <w:nsid w:val="69D9031E"/>
    <w:multiLevelType w:val="hybridMultilevel"/>
    <w:tmpl w:val="F46EACB0"/>
    <w:lvl w:ilvl="0" w:tplc="C8CAA3B8">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1" w15:restartNumberingAfterBreak="0">
    <w:nsid w:val="6B1548E1"/>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2" w15:restartNumberingAfterBreak="0">
    <w:nsid w:val="6BA26FB5"/>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3" w15:restartNumberingAfterBreak="0">
    <w:nsid w:val="6C76289E"/>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4" w15:restartNumberingAfterBreak="0">
    <w:nsid w:val="6CBB023C"/>
    <w:multiLevelType w:val="hybridMultilevel"/>
    <w:tmpl w:val="AADE9EF4"/>
    <w:lvl w:ilvl="0" w:tplc="1BF03536">
      <w:start w:val="1"/>
      <w:numFmt w:val="lowerRoman"/>
      <w:lvlText w:val="(%1)"/>
      <w:lvlJc w:val="left"/>
      <w:pPr>
        <w:ind w:left="1212" w:hanging="360"/>
      </w:pPr>
      <w:rPr>
        <w:rFonts w:hint="default"/>
      </w:rPr>
    </w:lvl>
    <w:lvl w:ilvl="1" w:tplc="0C090019" w:tentative="1">
      <w:start w:val="1"/>
      <w:numFmt w:val="lowerLetter"/>
      <w:lvlText w:val="%2."/>
      <w:lvlJc w:val="left"/>
      <w:pPr>
        <w:ind w:left="1932" w:hanging="360"/>
      </w:pPr>
    </w:lvl>
    <w:lvl w:ilvl="2" w:tplc="0C09001B" w:tentative="1">
      <w:start w:val="1"/>
      <w:numFmt w:val="lowerRoman"/>
      <w:lvlText w:val="%3."/>
      <w:lvlJc w:val="right"/>
      <w:pPr>
        <w:ind w:left="2652" w:hanging="180"/>
      </w:pPr>
    </w:lvl>
    <w:lvl w:ilvl="3" w:tplc="0C09000F" w:tentative="1">
      <w:start w:val="1"/>
      <w:numFmt w:val="decimal"/>
      <w:lvlText w:val="%4."/>
      <w:lvlJc w:val="left"/>
      <w:pPr>
        <w:ind w:left="3372" w:hanging="360"/>
      </w:pPr>
    </w:lvl>
    <w:lvl w:ilvl="4" w:tplc="0C090019" w:tentative="1">
      <w:start w:val="1"/>
      <w:numFmt w:val="lowerLetter"/>
      <w:lvlText w:val="%5."/>
      <w:lvlJc w:val="left"/>
      <w:pPr>
        <w:ind w:left="4092" w:hanging="360"/>
      </w:pPr>
    </w:lvl>
    <w:lvl w:ilvl="5" w:tplc="0C09001B" w:tentative="1">
      <w:start w:val="1"/>
      <w:numFmt w:val="lowerRoman"/>
      <w:lvlText w:val="%6."/>
      <w:lvlJc w:val="right"/>
      <w:pPr>
        <w:ind w:left="4812" w:hanging="180"/>
      </w:pPr>
    </w:lvl>
    <w:lvl w:ilvl="6" w:tplc="0C09000F" w:tentative="1">
      <w:start w:val="1"/>
      <w:numFmt w:val="decimal"/>
      <w:lvlText w:val="%7."/>
      <w:lvlJc w:val="left"/>
      <w:pPr>
        <w:ind w:left="5532" w:hanging="360"/>
      </w:pPr>
    </w:lvl>
    <w:lvl w:ilvl="7" w:tplc="0C090019" w:tentative="1">
      <w:start w:val="1"/>
      <w:numFmt w:val="lowerLetter"/>
      <w:lvlText w:val="%8."/>
      <w:lvlJc w:val="left"/>
      <w:pPr>
        <w:ind w:left="6252" w:hanging="360"/>
      </w:pPr>
    </w:lvl>
    <w:lvl w:ilvl="8" w:tplc="0C09001B" w:tentative="1">
      <w:start w:val="1"/>
      <w:numFmt w:val="lowerRoman"/>
      <w:lvlText w:val="%9."/>
      <w:lvlJc w:val="right"/>
      <w:pPr>
        <w:ind w:left="6972" w:hanging="180"/>
      </w:pPr>
    </w:lvl>
  </w:abstractNum>
  <w:abstractNum w:abstractNumId="125" w15:restartNumberingAfterBreak="0">
    <w:nsid w:val="6D534907"/>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6" w15:restartNumberingAfterBreak="0">
    <w:nsid w:val="6D577074"/>
    <w:multiLevelType w:val="multilevel"/>
    <w:tmpl w:val="17C2F200"/>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7" w15:restartNumberingAfterBreak="0">
    <w:nsid w:val="6D605B9A"/>
    <w:multiLevelType w:val="hybridMultilevel"/>
    <w:tmpl w:val="CFB4AFB0"/>
    <w:lvl w:ilvl="0" w:tplc="4FEA5C52">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128" w15:restartNumberingAfterBreak="0">
    <w:nsid w:val="6D9367FB"/>
    <w:multiLevelType w:val="hybridMultilevel"/>
    <w:tmpl w:val="91B098F2"/>
    <w:lvl w:ilvl="0" w:tplc="E12028DE">
      <w:start w:val="1"/>
      <w:numFmt w:val="lowerLetter"/>
      <w:lvlText w:val="(%1)"/>
      <w:lvlJc w:val="left"/>
      <w:pPr>
        <w:ind w:left="360" w:hanging="360"/>
      </w:pPr>
      <w:rPr>
        <w:rFonts w:hint="default"/>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9" w15:restartNumberingAfterBreak="0">
    <w:nsid w:val="70FD5BA9"/>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0" w15:restartNumberingAfterBreak="0">
    <w:nsid w:val="71121005"/>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1" w15:restartNumberingAfterBreak="0">
    <w:nsid w:val="719B0496"/>
    <w:multiLevelType w:val="hybridMultilevel"/>
    <w:tmpl w:val="466E3618"/>
    <w:lvl w:ilvl="0" w:tplc="DAFCA62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2" w15:restartNumberingAfterBreak="0">
    <w:nsid w:val="7275472E"/>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33" w15:restartNumberingAfterBreak="0">
    <w:nsid w:val="735130B4"/>
    <w:multiLevelType w:val="multilevel"/>
    <w:tmpl w:val="FBE28FDA"/>
    <w:lvl w:ilvl="0">
      <w:start w:val="1"/>
      <w:numFmt w:val="lowerLetter"/>
      <w:lvlText w:val="(%1)"/>
      <w:lvlJc w:val="left"/>
      <w:pPr>
        <w:tabs>
          <w:tab w:val="num" w:pos="437"/>
        </w:tabs>
        <w:ind w:left="437" w:hanging="437"/>
      </w:pPr>
      <w:rPr>
        <w:rFonts w:ascii="Arial" w:hAnsi="Arial" w:hint="default"/>
        <w:sz w:val="16"/>
        <w:szCs w:val="16"/>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34" w15:restartNumberingAfterBreak="0">
    <w:nsid w:val="76A61C63"/>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35" w15:restartNumberingAfterBreak="0">
    <w:nsid w:val="76ED22CB"/>
    <w:multiLevelType w:val="hybridMultilevel"/>
    <w:tmpl w:val="6BB22D46"/>
    <w:lvl w:ilvl="0" w:tplc="DAFCA6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7A42A1F"/>
    <w:multiLevelType w:val="hybridMultilevel"/>
    <w:tmpl w:val="5C7200C6"/>
    <w:lvl w:ilvl="0" w:tplc="67CC67F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7" w15:restartNumberingAfterBreak="0">
    <w:nsid w:val="79185EEB"/>
    <w:multiLevelType w:val="hybridMultilevel"/>
    <w:tmpl w:val="91B098F2"/>
    <w:lvl w:ilvl="0" w:tplc="E12028DE">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8" w15:restartNumberingAfterBreak="0">
    <w:nsid w:val="792A1A47"/>
    <w:multiLevelType w:val="multilevel"/>
    <w:tmpl w:val="AF168E1C"/>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9" w15:restartNumberingAfterBreak="0">
    <w:nsid w:val="7A091132"/>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0" w15:restartNumberingAfterBreak="0">
    <w:nsid w:val="7B967831"/>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1" w15:restartNumberingAfterBreak="0">
    <w:nsid w:val="7BC8695E"/>
    <w:multiLevelType w:val="multilevel"/>
    <w:tmpl w:val="17C2F200"/>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2" w15:restartNumberingAfterBreak="0">
    <w:nsid w:val="7CF63360"/>
    <w:multiLevelType w:val="multilevel"/>
    <w:tmpl w:val="8726363A"/>
    <w:styleLink w:val="StyleNumbered1"/>
    <w:lvl w:ilvl="0">
      <w:start w:val="1"/>
      <w:numFmt w:val="lowerRoman"/>
      <w:lvlText w:val="(%1)"/>
      <w:lvlJc w:val="left"/>
      <w:pPr>
        <w:tabs>
          <w:tab w:val="num" w:pos="1701"/>
        </w:tabs>
        <w:ind w:left="1701" w:hanging="567"/>
      </w:pPr>
      <w:rPr>
        <w:rFonts w:ascii="Arial" w:hAnsi="Arial" w:hint="default"/>
        <w:sz w:val="20"/>
      </w:rPr>
    </w:lvl>
    <w:lvl w:ilvl="1">
      <w:start w:val="1"/>
      <w:numFmt w:val="lowerLetter"/>
      <w:lvlText w:val="%2."/>
      <w:lvlJc w:val="left"/>
      <w:pPr>
        <w:tabs>
          <w:tab w:val="num" w:pos="0"/>
        </w:tabs>
        <w:ind w:left="2214" w:hanging="360"/>
      </w:pPr>
      <w:rPr>
        <w:rFonts w:hint="default"/>
      </w:rPr>
    </w:lvl>
    <w:lvl w:ilvl="2">
      <w:start w:val="1"/>
      <w:numFmt w:val="lowerRoman"/>
      <w:lvlText w:val="%3."/>
      <w:lvlJc w:val="right"/>
      <w:pPr>
        <w:tabs>
          <w:tab w:val="num" w:pos="0"/>
        </w:tabs>
        <w:ind w:left="2934" w:hanging="180"/>
      </w:pPr>
      <w:rPr>
        <w:rFonts w:hint="default"/>
      </w:rPr>
    </w:lvl>
    <w:lvl w:ilvl="3">
      <w:start w:val="1"/>
      <w:numFmt w:val="decimal"/>
      <w:lvlText w:val="%4."/>
      <w:lvlJc w:val="left"/>
      <w:pPr>
        <w:tabs>
          <w:tab w:val="num" w:pos="0"/>
        </w:tabs>
        <w:ind w:left="3654" w:hanging="360"/>
      </w:pPr>
      <w:rPr>
        <w:rFonts w:hint="default"/>
      </w:rPr>
    </w:lvl>
    <w:lvl w:ilvl="4">
      <w:start w:val="1"/>
      <w:numFmt w:val="lowerLetter"/>
      <w:lvlText w:val="%5."/>
      <w:lvlJc w:val="left"/>
      <w:pPr>
        <w:tabs>
          <w:tab w:val="num" w:pos="0"/>
        </w:tabs>
        <w:ind w:left="4374" w:hanging="360"/>
      </w:pPr>
      <w:rPr>
        <w:rFonts w:hint="default"/>
      </w:rPr>
    </w:lvl>
    <w:lvl w:ilvl="5">
      <w:start w:val="1"/>
      <w:numFmt w:val="lowerRoman"/>
      <w:lvlText w:val="%6."/>
      <w:lvlJc w:val="right"/>
      <w:pPr>
        <w:tabs>
          <w:tab w:val="num" w:pos="0"/>
        </w:tabs>
        <w:ind w:left="5094" w:hanging="180"/>
      </w:pPr>
      <w:rPr>
        <w:rFonts w:hint="default"/>
      </w:rPr>
    </w:lvl>
    <w:lvl w:ilvl="6">
      <w:start w:val="1"/>
      <w:numFmt w:val="decimal"/>
      <w:lvlText w:val="%7."/>
      <w:lvlJc w:val="left"/>
      <w:pPr>
        <w:tabs>
          <w:tab w:val="num" w:pos="0"/>
        </w:tabs>
        <w:ind w:left="5814" w:hanging="360"/>
      </w:pPr>
      <w:rPr>
        <w:rFonts w:hint="default"/>
      </w:rPr>
    </w:lvl>
    <w:lvl w:ilvl="7">
      <w:start w:val="1"/>
      <w:numFmt w:val="lowerLetter"/>
      <w:lvlText w:val="%8."/>
      <w:lvlJc w:val="left"/>
      <w:pPr>
        <w:tabs>
          <w:tab w:val="num" w:pos="0"/>
        </w:tabs>
        <w:ind w:left="6534" w:hanging="360"/>
      </w:pPr>
      <w:rPr>
        <w:rFonts w:hint="default"/>
      </w:rPr>
    </w:lvl>
    <w:lvl w:ilvl="8">
      <w:start w:val="1"/>
      <w:numFmt w:val="lowerRoman"/>
      <w:lvlText w:val="%9."/>
      <w:lvlJc w:val="right"/>
      <w:pPr>
        <w:tabs>
          <w:tab w:val="num" w:pos="0"/>
        </w:tabs>
        <w:ind w:left="7254" w:hanging="180"/>
      </w:pPr>
      <w:rPr>
        <w:rFonts w:hint="default"/>
      </w:rPr>
    </w:lvl>
  </w:abstractNum>
  <w:abstractNum w:abstractNumId="143" w15:restartNumberingAfterBreak="0">
    <w:nsid w:val="7D114A94"/>
    <w:multiLevelType w:val="multilevel"/>
    <w:tmpl w:val="FBE28FDA"/>
    <w:lvl w:ilvl="0">
      <w:start w:val="1"/>
      <w:numFmt w:val="lowerLetter"/>
      <w:lvlText w:val="(%1)"/>
      <w:lvlJc w:val="left"/>
      <w:pPr>
        <w:tabs>
          <w:tab w:val="num" w:pos="437"/>
        </w:tabs>
        <w:ind w:left="437" w:hanging="437"/>
      </w:pPr>
      <w:rPr>
        <w:rFonts w:ascii="Arial" w:hAnsi="Arial" w:hint="default"/>
        <w:sz w:val="16"/>
        <w:szCs w:val="16"/>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44" w15:restartNumberingAfterBreak="0">
    <w:nsid w:val="7DF44821"/>
    <w:multiLevelType w:val="hybridMultilevel"/>
    <w:tmpl w:val="91B098F2"/>
    <w:lvl w:ilvl="0" w:tplc="E12028DE">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5" w15:restartNumberingAfterBreak="0">
    <w:nsid w:val="7DFB474C"/>
    <w:multiLevelType w:val="hybridMultilevel"/>
    <w:tmpl w:val="03763E76"/>
    <w:lvl w:ilvl="0" w:tplc="DAFCA62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6" w15:restartNumberingAfterBreak="0">
    <w:nsid w:val="7FAF2179"/>
    <w:multiLevelType w:val="multilevel"/>
    <w:tmpl w:val="AF168E1C"/>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16cid:durableId="750155542">
    <w:abstractNumId w:val="115"/>
  </w:num>
  <w:num w:numId="2" w16cid:durableId="767385636">
    <w:abstractNumId w:val="9"/>
  </w:num>
  <w:num w:numId="3" w16cid:durableId="1657488232">
    <w:abstractNumId w:val="101"/>
  </w:num>
  <w:num w:numId="4" w16cid:durableId="1318996872">
    <w:abstractNumId w:val="41"/>
    <w:lvlOverride w:ilvl="0">
      <w:lvl w:ilvl="0">
        <w:start w:val="1"/>
        <w:numFmt w:val="decimal"/>
        <w:lvlText w:val="(%1)"/>
        <w:lvlJc w:val="left"/>
        <w:pPr>
          <w:tabs>
            <w:tab w:val="num" w:pos="567"/>
          </w:tabs>
          <w:ind w:left="567" w:hanging="567"/>
        </w:pPr>
        <w:rPr>
          <w:rFonts w:hint="default"/>
        </w:rPr>
      </w:lvl>
    </w:lvlOverride>
    <w:lvlOverride w:ilvl="1">
      <w:lvl w:ilvl="1">
        <w:start w:val="1"/>
        <w:numFmt w:val="lowerLetter"/>
        <w:lvlText w:val="(%2)"/>
        <w:lvlJc w:val="left"/>
        <w:pPr>
          <w:tabs>
            <w:tab w:val="num" w:pos="1134"/>
          </w:tabs>
          <w:ind w:left="1134" w:hanging="567"/>
        </w:pPr>
        <w:rPr>
          <w:rFonts w:ascii="Arial" w:hAnsi="Arial" w:hint="default"/>
        </w:rPr>
      </w:lvl>
    </w:lvlOverride>
    <w:lvlOverride w:ilvl="2">
      <w:lvl w:ilvl="2">
        <w:start w:val="1"/>
        <w:numFmt w:val="lowerRoman"/>
        <w:lvlText w:val="(%3)"/>
        <w:lvlJc w:val="left"/>
        <w:pPr>
          <w:tabs>
            <w:tab w:val="num" w:pos="1701"/>
          </w:tabs>
          <w:ind w:left="1701" w:hanging="567"/>
        </w:pPr>
        <w:rPr>
          <w:rFonts w:hint="default"/>
        </w:rPr>
      </w:lvl>
    </w:lvlOverride>
    <w:lvlOverride w:ilvl="3">
      <w:lvl w:ilvl="3">
        <w:start w:val="1"/>
        <w:numFmt w:val="upperLetter"/>
        <w:lvlText w:val="(%4)"/>
        <w:lvlJc w:val="left"/>
        <w:pPr>
          <w:tabs>
            <w:tab w:val="num" w:pos="2268"/>
          </w:tabs>
          <w:ind w:left="2268" w:hanging="567"/>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5" w16cid:durableId="1324091981">
    <w:abstractNumId w:val="98"/>
  </w:num>
  <w:num w:numId="6" w16cid:durableId="1874807338">
    <w:abstractNumId w:val="112"/>
  </w:num>
  <w:num w:numId="7" w16cid:durableId="1592082172">
    <w:abstractNumId w:val="90"/>
  </w:num>
  <w:num w:numId="8" w16cid:durableId="43335408">
    <w:abstractNumId w:val="66"/>
  </w:num>
  <w:num w:numId="9" w16cid:durableId="735589477">
    <w:abstractNumId w:val="110"/>
  </w:num>
  <w:num w:numId="10" w16cid:durableId="1022703819">
    <w:abstractNumId w:val="79"/>
  </w:num>
  <w:num w:numId="11" w16cid:durableId="1235699043">
    <w:abstractNumId w:val="142"/>
  </w:num>
  <w:num w:numId="12" w16cid:durableId="1574583575">
    <w:abstractNumId w:val="59"/>
  </w:num>
  <w:num w:numId="13" w16cid:durableId="586228637">
    <w:abstractNumId w:val="53"/>
  </w:num>
  <w:num w:numId="14" w16cid:durableId="1051149770">
    <w:abstractNumId w:val="74"/>
  </w:num>
  <w:num w:numId="15" w16cid:durableId="1482581043">
    <w:abstractNumId w:val="43"/>
  </w:num>
  <w:num w:numId="16" w16cid:durableId="708527672">
    <w:abstractNumId w:val="40"/>
  </w:num>
  <w:num w:numId="17" w16cid:durableId="1693997150">
    <w:abstractNumId w:val="140"/>
  </w:num>
  <w:num w:numId="18" w16cid:durableId="914902602">
    <w:abstractNumId w:val="87"/>
  </w:num>
  <w:num w:numId="19" w16cid:durableId="1605383730">
    <w:abstractNumId w:val="80"/>
  </w:num>
  <w:num w:numId="20" w16cid:durableId="982738308">
    <w:abstractNumId w:val="21"/>
  </w:num>
  <w:num w:numId="21" w16cid:durableId="842430113">
    <w:abstractNumId w:val="35"/>
  </w:num>
  <w:num w:numId="22" w16cid:durableId="914624866">
    <w:abstractNumId w:val="29"/>
  </w:num>
  <w:num w:numId="23" w16cid:durableId="791556645">
    <w:abstractNumId w:val="23"/>
  </w:num>
  <w:num w:numId="24" w16cid:durableId="1862670957">
    <w:abstractNumId w:val="28"/>
  </w:num>
  <w:num w:numId="25" w16cid:durableId="224686447">
    <w:abstractNumId w:val="14"/>
  </w:num>
  <w:num w:numId="26" w16cid:durableId="198052423">
    <w:abstractNumId w:val="94"/>
  </w:num>
  <w:num w:numId="27" w16cid:durableId="583345195">
    <w:abstractNumId w:val="96"/>
  </w:num>
  <w:num w:numId="28" w16cid:durableId="1087731016">
    <w:abstractNumId w:val="95"/>
  </w:num>
  <w:num w:numId="29" w16cid:durableId="515922208">
    <w:abstractNumId w:val="22"/>
  </w:num>
  <w:num w:numId="30" w16cid:durableId="546187586">
    <w:abstractNumId w:val="68"/>
  </w:num>
  <w:num w:numId="31" w16cid:durableId="809790112">
    <w:abstractNumId w:val="55"/>
  </w:num>
  <w:num w:numId="32" w16cid:durableId="808940739">
    <w:abstractNumId w:val="91"/>
  </w:num>
  <w:num w:numId="33" w16cid:durableId="714816905">
    <w:abstractNumId w:val="84"/>
  </w:num>
  <w:num w:numId="34" w16cid:durableId="2093970085">
    <w:abstractNumId w:val="26"/>
  </w:num>
  <w:num w:numId="35" w16cid:durableId="2055033884">
    <w:abstractNumId w:val="46"/>
  </w:num>
  <w:num w:numId="36" w16cid:durableId="109472828">
    <w:abstractNumId w:val="109"/>
  </w:num>
  <w:num w:numId="37" w16cid:durableId="1033383455">
    <w:abstractNumId w:val="24"/>
  </w:num>
  <w:num w:numId="38" w16cid:durableId="2040161630">
    <w:abstractNumId w:val="139"/>
  </w:num>
  <w:num w:numId="39" w16cid:durableId="1089959276">
    <w:abstractNumId w:val="105"/>
  </w:num>
  <w:num w:numId="40" w16cid:durableId="1476068309">
    <w:abstractNumId w:val="42"/>
  </w:num>
  <w:num w:numId="41" w16cid:durableId="653996672">
    <w:abstractNumId w:val="7"/>
  </w:num>
  <w:num w:numId="42" w16cid:durableId="878469668">
    <w:abstractNumId w:val="76"/>
  </w:num>
  <w:num w:numId="43" w16cid:durableId="485827499">
    <w:abstractNumId w:val="135"/>
  </w:num>
  <w:num w:numId="44" w16cid:durableId="2010130470">
    <w:abstractNumId w:val="132"/>
  </w:num>
  <w:num w:numId="45" w16cid:durableId="1830973068">
    <w:abstractNumId w:val="104"/>
  </w:num>
  <w:num w:numId="46" w16cid:durableId="1017272330">
    <w:abstractNumId w:val="129"/>
  </w:num>
  <w:num w:numId="47" w16cid:durableId="1592205432">
    <w:abstractNumId w:val="60"/>
  </w:num>
  <w:num w:numId="48" w16cid:durableId="848132938">
    <w:abstractNumId w:val="70"/>
  </w:num>
  <w:num w:numId="49" w16cid:durableId="1131436587">
    <w:abstractNumId w:val="133"/>
  </w:num>
  <w:num w:numId="50" w16cid:durableId="563106192">
    <w:abstractNumId w:val="37"/>
  </w:num>
  <w:num w:numId="51" w16cid:durableId="396976306">
    <w:abstractNumId w:val="72"/>
  </w:num>
  <w:num w:numId="52" w16cid:durableId="1648700934">
    <w:abstractNumId w:val="134"/>
  </w:num>
  <w:num w:numId="53" w16cid:durableId="262151948">
    <w:abstractNumId w:val="99"/>
  </w:num>
  <w:num w:numId="54" w16cid:durableId="1001003033">
    <w:abstractNumId w:val="17"/>
  </w:num>
  <w:num w:numId="55" w16cid:durableId="1093087070">
    <w:abstractNumId w:val="25"/>
  </w:num>
  <w:num w:numId="56" w16cid:durableId="1641766700">
    <w:abstractNumId w:val="106"/>
  </w:num>
  <w:num w:numId="57" w16cid:durableId="938560698">
    <w:abstractNumId w:val="69"/>
  </w:num>
  <w:num w:numId="58" w16cid:durableId="1792937035">
    <w:abstractNumId w:val="73"/>
  </w:num>
  <w:num w:numId="59" w16cid:durableId="550270929">
    <w:abstractNumId w:val="54"/>
  </w:num>
  <w:num w:numId="60" w16cid:durableId="1934431346">
    <w:abstractNumId w:val="4"/>
  </w:num>
  <w:num w:numId="61" w16cid:durableId="394426990">
    <w:abstractNumId w:val="83"/>
  </w:num>
  <w:num w:numId="62" w16cid:durableId="799302534">
    <w:abstractNumId w:val="51"/>
  </w:num>
  <w:num w:numId="63" w16cid:durableId="1563061662">
    <w:abstractNumId w:val="10"/>
  </w:num>
  <w:num w:numId="64" w16cid:durableId="1077944809">
    <w:abstractNumId w:val="121"/>
  </w:num>
  <w:num w:numId="65" w16cid:durableId="1646659142">
    <w:abstractNumId w:val="114"/>
  </w:num>
  <w:num w:numId="66" w16cid:durableId="1125808715">
    <w:abstractNumId w:val="67"/>
  </w:num>
  <w:num w:numId="67" w16cid:durableId="127477025">
    <w:abstractNumId w:val="122"/>
  </w:num>
  <w:num w:numId="68" w16cid:durableId="395588963">
    <w:abstractNumId w:val="61"/>
  </w:num>
  <w:num w:numId="69" w16cid:durableId="246117903">
    <w:abstractNumId w:val="50"/>
  </w:num>
  <w:num w:numId="70" w16cid:durableId="1730616809">
    <w:abstractNumId w:val="77"/>
  </w:num>
  <w:num w:numId="71" w16cid:durableId="1308819800">
    <w:abstractNumId w:val="49"/>
  </w:num>
  <w:num w:numId="72" w16cid:durableId="1457022783">
    <w:abstractNumId w:val="125"/>
  </w:num>
  <w:num w:numId="73" w16cid:durableId="325867867">
    <w:abstractNumId w:val="93"/>
  </w:num>
  <w:num w:numId="74" w16cid:durableId="836924408">
    <w:abstractNumId w:val="130"/>
  </w:num>
  <w:num w:numId="75" w16cid:durableId="1135221304">
    <w:abstractNumId w:val="16"/>
  </w:num>
  <w:num w:numId="76" w16cid:durableId="2044673012">
    <w:abstractNumId w:val="45"/>
  </w:num>
  <w:num w:numId="77" w16cid:durableId="31654213">
    <w:abstractNumId w:val="102"/>
  </w:num>
  <w:num w:numId="78" w16cid:durableId="58216413">
    <w:abstractNumId w:val="136"/>
  </w:num>
  <w:num w:numId="79" w16cid:durableId="546336417">
    <w:abstractNumId w:val="11"/>
  </w:num>
  <w:num w:numId="80" w16cid:durableId="199246447">
    <w:abstractNumId w:val="117"/>
  </w:num>
  <w:num w:numId="81" w16cid:durableId="1393963372">
    <w:abstractNumId w:val="119"/>
  </w:num>
  <w:num w:numId="82" w16cid:durableId="2000110068">
    <w:abstractNumId w:val="65"/>
  </w:num>
  <w:num w:numId="83" w16cid:durableId="871384125">
    <w:abstractNumId w:val="12"/>
  </w:num>
  <w:num w:numId="84" w16cid:durableId="2120372965">
    <w:abstractNumId w:val="128"/>
  </w:num>
  <w:num w:numId="85" w16cid:durableId="1264728853">
    <w:abstractNumId w:val="144"/>
  </w:num>
  <w:num w:numId="86" w16cid:durableId="1777409420">
    <w:abstractNumId w:val="137"/>
  </w:num>
  <w:num w:numId="87" w16cid:durableId="1557351719">
    <w:abstractNumId w:val="32"/>
  </w:num>
  <w:num w:numId="88" w16cid:durableId="191698068">
    <w:abstractNumId w:val="33"/>
  </w:num>
  <w:num w:numId="89" w16cid:durableId="779882276">
    <w:abstractNumId w:val="62"/>
  </w:num>
  <w:num w:numId="90" w16cid:durableId="621033332">
    <w:abstractNumId w:val="64"/>
  </w:num>
  <w:num w:numId="91" w16cid:durableId="1469468144">
    <w:abstractNumId w:val="44"/>
  </w:num>
  <w:num w:numId="92" w16cid:durableId="1036809731">
    <w:abstractNumId w:val="58"/>
  </w:num>
  <w:num w:numId="93" w16cid:durableId="2087337975">
    <w:abstractNumId w:val="92"/>
  </w:num>
  <w:num w:numId="94" w16cid:durableId="867110572">
    <w:abstractNumId w:val="113"/>
  </w:num>
  <w:num w:numId="95" w16cid:durableId="1474444304">
    <w:abstractNumId w:val="111"/>
  </w:num>
  <w:num w:numId="96" w16cid:durableId="1606038095">
    <w:abstractNumId w:val="63"/>
  </w:num>
  <w:num w:numId="97" w16cid:durableId="510919151">
    <w:abstractNumId w:val="13"/>
  </w:num>
  <w:num w:numId="98" w16cid:durableId="1332221591">
    <w:abstractNumId w:val="120"/>
  </w:num>
  <w:num w:numId="99" w16cid:durableId="1959408912">
    <w:abstractNumId w:val="36"/>
  </w:num>
  <w:num w:numId="100" w16cid:durableId="1875993339">
    <w:abstractNumId w:val="56"/>
  </w:num>
  <w:num w:numId="101" w16cid:durableId="59789591">
    <w:abstractNumId w:val="141"/>
  </w:num>
  <w:num w:numId="102" w16cid:durableId="1214850864">
    <w:abstractNumId w:val="100"/>
  </w:num>
  <w:num w:numId="103" w16cid:durableId="2146964915">
    <w:abstractNumId w:val="38"/>
  </w:num>
  <w:num w:numId="104" w16cid:durableId="616180879">
    <w:abstractNumId w:val="126"/>
  </w:num>
  <w:num w:numId="105" w16cid:durableId="1193416992">
    <w:abstractNumId w:val="39"/>
  </w:num>
  <w:num w:numId="106" w16cid:durableId="1590774279">
    <w:abstractNumId w:val="52"/>
  </w:num>
  <w:num w:numId="107" w16cid:durableId="37097178">
    <w:abstractNumId w:val="145"/>
  </w:num>
  <w:num w:numId="108" w16cid:durableId="1001851142">
    <w:abstractNumId w:val="131"/>
  </w:num>
  <w:num w:numId="109" w16cid:durableId="2089619020">
    <w:abstractNumId w:val="34"/>
  </w:num>
  <w:num w:numId="110" w16cid:durableId="1360352396">
    <w:abstractNumId w:val="0"/>
  </w:num>
  <w:num w:numId="111" w16cid:durableId="1666010731">
    <w:abstractNumId w:val="78"/>
  </w:num>
  <w:num w:numId="112" w16cid:durableId="1850365858">
    <w:abstractNumId w:val="88"/>
  </w:num>
  <w:num w:numId="113" w16cid:durableId="726300633">
    <w:abstractNumId w:val="47"/>
  </w:num>
  <w:num w:numId="114" w16cid:durableId="526060703">
    <w:abstractNumId w:val="27"/>
  </w:num>
  <w:num w:numId="115" w16cid:durableId="972909525">
    <w:abstractNumId w:val="97"/>
  </w:num>
  <w:num w:numId="116" w16cid:durableId="498539416">
    <w:abstractNumId w:val="85"/>
  </w:num>
  <w:num w:numId="117" w16cid:durableId="1423839170">
    <w:abstractNumId w:val="81"/>
  </w:num>
  <w:num w:numId="118" w16cid:durableId="324824649">
    <w:abstractNumId w:val="138"/>
  </w:num>
  <w:num w:numId="119" w16cid:durableId="1869903975">
    <w:abstractNumId w:val="3"/>
  </w:num>
  <w:num w:numId="120" w16cid:durableId="250625859">
    <w:abstractNumId w:val="107"/>
  </w:num>
  <w:num w:numId="121" w16cid:durableId="1444424169">
    <w:abstractNumId w:val="123"/>
  </w:num>
  <w:num w:numId="122" w16cid:durableId="201678506">
    <w:abstractNumId w:val="103"/>
  </w:num>
  <w:num w:numId="123" w16cid:durableId="1751610059">
    <w:abstractNumId w:val="5"/>
  </w:num>
  <w:num w:numId="124" w16cid:durableId="2046979648">
    <w:abstractNumId w:val="71"/>
  </w:num>
  <w:num w:numId="125" w16cid:durableId="672759274">
    <w:abstractNumId w:val="82"/>
  </w:num>
  <w:num w:numId="126" w16cid:durableId="2133815706">
    <w:abstractNumId w:val="116"/>
  </w:num>
  <w:num w:numId="127" w16cid:durableId="560755151">
    <w:abstractNumId w:val="108"/>
  </w:num>
  <w:num w:numId="128" w16cid:durableId="1642466387">
    <w:abstractNumId w:val="2"/>
  </w:num>
  <w:num w:numId="129" w16cid:durableId="663775246">
    <w:abstractNumId w:val="57"/>
  </w:num>
  <w:num w:numId="130" w16cid:durableId="685250435">
    <w:abstractNumId w:val="1"/>
  </w:num>
  <w:num w:numId="131" w16cid:durableId="387192255">
    <w:abstractNumId w:val="143"/>
  </w:num>
  <w:num w:numId="132" w16cid:durableId="560483959">
    <w:abstractNumId w:val="146"/>
  </w:num>
  <w:num w:numId="133" w16cid:durableId="1535145003">
    <w:abstractNumId w:val="20"/>
  </w:num>
  <w:num w:numId="134" w16cid:durableId="507016087">
    <w:abstractNumId w:val="30"/>
  </w:num>
  <w:num w:numId="135" w16cid:durableId="471412281">
    <w:abstractNumId w:val="118"/>
  </w:num>
  <w:num w:numId="136" w16cid:durableId="552155063">
    <w:abstractNumId w:val="6"/>
  </w:num>
  <w:num w:numId="137" w16cid:durableId="466364927">
    <w:abstractNumId w:val="127"/>
  </w:num>
  <w:num w:numId="138" w16cid:durableId="2076774625">
    <w:abstractNumId w:val="15"/>
  </w:num>
  <w:num w:numId="139" w16cid:durableId="1143742610">
    <w:abstractNumId w:val="48"/>
  </w:num>
  <w:num w:numId="140" w16cid:durableId="1148324424">
    <w:abstractNumId w:val="75"/>
  </w:num>
  <w:num w:numId="141" w16cid:durableId="607272382">
    <w:abstractNumId w:val="31"/>
  </w:num>
  <w:num w:numId="142" w16cid:durableId="1363556872">
    <w:abstractNumId w:val="8"/>
  </w:num>
  <w:num w:numId="143" w16cid:durableId="851533088">
    <w:abstractNumId w:val="124"/>
  </w:num>
  <w:num w:numId="144" w16cid:durableId="293562366">
    <w:abstractNumId w:val="86"/>
  </w:num>
  <w:num w:numId="145" w16cid:durableId="364602216">
    <w:abstractNumId w:val="89"/>
  </w:num>
  <w:num w:numId="146" w16cid:durableId="179006300">
    <w:abstractNumId w:val="18"/>
  </w:num>
  <w:num w:numId="147" w16cid:durableId="637957491">
    <w:abstractNumId w:val="19"/>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284"/>
  <w:evenAndOddHeaders/>
  <w:drawingGridHorizontalSpacing w:val="100"/>
  <w:displayHorizontalDrawingGridEvery w:val="2"/>
  <w:characterSpacingControl w:val="doNotCompress"/>
  <w:hdrShapeDefaults>
    <o:shapedefaults v:ext="edit" spidmax="222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842"/>
    <w:rsid w:val="000015C0"/>
    <w:rsid w:val="00002651"/>
    <w:rsid w:val="00002CFC"/>
    <w:rsid w:val="0000376B"/>
    <w:rsid w:val="00003BD2"/>
    <w:rsid w:val="000059C9"/>
    <w:rsid w:val="00005AF3"/>
    <w:rsid w:val="00005BA5"/>
    <w:rsid w:val="00007041"/>
    <w:rsid w:val="00007907"/>
    <w:rsid w:val="00010B4D"/>
    <w:rsid w:val="00011D5B"/>
    <w:rsid w:val="0001271E"/>
    <w:rsid w:val="000130E0"/>
    <w:rsid w:val="000139FA"/>
    <w:rsid w:val="00013C2C"/>
    <w:rsid w:val="00014416"/>
    <w:rsid w:val="000148E2"/>
    <w:rsid w:val="00015129"/>
    <w:rsid w:val="000155A8"/>
    <w:rsid w:val="00015662"/>
    <w:rsid w:val="000157B6"/>
    <w:rsid w:val="00016339"/>
    <w:rsid w:val="00016545"/>
    <w:rsid w:val="00016DA4"/>
    <w:rsid w:val="00017E1E"/>
    <w:rsid w:val="00022971"/>
    <w:rsid w:val="000230F1"/>
    <w:rsid w:val="00024E52"/>
    <w:rsid w:val="00025220"/>
    <w:rsid w:val="00025423"/>
    <w:rsid w:val="00025A23"/>
    <w:rsid w:val="000306FD"/>
    <w:rsid w:val="00030E26"/>
    <w:rsid w:val="00032BC4"/>
    <w:rsid w:val="000336CB"/>
    <w:rsid w:val="00033887"/>
    <w:rsid w:val="00033ABD"/>
    <w:rsid w:val="00033E3E"/>
    <w:rsid w:val="000346D9"/>
    <w:rsid w:val="0003506C"/>
    <w:rsid w:val="00036B6A"/>
    <w:rsid w:val="00037EF0"/>
    <w:rsid w:val="00040293"/>
    <w:rsid w:val="00041291"/>
    <w:rsid w:val="00042BAE"/>
    <w:rsid w:val="00043B1C"/>
    <w:rsid w:val="00044AFF"/>
    <w:rsid w:val="00046D89"/>
    <w:rsid w:val="00046F32"/>
    <w:rsid w:val="00047724"/>
    <w:rsid w:val="000478E1"/>
    <w:rsid w:val="0005045F"/>
    <w:rsid w:val="00051029"/>
    <w:rsid w:val="000520AE"/>
    <w:rsid w:val="00052DB8"/>
    <w:rsid w:val="00053203"/>
    <w:rsid w:val="00053BB3"/>
    <w:rsid w:val="0005423C"/>
    <w:rsid w:val="00054599"/>
    <w:rsid w:val="00054DB0"/>
    <w:rsid w:val="00055433"/>
    <w:rsid w:val="00056F01"/>
    <w:rsid w:val="00056F12"/>
    <w:rsid w:val="00057FCF"/>
    <w:rsid w:val="00061571"/>
    <w:rsid w:val="00061D1C"/>
    <w:rsid w:val="000621B7"/>
    <w:rsid w:val="00067B00"/>
    <w:rsid w:val="00067BB3"/>
    <w:rsid w:val="00071335"/>
    <w:rsid w:val="00072C5C"/>
    <w:rsid w:val="000739C5"/>
    <w:rsid w:val="00074336"/>
    <w:rsid w:val="00074728"/>
    <w:rsid w:val="0007519F"/>
    <w:rsid w:val="000803E1"/>
    <w:rsid w:val="00080D39"/>
    <w:rsid w:val="00080FAC"/>
    <w:rsid w:val="000821F8"/>
    <w:rsid w:val="000840E2"/>
    <w:rsid w:val="00084814"/>
    <w:rsid w:val="00084AFB"/>
    <w:rsid w:val="000876B7"/>
    <w:rsid w:val="00092C6D"/>
    <w:rsid w:val="00092EDF"/>
    <w:rsid w:val="0009308E"/>
    <w:rsid w:val="00093A26"/>
    <w:rsid w:val="00097F2B"/>
    <w:rsid w:val="000A002E"/>
    <w:rsid w:val="000A0ABE"/>
    <w:rsid w:val="000A1A04"/>
    <w:rsid w:val="000A1BF4"/>
    <w:rsid w:val="000A4B85"/>
    <w:rsid w:val="000A56D8"/>
    <w:rsid w:val="000A5CAF"/>
    <w:rsid w:val="000B0405"/>
    <w:rsid w:val="000B1523"/>
    <w:rsid w:val="000B1A90"/>
    <w:rsid w:val="000B2EC7"/>
    <w:rsid w:val="000B3404"/>
    <w:rsid w:val="000B37D5"/>
    <w:rsid w:val="000B613F"/>
    <w:rsid w:val="000C1AE8"/>
    <w:rsid w:val="000C383A"/>
    <w:rsid w:val="000C4B87"/>
    <w:rsid w:val="000C5499"/>
    <w:rsid w:val="000C5989"/>
    <w:rsid w:val="000D31F0"/>
    <w:rsid w:val="000D3C2B"/>
    <w:rsid w:val="000D6562"/>
    <w:rsid w:val="000D6D5B"/>
    <w:rsid w:val="000E01B6"/>
    <w:rsid w:val="000E041E"/>
    <w:rsid w:val="000E4572"/>
    <w:rsid w:val="000E4646"/>
    <w:rsid w:val="000E499E"/>
    <w:rsid w:val="000E6A71"/>
    <w:rsid w:val="000E77A9"/>
    <w:rsid w:val="000E7D7E"/>
    <w:rsid w:val="000F13BA"/>
    <w:rsid w:val="000F2F10"/>
    <w:rsid w:val="000F55B1"/>
    <w:rsid w:val="000F702A"/>
    <w:rsid w:val="0010032E"/>
    <w:rsid w:val="00100642"/>
    <w:rsid w:val="001011CD"/>
    <w:rsid w:val="0010225A"/>
    <w:rsid w:val="001032B5"/>
    <w:rsid w:val="00103D33"/>
    <w:rsid w:val="00104A24"/>
    <w:rsid w:val="00105BB0"/>
    <w:rsid w:val="001118F6"/>
    <w:rsid w:val="0011194C"/>
    <w:rsid w:val="00112E29"/>
    <w:rsid w:val="00113E49"/>
    <w:rsid w:val="00114098"/>
    <w:rsid w:val="00114269"/>
    <w:rsid w:val="001151A3"/>
    <w:rsid w:val="0011592F"/>
    <w:rsid w:val="00115C7C"/>
    <w:rsid w:val="001170D7"/>
    <w:rsid w:val="0012138E"/>
    <w:rsid w:val="00123C23"/>
    <w:rsid w:val="001251F2"/>
    <w:rsid w:val="00126452"/>
    <w:rsid w:val="00126A58"/>
    <w:rsid w:val="00126BD1"/>
    <w:rsid w:val="00126C33"/>
    <w:rsid w:val="00127219"/>
    <w:rsid w:val="00130470"/>
    <w:rsid w:val="001306A5"/>
    <w:rsid w:val="00132B2E"/>
    <w:rsid w:val="00133252"/>
    <w:rsid w:val="001344A5"/>
    <w:rsid w:val="00134B8D"/>
    <w:rsid w:val="0013526C"/>
    <w:rsid w:val="0013577E"/>
    <w:rsid w:val="00135D4E"/>
    <w:rsid w:val="00137F1F"/>
    <w:rsid w:val="00145E3D"/>
    <w:rsid w:val="00145E4A"/>
    <w:rsid w:val="001520DF"/>
    <w:rsid w:val="00152896"/>
    <w:rsid w:val="001529D7"/>
    <w:rsid w:val="00153170"/>
    <w:rsid w:val="0015633B"/>
    <w:rsid w:val="00156D98"/>
    <w:rsid w:val="0016011D"/>
    <w:rsid w:val="001605BF"/>
    <w:rsid w:val="001606E9"/>
    <w:rsid w:val="001612F7"/>
    <w:rsid w:val="00161EDA"/>
    <w:rsid w:val="001635A2"/>
    <w:rsid w:val="00163979"/>
    <w:rsid w:val="00163CF0"/>
    <w:rsid w:val="00164B28"/>
    <w:rsid w:val="001674AD"/>
    <w:rsid w:val="0017065F"/>
    <w:rsid w:val="00170946"/>
    <w:rsid w:val="00172BB3"/>
    <w:rsid w:val="00172CCA"/>
    <w:rsid w:val="001755AE"/>
    <w:rsid w:val="0017614E"/>
    <w:rsid w:val="00176304"/>
    <w:rsid w:val="00177732"/>
    <w:rsid w:val="0018265C"/>
    <w:rsid w:val="00182AA6"/>
    <w:rsid w:val="00182D92"/>
    <w:rsid w:val="001831AC"/>
    <w:rsid w:val="001842F7"/>
    <w:rsid w:val="00184D45"/>
    <w:rsid w:val="001865C8"/>
    <w:rsid w:val="00187007"/>
    <w:rsid w:val="001901B1"/>
    <w:rsid w:val="0019036F"/>
    <w:rsid w:val="00192DEA"/>
    <w:rsid w:val="001936D4"/>
    <w:rsid w:val="001942B2"/>
    <w:rsid w:val="001A02A9"/>
    <w:rsid w:val="001A02B1"/>
    <w:rsid w:val="001A02D9"/>
    <w:rsid w:val="001A0A4E"/>
    <w:rsid w:val="001A136E"/>
    <w:rsid w:val="001A249D"/>
    <w:rsid w:val="001A379F"/>
    <w:rsid w:val="001A3E24"/>
    <w:rsid w:val="001A4EB1"/>
    <w:rsid w:val="001A6813"/>
    <w:rsid w:val="001A6A1A"/>
    <w:rsid w:val="001A6C79"/>
    <w:rsid w:val="001A6FE6"/>
    <w:rsid w:val="001B2F33"/>
    <w:rsid w:val="001B3CCE"/>
    <w:rsid w:val="001B4139"/>
    <w:rsid w:val="001B6D86"/>
    <w:rsid w:val="001B6ED5"/>
    <w:rsid w:val="001C1AEC"/>
    <w:rsid w:val="001C20F1"/>
    <w:rsid w:val="001C5EEB"/>
    <w:rsid w:val="001C63EC"/>
    <w:rsid w:val="001C7E93"/>
    <w:rsid w:val="001C7F46"/>
    <w:rsid w:val="001D0DB0"/>
    <w:rsid w:val="001D31AF"/>
    <w:rsid w:val="001D352D"/>
    <w:rsid w:val="001D36DD"/>
    <w:rsid w:val="001D3CDA"/>
    <w:rsid w:val="001D56DA"/>
    <w:rsid w:val="001D5C10"/>
    <w:rsid w:val="001D747E"/>
    <w:rsid w:val="001D753A"/>
    <w:rsid w:val="001E0BD4"/>
    <w:rsid w:val="001E4775"/>
    <w:rsid w:val="001E54BA"/>
    <w:rsid w:val="001E5FE7"/>
    <w:rsid w:val="001E66CD"/>
    <w:rsid w:val="001E67AE"/>
    <w:rsid w:val="001E6AA7"/>
    <w:rsid w:val="001E727E"/>
    <w:rsid w:val="001E7937"/>
    <w:rsid w:val="001E7D18"/>
    <w:rsid w:val="001F1054"/>
    <w:rsid w:val="001F14E8"/>
    <w:rsid w:val="001F19FF"/>
    <w:rsid w:val="001F27FB"/>
    <w:rsid w:val="001F419B"/>
    <w:rsid w:val="001F6582"/>
    <w:rsid w:val="001F747C"/>
    <w:rsid w:val="00201628"/>
    <w:rsid w:val="00201916"/>
    <w:rsid w:val="002040B3"/>
    <w:rsid w:val="002046D0"/>
    <w:rsid w:val="00204CCB"/>
    <w:rsid w:val="0020741F"/>
    <w:rsid w:val="00207C80"/>
    <w:rsid w:val="00210100"/>
    <w:rsid w:val="0021059B"/>
    <w:rsid w:val="00210A31"/>
    <w:rsid w:val="00211E39"/>
    <w:rsid w:val="00213C30"/>
    <w:rsid w:val="00213D95"/>
    <w:rsid w:val="00215538"/>
    <w:rsid w:val="00215BA6"/>
    <w:rsid w:val="002162FD"/>
    <w:rsid w:val="002164E0"/>
    <w:rsid w:val="00217D8A"/>
    <w:rsid w:val="002206F4"/>
    <w:rsid w:val="00220C12"/>
    <w:rsid w:val="00221004"/>
    <w:rsid w:val="00223A68"/>
    <w:rsid w:val="0022432D"/>
    <w:rsid w:val="00224BCC"/>
    <w:rsid w:val="0022547F"/>
    <w:rsid w:val="00225750"/>
    <w:rsid w:val="00225FB9"/>
    <w:rsid w:val="002270D8"/>
    <w:rsid w:val="002273DC"/>
    <w:rsid w:val="00227754"/>
    <w:rsid w:val="00227A1E"/>
    <w:rsid w:val="00227AAA"/>
    <w:rsid w:val="00227F3C"/>
    <w:rsid w:val="00230190"/>
    <w:rsid w:val="00235D08"/>
    <w:rsid w:val="00235F3F"/>
    <w:rsid w:val="00236653"/>
    <w:rsid w:val="00236E7E"/>
    <w:rsid w:val="002428FC"/>
    <w:rsid w:val="00243B81"/>
    <w:rsid w:val="00243EA3"/>
    <w:rsid w:val="00245D5A"/>
    <w:rsid w:val="00245F82"/>
    <w:rsid w:val="00250356"/>
    <w:rsid w:val="002510C0"/>
    <w:rsid w:val="002514AA"/>
    <w:rsid w:val="002548FB"/>
    <w:rsid w:val="002573F6"/>
    <w:rsid w:val="00257FBF"/>
    <w:rsid w:val="00260EEA"/>
    <w:rsid w:val="00261703"/>
    <w:rsid w:val="00262303"/>
    <w:rsid w:val="0026245F"/>
    <w:rsid w:val="00262618"/>
    <w:rsid w:val="00262FEC"/>
    <w:rsid w:val="00263930"/>
    <w:rsid w:val="0026486C"/>
    <w:rsid w:val="00264E47"/>
    <w:rsid w:val="002659A3"/>
    <w:rsid w:val="00265D00"/>
    <w:rsid w:val="002671D9"/>
    <w:rsid w:val="00267CFF"/>
    <w:rsid w:val="0027112C"/>
    <w:rsid w:val="00271D35"/>
    <w:rsid w:val="00272523"/>
    <w:rsid w:val="0027280C"/>
    <w:rsid w:val="00272F8A"/>
    <w:rsid w:val="00273529"/>
    <w:rsid w:val="002761F0"/>
    <w:rsid w:val="00280A8D"/>
    <w:rsid w:val="002816B5"/>
    <w:rsid w:val="00282B0F"/>
    <w:rsid w:val="002834B2"/>
    <w:rsid w:val="00284486"/>
    <w:rsid w:val="00284A6F"/>
    <w:rsid w:val="00284D8F"/>
    <w:rsid w:val="00284EB5"/>
    <w:rsid w:val="00286549"/>
    <w:rsid w:val="00286FFB"/>
    <w:rsid w:val="002904CB"/>
    <w:rsid w:val="00290B68"/>
    <w:rsid w:val="0029333D"/>
    <w:rsid w:val="00293A0F"/>
    <w:rsid w:val="0029441E"/>
    <w:rsid w:val="00294734"/>
    <w:rsid w:val="0029497B"/>
    <w:rsid w:val="00294FB6"/>
    <w:rsid w:val="00296329"/>
    <w:rsid w:val="00296F27"/>
    <w:rsid w:val="0029763B"/>
    <w:rsid w:val="00297D80"/>
    <w:rsid w:val="002A0364"/>
    <w:rsid w:val="002A1E88"/>
    <w:rsid w:val="002A3638"/>
    <w:rsid w:val="002A3E1B"/>
    <w:rsid w:val="002A3FB9"/>
    <w:rsid w:val="002A4DF7"/>
    <w:rsid w:val="002A65D2"/>
    <w:rsid w:val="002A7511"/>
    <w:rsid w:val="002A7E63"/>
    <w:rsid w:val="002B5DF0"/>
    <w:rsid w:val="002B60B7"/>
    <w:rsid w:val="002B6D29"/>
    <w:rsid w:val="002B745E"/>
    <w:rsid w:val="002B7556"/>
    <w:rsid w:val="002B7599"/>
    <w:rsid w:val="002B76B4"/>
    <w:rsid w:val="002C04BD"/>
    <w:rsid w:val="002C145F"/>
    <w:rsid w:val="002C236C"/>
    <w:rsid w:val="002C40D1"/>
    <w:rsid w:val="002C40E9"/>
    <w:rsid w:val="002C45D4"/>
    <w:rsid w:val="002C4D65"/>
    <w:rsid w:val="002C7B0B"/>
    <w:rsid w:val="002C7F61"/>
    <w:rsid w:val="002D05DD"/>
    <w:rsid w:val="002D0E3A"/>
    <w:rsid w:val="002D0FC1"/>
    <w:rsid w:val="002D2B89"/>
    <w:rsid w:val="002D36DD"/>
    <w:rsid w:val="002D4684"/>
    <w:rsid w:val="002D48E3"/>
    <w:rsid w:val="002D628F"/>
    <w:rsid w:val="002D63E9"/>
    <w:rsid w:val="002E1D54"/>
    <w:rsid w:val="002E2BD9"/>
    <w:rsid w:val="002E46CE"/>
    <w:rsid w:val="002E6EA6"/>
    <w:rsid w:val="002E6FAE"/>
    <w:rsid w:val="002F31EA"/>
    <w:rsid w:val="002F3B9C"/>
    <w:rsid w:val="002F467E"/>
    <w:rsid w:val="002F53F8"/>
    <w:rsid w:val="002F66D0"/>
    <w:rsid w:val="00300698"/>
    <w:rsid w:val="003006F4"/>
    <w:rsid w:val="003009C5"/>
    <w:rsid w:val="003018DE"/>
    <w:rsid w:val="00301D37"/>
    <w:rsid w:val="003050BC"/>
    <w:rsid w:val="00305CAC"/>
    <w:rsid w:val="00306B5D"/>
    <w:rsid w:val="00306D9D"/>
    <w:rsid w:val="00310FD5"/>
    <w:rsid w:val="003126EC"/>
    <w:rsid w:val="00313D8B"/>
    <w:rsid w:val="003147EA"/>
    <w:rsid w:val="00315005"/>
    <w:rsid w:val="00317BE5"/>
    <w:rsid w:val="00324761"/>
    <w:rsid w:val="00327966"/>
    <w:rsid w:val="003301B8"/>
    <w:rsid w:val="003309AE"/>
    <w:rsid w:val="00332C73"/>
    <w:rsid w:val="00333644"/>
    <w:rsid w:val="00337F38"/>
    <w:rsid w:val="00341330"/>
    <w:rsid w:val="00343433"/>
    <w:rsid w:val="003446A6"/>
    <w:rsid w:val="00345927"/>
    <w:rsid w:val="00345ADF"/>
    <w:rsid w:val="00346B1E"/>
    <w:rsid w:val="00346CDB"/>
    <w:rsid w:val="0034797F"/>
    <w:rsid w:val="0035126E"/>
    <w:rsid w:val="00352F1A"/>
    <w:rsid w:val="00352F9D"/>
    <w:rsid w:val="00354606"/>
    <w:rsid w:val="0035468B"/>
    <w:rsid w:val="00355232"/>
    <w:rsid w:val="00355BE5"/>
    <w:rsid w:val="003571BA"/>
    <w:rsid w:val="003640F3"/>
    <w:rsid w:val="00366C69"/>
    <w:rsid w:val="00367830"/>
    <w:rsid w:val="003705E8"/>
    <w:rsid w:val="00372427"/>
    <w:rsid w:val="00372852"/>
    <w:rsid w:val="00374137"/>
    <w:rsid w:val="0037547D"/>
    <w:rsid w:val="003766C4"/>
    <w:rsid w:val="00376B92"/>
    <w:rsid w:val="00376BC0"/>
    <w:rsid w:val="00377BD2"/>
    <w:rsid w:val="00382274"/>
    <w:rsid w:val="0038318C"/>
    <w:rsid w:val="003843FE"/>
    <w:rsid w:val="00384482"/>
    <w:rsid w:val="00384D7D"/>
    <w:rsid w:val="00385544"/>
    <w:rsid w:val="00386BC5"/>
    <w:rsid w:val="0038704C"/>
    <w:rsid w:val="0038769D"/>
    <w:rsid w:val="00387A78"/>
    <w:rsid w:val="00390660"/>
    <w:rsid w:val="003912A2"/>
    <w:rsid w:val="003915D8"/>
    <w:rsid w:val="00392CD8"/>
    <w:rsid w:val="00392DB9"/>
    <w:rsid w:val="00393EF3"/>
    <w:rsid w:val="00394988"/>
    <w:rsid w:val="00395991"/>
    <w:rsid w:val="00397A09"/>
    <w:rsid w:val="00397B06"/>
    <w:rsid w:val="003A0AE2"/>
    <w:rsid w:val="003A0C3F"/>
    <w:rsid w:val="003A0CD8"/>
    <w:rsid w:val="003A0E70"/>
    <w:rsid w:val="003A11B8"/>
    <w:rsid w:val="003A4374"/>
    <w:rsid w:val="003A59C6"/>
    <w:rsid w:val="003A67CC"/>
    <w:rsid w:val="003A6953"/>
    <w:rsid w:val="003A6A98"/>
    <w:rsid w:val="003A735B"/>
    <w:rsid w:val="003B0B13"/>
    <w:rsid w:val="003B0BF7"/>
    <w:rsid w:val="003B25A7"/>
    <w:rsid w:val="003B2DA5"/>
    <w:rsid w:val="003B2DCB"/>
    <w:rsid w:val="003B2F02"/>
    <w:rsid w:val="003B321D"/>
    <w:rsid w:val="003B4591"/>
    <w:rsid w:val="003B4BC8"/>
    <w:rsid w:val="003B5121"/>
    <w:rsid w:val="003B5353"/>
    <w:rsid w:val="003B6B2E"/>
    <w:rsid w:val="003B7F7A"/>
    <w:rsid w:val="003C13DC"/>
    <w:rsid w:val="003C1969"/>
    <w:rsid w:val="003C265E"/>
    <w:rsid w:val="003C3894"/>
    <w:rsid w:val="003C5237"/>
    <w:rsid w:val="003C55D1"/>
    <w:rsid w:val="003C6A96"/>
    <w:rsid w:val="003C6BD8"/>
    <w:rsid w:val="003D0571"/>
    <w:rsid w:val="003D070F"/>
    <w:rsid w:val="003D25DD"/>
    <w:rsid w:val="003D3A29"/>
    <w:rsid w:val="003D5D2C"/>
    <w:rsid w:val="003D6145"/>
    <w:rsid w:val="003D6A3A"/>
    <w:rsid w:val="003D760F"/>
    <w:rsid w:val="003E0565"/>
    <w:rsid w:val="003E1D8A"/>
    <w:rsid w:val="003E236D"/>
    <w:rsid w:val="003E3085"/>
    <w:rsid w:val="003E30A6"/>
    <w:rsid w:val="003E41AA"/>
    <w:rsid w:val="003E540E"/>
    <w:rsid w:val="003E622F"/>
    <w:rsid w:val="003E6796"/>
    <w:rsid w:val="003F0C92"/>
    <w:rsid w:val="003F1589"/>
    <w:rsid w:val="003F1A31"/>
    <w:rsid w:val="003F2DED"/>
    <w:rsid w:val="00400D1A"/>
    <w:rsid w:val="00404CEF"/>
    <w:rsid w:val="0040765F"/>
    <w:rsid w:val="00410CE7"/>
    <w:rsid w:val="004141A3"/>
    <w:rsid w:val="004144B5"/>
    <w:rsid w:val="00415BFE"/>
    <w:rsid w:val="00415D44"/>
    <w:rsid w:val="00416538"/>
    <w:rsid w:val="00417439"/>
    <w:rsid w:val="00417610"/>
    <w:rsid w:val="00430B7F"/>
    <w:rsid w:val="00431B37"/>
    <w:rsid w:val="004332D2"/>
    <w:rsid w:val="00434A15"/>
    <w:rsid w:val="004353DC"/>
    <w:rsid w:val="0043571A"/>
    <w:rsid w:val="00436005"/>
    <w:rsid w:val="00437D70"/>
    <w:rsid w:val="00442F51"/>
    <w:rsid w:val="0044306A"/>
    <w:rsid w:val="00443E28"/>
    <w:rsid w:val="004450BB"/>
    <w:rsid w:val="00447DAA"/>
    <w:rsid w:val="00450A9E"/>
    <w:rsid w:val="00452DB3"/>
    <w:rsid w:val="004532C0"/>
    <w:rsid w:val="00453E39"/>
    <w:rsid w:val="00454872"/>
    <w:rsid w:val="004553F9"/>
    <w:rsid w:val="004555D2"/>
    <w:rsid w:val="00456CFC"/>
    <w:rsid w:val="00457F9A"/>
    <w:rsid w:val="00461063"/>
    <w:rsid w:val="00462FF1"/>
    <w:rsid w:val="0046490D"/>
    <w:rsid w:val="00465714"/>
    <w:rsid w:val="004663B1"/>
    <w:rsid w:val="004672F8"/>
    <w:rsid w:val="0047101A"/>
    <w:rsid w:val="00471F70"/>
    <w:rsid w:val="0047204B"/>
    <w:rsid w:val="00472BFD"/>
    <w:rsid w:val="00481ED1"/>
    <w:rsid w:val="00482FA6"/>
    <w:rsid w:val="00483A73"/>
    <w:rsid w:val="00485725"/>
    <w:rsid w:val="0048690F"/>
    <w:rsid w:val="004917EE"/>
    <w:rsid w:val="00492059"/>
    <w:rsid w:val="00492E9E"/>
    <w:rsid w:val="0049439A"/>
    <w:rsid w:val="00495494"/>
    <w:rsid w:val="004959CA"/>
    <w:rsid w:val="00497C1B"/>
    <w:rsid w:val="004A00D7"/>
    <w:rsid w:val="004A4549"/>
    <w:rsid w:val="004A5E97"/>
    <w:rsid w:val="004A768C"/>
    <w:rsid w:val="004A76C5"/>
    <w:rsid w:val="004B04BD"/>
    <w:rsid w:val="004B05AC"/>
    <w:rsid w:val="004B28C0"/>
    <w:rsid w:val="004B43F3"/>
    <w:rsid w:val="004B508E"/>
    <w:rsid w:val="004B5646"/>
    <w:rsid w:val="004B6973"/>
    <w:rsid w:val="004B69DC"/>
    <w:rsid w:val="004B71E0"/>
    <w:rsid w:val="004B7FF2"/>
    <w:rsid w:val="004C1A25"/>
    <w:rsid w:val="004C261D"/>
    <w:rsid w:val="004C3714"/>
    <w:rsid w:val="004C38B3"/>
    <w:rsid w:val="004C3F48"/>
    <w:rsid w:val="004C430A"/>
    <w:rsid w:val="004C6EDE"/>
    <w:rsid w:val="004C750A"/>
    <w:rsid w:val="004D0797"/>
    <w:rsid w:val="004D160C"/>
    <w:rsid w:val="004D210F"/>
    <w:rsid w:val="004D2115"/>
    <w:rsid w:val="004D27D7"/>
    <w:rsid w:val="004D2B02"/>
    <w:rsid w:val="004D2E54"/>
    <w:rsid w:val="004D37B3"/>
    <w:rsid w:val="004D3D5B"/>
    <w:rsid w:val="004D573D"/>
    <w:rsid w:val="004D641C"/>
    <w:rsid w:val="004D67A5"/>
    <w:rsid w:val="004E080F"/>
    <w:rsid w:val="004E2418"/>
    <w:rsid w:val="004E2850"/>
    <w:rsid w:val="004E4893"/>
    <w:rsid w:val="004E4C36"/>
    <w:rsid w:val="004E6EC8"/>
    <w:rsid w:val="004F0F4F"/>
    <w:rsid w:val="004F1782"/>
    <w:rsid w:val="004F4324"/>
    <w:rsid w:val="004F518B"/>
    <w:rsid w:val="004F579D"/>
    <w:rsid w:val="004F5C20"/>
    <w:rsid w:val="00501990"/>
    <w:rsid w:val="00502B89"/>
    <w:rsid w:val="00506674"/>
    <w:rsid w:val="0051019C"/>
    <w:rsid w:val="005127B7"/>
    <w:rsid w:val="005130B8"/>
    <w:rsid w:val="005133A7"/>
    <w:rsid w:val="005138AB"/>
    <w:rsid w:val="0051484A"/>
    <w:rsid w:val="00515B40"/>
    <w:rsid w:val="00516537"/>
    <w:rsid w:val="0051779F"/>
    <w:rsid w:val="00522A03"/>
    <w:rsid w:val="005235EB"/>
    <w:rsid w:val="005248A7"/>
    <w:rsid w:val="00526B7E"/>
    <w:rsid w:val="00527C45"/>
    <w:rsid w:val="0053123A"/>
    <w:rsid w:val="00531AF3"/>
    <w:rsid w:val="0053240F"/>
    <w:rsid w:val="00532957"/>
    <w:rsid w:val="00532C1F"/>
    <w:rsid w:val="00532D4B"/>
    <w:rsid w:val="00533863"/>
    <w:rsid w:val="00533EE4"/>
    <w:rsid w:val="00534C84"/>
    <w:rsid w:val="00535AAF"/>
    <w:rsid w:val="005363C1"/>
    <w:rsid w:val="00537A4A"/>
    <w:rsid w:val="005410D6"/>
    <w:rsid w:val="0054134B"/>
    <w:rsid w:val="00541433"/>
    <w:rsid w:val="00542300"/>
    <w:rsid w:val="00547D6E"/>
    <w:rsid w:val="0055439C"/>
    <w:rsid w:val="0055460E"/>
    <w:rsid w:val="00555045"/>
    <w:rsid w:val="00556580"/>
    <w:rsid w:val="005610FE"/>
    <w:rsid w:val="00561B88"/>
    <w:rsid w:val="00561E16"/>
    <w:rsid w:val="00565508"/>
    <w:rsid w:val="00565B3D"/>
    <w:rsid w:val="00565F83"/>
    <w:rsid w:val="005665A6"/>
    <w:rsid w:val="00567649"/>
    <w:rsid w:val="00571323"/>
    <w:rsid w:val="00574F27"/>
    <w:rsid w:val="005754D7"/>
    <w:rsid w:val="00576752"/>
    <w:rsid w:val="0057712F"/>
    <w:rsid w:val="00577DD3"/>
    <w:rsid w:val="00580394"/>
    <w:rsid w:val="00580561"/>
    <w:rsid w:val="0058109D"/>
    <w:rsid w:val="00581B82"/>
    <w:rsid w:val="005829FA"/>
    <w:rsid w:val="0058425A"/>
    <w:rsid w:val="00585A55"/>
    <w:rsid w:val="00586923"/>
    <w:rsid w:val="00590693"/>
    <w:rsid w:val="00592814"/>
    <w:rsid w:val="00592CBC"/>
    <w:rsid w:val="005937E3"/>
    <w:rsid w:val="005957FA"/>
    <w:rsid w:val="00595B97"/>
    <w:rsid w:val="00595D40"/>
    <w:rsid w:val="005965B1"/>
    <w:rsid w:val="00596833"/>
    <w:rsid w:val="005A1048"/>
    <w:rsid w:val="005A1351"/>
    <w:rsid w:val="005A191F"/>
    <w:rsid w:val="005A3395"/>
    <w:rsid w:val="005A44E4"/>
    <w:rsid w:val="005A4590"/>
    <w:rsid w:val="005A4ADA"/>
    <w:rsid w:val="005A7365"/>
    <w:rsid w:val="005B06BB"/>
    <w:rsid w:val="005B2A80"/>
    <w:rsid w:val="005B44F3"/>
    <w:rsid w:val="005C1952"/>
    <w:rsid w:val="005C2B43"/>
    <w:rsid w:val="005C3F47"/>
    <w:rsid w:val="005C4086"/>
    <w:rsid w:val="005C662E"/>
    <w:rsid w:val="005C6C04"/>
    <w:rsid w:val="005C760B"/>
    <w:rsid w:val="005C7660"/>
    <w:rsid w:val="005D1923"/>
    <w:rsid w:val="005D22E4"/>
    <w:rsid w:val="005D239F"/>
    <w:rsid w:val="005D61C6"/>
    <w:rsid w:val="005D6F78"/>
    <w:rsid w:val="005E08E2"/>
    <w:rsid w:val="005E0D9B"/>
    <w:rsid w:val="005E2783"/>
    <w:rsid w:val="005E3C86"/>
    <w:rsid w:val="005E529D"/>
    <w:rsid w:val="005F0901"/>
    <w:rsid w:val="005F14C3"/>
    <w:rsid w:val="005F1A4B"/>
    <w:rsid w:val="005F1B26"/>
    <w:rsid w:val="005F25F3"/>
    <w:rsid w:val="005F2F28"/>
    <w:rsid w:val="005F34F8"/>
    <w:rsid w:val="005F43FD"/>
    <w:rsid w:val="005F4A40"/>
    <w:rsid w:val="005F61BD"/>
    <w:rsid w:val="006006C0"/>
    <w:rsid w:val="00601291"/>
    <w:rsid w:val="00601C06"/>
    <w:rsid w:val="00601F71"/>
    <w:rsid w:val="0060239F"/>
    <w:rsid w:val="006024BB"/>
    <w:rsid w:val="006036B4"/>
    <w:rsid w:val="006050F6"/>
    <w:rsid w:val="00605286"/>
    <w:rsid w:val="0060548B"/>
    <w:rsid w:val="006060E7"/>
    <w:rsid w:val="00607BF6"/>
    <w:rsid w:val="0061096F"/>
    <w:rsid w:val="006110F0"/>
    <w:rsid w:val="0061152C"/>
    <w:rsid w:val="00612D72"/>
    <w:rsid w:val="006136B1"/>
    <w:rsid w:val="00614A18"/>
    <w:rsid w:val="00614FAF"/>
    <w:rsid w:val="00617896"/>
    <w:rsid w:val="00621F5B"/>
    <w:rsid w:val="00622CA4"/>
    <w:rsid w:val="0062321D"/>
    <w:rsid w:val="00624266"/>
    <w:rsid w:val="00624D9D"/>
    <w:rsid w:val="006251C8"/>
    <w:rsid w:val="00626888"/>
    <w:rsid w:val="00626F2C"/>
    <w:rsid w:val="00627778"/>
    <w:rsid w:val="00630BE8"/>
    <w:rsid w:val="00630F9D"/>
    <w:rsid w:val="00632269"/>
    <w:rsid w:val="00632472"/>
    <w:rsid w:val="00634909"/>
    <w:rsid w:val="00635F10"/>
    <w:rsid w:val="0063608D"/>
    <w:rsid w:val="0063675C"/>
    <w:rsid w:val="0064065E"/>
    <w:rsid w:val="00640769"/>
    <w:rsid w:val="00640A2D"/>
    <w:rsid w:val="0064264C"/>
    <w:rsid w:val="00642FF7"/>
    <w:rsid w:val="00645C28"/>
    <w:rsid w:val="00647FDD"/>
    <w:rsid w:val="00650676"/>
    <w:rsid w:val="0065206C"/>
    <w:rsid w:val="00653263"/>
    <w:rsid w:val="006535B7"/>
    <w:rsid w:val="0065372D"/>
    <w:rsid w:val="00653BF2"/>
    <w:rsid w:val="00654042"/>
    <w:rsid w:val="006549C1"/>
    <w:rsid w:val="00655692"/>
    <w:rsid w:val="00655D21"/>
    <w:rsid w:val="006565D8"/>
    <w:rsid w:val="00657C45"/>
    <w:rsid w:val="00657F99"/>
    <w:rsid w:val="00660A09"/>
    <w:rsid w:val="00661511"/>
    <w:rsid w:val="006629E1"/>
    <w:rsid w:val="006635AD"/>
    <w:rsid w:val="006642D5"/>
    <w:rsid w:val="0066485C"/>
    <w:rsid w:val="00664CD2"/>
    <w:rsid w:val="00664D6D"/>
    <w:rsid w:val="00664EE0"/>
    <w:rsid w:val="00664F54"/>
    <w:rsid w:val="00667C5B"/>
    <w:rsid w:val="00670E0D"/>
    <w:rsid w:val="00671788"/>
    <w:rsid w:val="00671D4F"/>
    <w:rsid w:val="006729CF"/>
    <w:rsid w:val="0067382B"/>
    <w:rsid w:val="006761A6"/>
    <w:rsid w:val="00676A92"/>
    <w:rsid w:val="00676BC2"/>
    <w:rsid w:val="00676D76"/>
    <w:rsid w:val="00677529"/>
    <w:rsid w:val="00680061"/>
    <w:rsid w:val="006818F1"/>
    <w:rsid w:val="00682176"/>
    <w:rsid w:val="0068312B"/>
    <w:rsid w:val="00683854"/>
    <w:rsid w:val="00683ADF"/>
    <w:rsid w:val="00684259"/>
    <w:rsid w:val="0068507B"/>
    <w:rsid w:val="00693259"/>
    <w:rsid w:val="00693723"/>
    <w:rsid w:val="00693A71"/>
    <w:rsid w:val="00693EC2"/>
    <w:rsid w:val="006940B6"/>
    <w:rsid w:val="0069427A"/>
    <w:rsid w:val="00696E9D"/>
    <w:rsid w:val="00697B0E"/>
    <w:rsid w:val="006A0D1A"/>
    <w:rsid w:val="006A1124"/>
    <w:rsid w:val="006A1C7D"/>
    <w:rsid w:val="006A23A3"/>
    <w:rsid w:val="006A25EC"/>
    <w:rsid w:val="006A2D95"/>
    <w:rsid w:val="006A302C"/>
    <w:rsid w:val="006A323B"/>
    <w:rsid w:val="006A3D15"/>
    <w:rsid w:val="006A42B6"/>
    <w:rsid w:val="006A436B"/>
    <w:rsid w:val="006A600D"/>
    <w:rsid w:val="006A70A4"/>
    <w:rsid w:val="006A7D5F"/>
    <w:rsid w:val="006B01AC"/>
    <w:rsid w:val="006B088E"/>
    <w:rsid w:val="006B172A"/>
    <w:rsid w:val="006B3370"/>
    <w:rsid w:val="006B638C"/>
    <w:rsid w:val="006B74DF"/>
    <w:rsid w:val="006C13D3"/>
    <w:rsid w:val="006C1CC0"/>
    <w:rsid w:val="006C48EF"/>
    <w:rsid w:val="006C59BE"/>
    <w:rsid w:val="006C6C3B"/>
    <w:rsid w:val="006D1219"/>
    <w:rsid w:val="006D2415"/>
    <w:rsid w:val="006D3539"/>
    <w:rsid w:val="006D36DE"/>
    <w:rsid w:val="006D378B"/>
    <w:rsid w:val="006D3A3E"/>
    <w:rsid w:val="006D4028"/>
    <w:rsid w:val="006D4102"/>
    <w:rsid w:val="006D5291"/>
    <w:rsid w:val="006D6EA5"/>
    <w:rsid w:val="006D70E4"/>
    <w:rsid w:val="006D7BD1"/>
    <w:rsid w:val="006E006D"/>
    <w:rsid w:val="006E0D6F"/>
    <w:rsid w:val="006E3707"/>
    <w:rsid w:val="006E6B7E"/>
    <w:rsid w:val="006E7BE8"/>
    <w:rsid w:val="006E7DC6"/>
    <w:rsid w:val="006F1B5A"/>
    <w:rsid w:val="006F229A"/>
    <w:rsid w:val="006F47AE"/>
    <w:rsid w:val="006F4C4C"/>
    <w:rsid w:val="006F5083"/>
    <w:rsid w:val="006F5252"/>
    <w:rsid w:val="006F5A7F"/>
    <w:rsid w:val="006F6627"/>
    <w:rsid w:val="006F6AC2"/>
    <w:rsid w:val="00700BE3"/>
    <w:rsid w:val="00701294"/>
    <w:rsid w:val="00701BB0"/>
    <w:rsid w:val="00702335"/>
    <w:rsid w:val="00703B5B"/>
    <w:rsid w:val="00704435"/>
    <w:rsid w:val="00704CE4"/>
    <w:rsid w:val="007054A5"/>
    <w:rsid w:val="00706DC0"/>
    <w:rsid w:val="00707780"/>
    <w:rsid w:val="00707ED6"/>
    <w:rsid w:val="00710DAA"/>
    <w:rsid w:val="00712EC7"/>
    <w:rsid w:val="00712EEF"/>
    <w:rsid w:val="00720530"/>
    <w:rsid w:val="007222E9"/>
    <w:rsid w:val="00723A94"/>
    <w:rsid w:val="00724C59"/>
    <w:rsid w:val="00724CD5"/>
    <w:rsid w:val="0072653C"/>
    <w:rsid w:val="00727583"/>
    <w:rsid w:val="0072772A"/>
    <w:rsid w:val="00731C07"/>
    <w:rsid w:val="007328D3"/>
    <w:rsid w:val="00733DFC"/>
    <w:rsid w:val="00734A29"/>
    <w:rsid w:val="007364BD"/>
    <w:rsid w:val="00737EAD"/>
    <w:rsid w:val="007426E8"/>
    <w:rsid w:val="00743894"/>
    <w:rsid w:val="00744CEC"/>
    <w:rsid w:val="0074592C"/>
    <w:rsid w:val="00750A2C"/>
    <w:rsid w:val="007520EE"/>
    <w:rsid w:val="00753CD0"/>
    <w:rsid w:val="00754D0A"/>
    <w:rsid w:val="0075583D"/>
    <w:rsid w:val="007578DE"/>
    <w:rsid w:val="0076095C"/>
    <w:rsid w:val="00760CCD"/>
    <w:rsid w:val="00761443"/>
    <w:rsid w:val="00761B9F"/>
    <w:rsid w:val="00762C2E"/>
    <w:rsid w:val="00764C82"/>
    <w:rsid w:val="00764FAD"/>
    <w:rsid w:val="007656AF"/>
    <w:rsid w:val="00765971"/>
    <w:rsid w:val="0076618B"/>
    <w:rsid w:val="00767066"/>
    <w:rsid w:val="007673A6"/>
    <w:rsid w:val="0076759B"/>
    <w:rsid w:val="00770808"/>
    <w:rsid w:val="00770E79"/>
    <w:rsid w:val="007714E1"/>
    <w:rsid w:val="0077309C"/>
    <w:rsid w:val="00773385"/>
    <w:rsid w:val="00773B06"/>
    <w:rsid w:val="00773D59"/>
    <w:rsid w:val="00776571"/>
    <w:rsid w:val="0077670F"/>
    <w:rsid w:val="0077676C"/>
    <w:rsid w:val="00780551"/>
    <w:rsid w:val="00780BCF"/>
    <w:rsid w:val="00781B26"/>
    <w:rsid w:val="00785F76"/>
    <w:rsid w:val="00787281"/>
    <w:rsid w:val="00787FD4"/>
    <w:rsid w:val="0079027F"/>
    <w:rsid w:val="00790B1C"/>
    <w:rsid w:val="00793893"/>
    <w:rsid w:val="00794ED2"/>
    <w:rsid w:val="00795426"/>
    <w:rsid w:val="0079708C"/>
    <w:rsid w:val="00797716"/>
    <w:rsid w:val="007A09C0"/>
    <w:rsid w:val="007A549F"/>
    <w:rsid w:val="007A5555"/>
    <w:rsid w:val="007B1684"/>
    <w:rsid w:val="007B18CC"/>
    <w:rsid w:val="007B30ED"/>
    <w:rsid w:val="007B3E74"/>
    <w:rsid w:val="007B5047"/>
    <w:rsid w:val="007B6F0E"/>
    <w:rsid w:val="007C0214"/>
    <w:rsid w:val="007C0227"/>
    <w:rsid w:val="007C0C53"/>
    <w:rsid w:val="007C16C3"/>
    <w:rsid w:val="007C2240"/>
    <w:rsid w:val="007C2B54"/>
    <w:rsid w:val="007C2DD3"/>
    <w:rsid w:val="007C36CC"/>
    <w:rsid w:val="007C50AB"/>
    <w:rsid w:val="007C51A0"/>
    <w:rsid w:val="007D226E"/>
    <w:rsid w:val="007D5739"/>
    <w:rsid w:val="007D6221"/>
    <w:rsid w:val="007E0204"/>
    <w:rsid w:val="007E0283"/>
    <w:rsid w:val="007E05C4"/>
    <w:rsid w:val="007E0922"/>
    <w:rsid w:val="007E0D89"/>
    <w:rsid w:val="007E24BD"/>
    <w:rsid w:val="007E3FFB"/>
    <w:rsid w:val="007E43CB"/>
    <w:rsid w:val="007E5BE4"/>
    <w:rsid w:val="007E5C7F"/>
    <w:rsid w:val="007E5DBA"/>
    <w:rsid w:val="007E7500"/>
    <w:rsid w:val="007F20FD"/>
    <w:rsid w:val="007F4FC3"/>
    <w:rsid w:val="007F563E"/>
    <w:rsid w:val="007F5928"/>
    <w:rsid w:val="007F7B0B"/>
    <w:rsid w:val="00800794"/>
    <w:rsid w:val="00801330"/>
    <w:rsid w:val="0080162E"/>
    <w:rsid w:val="00801B2C"/>
    <w:rsid w:val="00801F86"/>
    <w:rsid w:val="008020B8"/>
    <w:rsid w:val="00802F14"/>
    <w:rsid w:val="008045BB"/>
    <w:rsid w:val="008051F6"/>
    <w:rsid w:val="00806B1F"/>
    <w:rsid w:val="00810F5C"/>
    <w:rsid w:val="00811A3E"/>
    <w:rsid w:val="00811FED"/>
    <w:rsid w:val="00813A27"/>
    <w:rsid w:val="00814A5B"/>
    <w:rsid w:val="008166D4"/>
    <w:rsid w:val="00816878"/>
    <w:rsid w:val="00816DC8"/>
    <w:rsid w:val="00817686"/>
    <w:rsid w:val="00817C4A"/>
    <w:rsid w:val="00821196"/>
    <w:rsid w:val="00821600"/>
    <w:rsid w:val="00821D21"/>
    <w:rsid w:val="0082304D"/>
    <w:rsid w:val="00824169"/>
    <w:rsid w:val="008242AD"/>
    <w:rsid w:val="00825548"/>
    <w:rsid w:val="00825C17"/>
    <w:rsid w:val="008275D6"/>
    <w:rsid w:val="00827872"/>
    <w:rsid w:val="00833626"/>
    <w:rsid w:val="00833EE8"/>
    <w:rsid w:val="00833F9C"/>
    <w:rsid w:val="008346B0"/>
    <w:rsid w:val="00835330"/>
    <w:rsid w:val="0083552D"/>
    <w:rsid w:val="008371AB"/>
    <w:rsid w:val="00837689"/>
    <w:rsid w:val="00837975"/>
    <w:rsid w:val="00841CFA"/>
    <w:rsid w:val="00844120"/>
    <w:rsid w:val="00845441"/>
    <w:rsid w:val="00845B19"/>
    <w:rsid w:val="008464C8"/>
    <w:rsid w:val="008475BC"/>
    <w:rsid w:val="008504D5"/>
    <w:rsid w:val="00850AB3"/>
    <w:rsid w:val="00850BF9"/>
    <w:rsid w:val="008514D2"/>
    <w:rsid w:val="00852B14"/>
    <w:rsid w:val="0085374A"/>
    <w:rsid w:val="00855327"/>
    <w:rsid w:val="008561F3"/>
    <w:rsid w:val="0085672F"/>
    <w:rsid w:val="00857928"/>
    <w:rsid w:val="0086037E"/>
    <w:rsid w:val="008613EA"/>
    <w:rsid w:val="00861D46"/>
    <w:rsid w:val="00863C08"/>
    <w:rsid w:val="00865CFC"/>
    <w:rsid w:val="0086740E"/>
    <w:rsid w:val="00867951"/>
    <w:rsid w:val="008709C0"/>
    <w:rsid w:val="00872489"/>
    <w:rsid w:val="008729BD"/>
    <w:rsid w:val="00873785"/>
    <w:rsid w:val="00873D46"/>
    <w:rsid w:val="00873F68"/>
    <w:rsid w:val="008773EC"/>
    <w:rsid w:val="00881704"/>
    <w:rsid w:val="00881838"/>
    <w:rsid w:val="00882157"/>
    <w:rsid w:val="00884C9F"/>
    <w:rsid w:val="00886E54"/>
    <w:rsid w:val="00887F91"/>
    <w:rsid w:val="00890501"/>
    <w:rsid w:val="00890623"/>
    <w:rsid w:val="00890D45"/>
    <w:rsid w:val="008914AF"/>
    <w:rsid w:val="00891708"/>
    <w:rsid w:val="0089239B"/>
    <w:rsid w:val="00893C25"/>
    <w:rsid w:val="0089439E"/>
    <w:rsid w:val="00894F7A"/>
    <w:rsid w:val="008956E0"/>
    <w:rsid w:val="00897866"/>
    <w:rsid w:val="008A02FB"/>
    <w:rsid w:val="008A0BE2"/>
    <w:rsid w:val="008A10FB"/>
    <w:rsid w:val="008A1D3B"/>
    <w:rsid w:val="008A3324"/>
    <w:rsid w:val="008A373A"/>
    <w:rsid w:val="008A376B"/>
    <w:rsid w:val="008A3D82"/>
    <w:rsid w:val="008A442C"/>
    <w:rsid w:val="008A7770"/>
    <w:rsid w:val="008B11EA"/>
    <w:rsid w:val="008B12AA"/>
    <w:rsid w:val="008B1E4A"/>
    <w:rsid w:val="008B319F"/>
    <w:rsid w:val="008B5F8E"/>
    <w:rsid w:val="008B614C"/>
    <w:rsid w:val="008B785B"/>
    <w:rsid w:val="008C00F1"/>
    <w:rsid w:val="008C1A1B"/>
    <w:rsid w:val="008C1EE3"/>
    <w:rsid w:val="008C3595"/>
    <w:rsid w:val="008C4D68"/>
    <w:rsid w:val="008C7AAC"/>
    <w:rsid w:val="008D11F7"/>
    <w:rsid w:val="008D2CF0"/>
    <w:rsid w:val="008D2EBA"/>
    <w:rsid w:val="008D31E1"/>
    <w:rsid w:val="008D4035"/>
    <w:rsid w:val="008D5415"/>
    <w:rsid w:val="008D554A"/>
    <w:rsid w:val="008E098E"/>
    <w:rsid w:val="008E11CB"/>
    <w:rsid w:val="008E1584"/>
    <w:rsid w:val="008E2A60"/>
    <w:rsid w:val="008E421D"/>
    <w:rsid w:val="008E4432"/>
    <w:rsid w:val="008E7C0E"/>
    <w:rsid w:val="008F42F5"/>
    <w:rsid w:val="008F4524"/>
    <w:rsid w:val="008F4C13"/>
    <w:rsid w:val="008F705E"/>
    <w:rsid w:val="009015A9"/>
    <w:rsid w:val="00901D25"/>
    <w:rsid w:val="00903833"/>
    <w:rsid w:val="00906B6D"/>
    <w:rsid w:val="00907231"/>
    <w:rsid w:val="0091034D"/>
    <w:rsid w:val="009114A4"/>
    <w:rsid w:val="00911650"/>
    <w:rsid w:val="0091565F"/>
    <w:rsid w:val="009158DC"/>
    <w:rsid w:val="00916DE1"/>
    <w:rsid w:val="00917AE8"/>
    <w:rsid w:val="009203A6"/>
    <w:rsid w:val="00920738"/>
    <w:rsid w:val="00920EF9"/>
    <w:rsid w:val="00923025"/>
    <w:rsid w:val="00923056"/>
    <w:rsid w:val="0092372C"/>
    <w:rsid w:val="00923989"/>
    <w:rsid w:val="009259C3"/>
    <w:rsid w:val="00927331"/>
    <w:rsid w:val="009318A9"/>
    <w:rsid w:val="00931C88"/>
    <w:rsid w:val="00931D0D"/>
    <w:rsid w:val="009325EE"/>
    <w:rsid w:val="009340FA"/>
    <w:rsid w:val="009359C4"/>
    <w:rsid w:val="009374C1"/>
    <w:rsid w:val="00937B08"/>
    <w:rsid w:val="009410F0"/>
    <w:rsid w:val="00942F6F"/>
    <w:rsid w:val="009448CE"/>
    <w:rsid w:val="009455B7"/>
    <w:rsid w:val="009461F5"/>
    <w:rsid w:val="00946284"/>
    <w:rsid w:val="00950BE1"/>
    <w:rsid w:val="00950DE0"/>
    <w:rsid w:val="00953A6F"/>
    <w:rsid w:val="00955DE8"/>
    <w:rsid w:val="00956232"/>
    <w:rsid w:val="00956771"/>
    <w:rsid w:val="009572FE"/>
    <w:rsid w:val="009578A8"/>
    <w:rsid w:val="00957B7E"/>
    <w:rsid w:val="009618E3"/>
    <w:rsid w:val="009634D1"/>
    <w:rsid w:val="0096563D"/>
    <w:rsid w:val="0096569A"/>
    <w:rsid w:val="00965E1B"/>
    <w:rsid w:val="00966553"/>
    <w:rsid w:val="00966CE3"/>
    <w:rsid w:val="00967122"/>
    <w:rsid w:val="009679D5"/>
    <w:rsid w:val="009711E1"/>
    <w:rsid w:val="00971882"/>
    <w:rsid w:val="00972721"/>
    <w:rsid w:val="009727F6"/>
    <w:rsid w:val="0097344D"/>
    <w:rsid w:val="009750F6"/>
    <w:rsid w:val="00975C27"/>
    <w:rsid w:val="00976650"/>
    <w:rsid w:val="00976725"/>
    <w:rsid w:val="009819F1"/>
    <w:rsid w:val="00983D21"/>
    <w:rsid w:val="00984450"/>
    <w:rsid w:val="00984E8B"/>
    <w:rsid w:val="009852E5"/>
    <w:rsid w:val="00985B4A"/>
    <w:rsid w:val="00997386"/>
    <w:rsid w:val="00997C2C"/>
    <w:rsid w:val="009A03DC"/>
    <w:rsid w:val="009A1C30"/>
    <w:rsid w:val="009A270D"/>
    <w:rsid w:val="009A4A1F"/>
    <w:rsid w:val="009A4FB8"/>
    <w:rsid w:val="009A5456"/>
    <w:rsid w:val="009A75CD"/>
    <w:rsid w:val="009A7B46"/>
    <w:rsid w:val="009B0EF0"/>
    <w:rsid w:val="009B1EAB"/>
    <w:rsid w:val="009B346D"/>
    <w:rsid w:val="009B361B"/>
    <w:rsid w:val="009B3F6E"/>
    <w:rsid w:val="009B489B"/>
    <w:rsid w:val="009C104A"/>
    <w:rsid w:val="009C1395"/>
    <w:rsid w:val="009C2BD6"/>
    <w:rsid w:val="009C2D01"/>
    <w:rsid w:val="009C44CD"/>
    <w:rsid w:val="009C7153"/>
    <w:rsid w:val="009C7A00"/>
    <w:rsid w:val="009C7E9B"/>
    <w:rsid w:val="009D0101"/>
    <w:rsid w:val="009D057E"/>
    <w:rsid w:val="009D0F5E"/>
    <w:rsid w:val="009D23A2"/>
    <w:rsid w:val="009D28DD"/>
    <w:rsid w:val="009D3154"/>
    <w:rsid w:val="009D5591"/>
    <w:rsid w:val="009D59A5"/>
    <w:rsid w:val="009D59DC"/>
    <w:rsid w:val="009D7BBA"/>
    <w:rsid w:val="009E00C7"/>
    <w:rsid w:val="009E0E85"/>
    <w:rsid w:val="009E150C"/>
    <w:rsid w:val="009E16C5"/>
    <w:rsid w:val="009E1D4C"/>
    <w:rsid w:val="009E20ED"/>
    <w:rsid w:val="009E5606"/>
    <w:rsid w:val="009E5955"/>
    <w:rsid w:val="009E65C3"/>
    <w:rsid w:val="009F07E5"/>
    <w:rsid w:val="009F0D69"/>
    <w:rsid w:val="009F0E71"/>
    <w:rsid w:val="009F112D"/>
    <w:rsid w:val="009F1F03"/>
    <w:rsid w:val="009F25B6"/>
    <w:rsid w:val="009F2C43"/>
    <w:rsid w:val="009F2EDB"/>
    <w:rsid w:val="00A0039E"/>
    <w:rsid w:val="00A0045B"/>
    <w:rsid w:val="00A015BE"/>
    <w:rsid w:val="00A03AA0"/>
    <w:rsid w:val="00A056CC"/>
    <w:rsid w:val="00A05F66"/>
    <w:rsid w:val="00A07F5D"/>
    <w:rsid w:val="00A10A19"/>
    <w:rsid w:val="00A10A1F"/>
    <w:rsid w:val="00A10F8B"/>
    <w:rsid w:val="00A110A4"/>
    <w:rsid w:val="00A11360"/>
    <w:rsid w:val="00A128B7"/>
    <w:rsid w:val="00A1306C"/>
    <w:rsid w:val="00A13B83"/>
    <w:rsid w:val="00A13D73"/>
    <w:rsid w:val="00A15776"/>
    <w:rsid w:val="00A15ABB"/>
    <w:rsid w:val="00A16486"/>
    <w:rsid w:val="00A16620"/>
    <w:rsid w:val="00A169F2"/>
    <w:rsid w:val="00A179B6"/>
    <w:rsid w:val="00A22134"/>
    <w:rsid w:val="00A23F00"/>
    <w:rsid w:val="00A2484E"/>
    <w:rsid w:val="00A2541C"/>
    <w:rsid w:val="00A25CF5"/>
    <w:rsid w:val="00A30F46"/>
    <w:rsid w:val="00A319B9"/>
    <w:rsid w:val="00A32B59"/>
    <w:rsid w:val="00A3412D"/>
    <w:rsid w:val="00A349BC"/>
    <w:rsid w:val="00A362F0"/>
    <w:rsid w:val="00A37645"/>
    <w:rsid w:val="00A40BB0"/>
    <w:rsid w:val="00A41C98"/>
    <w:rsid w:val="00A467F2"/>
    <w:rsid w:val="00A46926"/>
    <w:rsid w:val="00A47100"/>
    <w:rsid w:val="00A47230"/>
    <w:rsid w:val="00A47BA6"/>
    <w:rsid w:val="00A47E67"/>
    <w:rsid w:val="00A502E7"/>
    <w:rsid w:val="00A51225"/>
    <w:rsid w:val="00A5188B"/>
    <w:rsid w:val="00A520BE"/>
    <w:rsid w:val="00A534B6"/>
    <w:rsid w:val="00A54332"/>
    <w:rsid w:val="00A54AF4"/>
    <w:rsid w:val="00A5679E"/>
    <w:rsid w:val="00A57C02"/>
    <w:rsid w:val="00A602A2"/>
    <w:rsid w:val="00A60857"/>
    <w:rsid w:val="00A61BFD"/>
    <w:rsid w:val="00A64837"/>
    <w:rsid w:val="00A6488A"/>
    <w:rsid w:val="00A66C2F"/>
    <w:rsid w:val="00A702BF"/>
    <w:rsid w:val="00A7084D"/>
    <w:rsid w:val="00A71350"/>
    <w:rsid w:val="00A71A9F"/>
    <w:rsid w:val="00A72252"/>
    <w:rsid w:val="00A741E9"/>
    <w:rsid w:val="00A74732"/>
    <w:rsid w:val="00A76338"/>
    <w:rsid w:val="00A7769D"/>
    <w:rsid w:val="00A8036B"/>
    <w:rsid w:val="00A81400"/>
    <w:rsid w:val="00A81482"/>
    <w:rsid w:val="00A820B6"/>
    <w:rsid w:val="00A82DCB"/>
    <w:rsid w:val="00A83469"/>
    <w:rsid w:val="00A849D4"/>
    <w:rsid w:val="00A84ADD"/>
    <w:rsid w:val="00A86D60"/>
    <w:rsid w:val="00A87020"/>
    <w:rsid w:val="00A97168"/>
    <w:rsid w:val="00A97551"/>
    <w:rsid w:val="00AA23AB"/>
    <w:rsid w:val="00AA2E9F"/>
    <w:rsid w:val="00AA4384"/>
    <w:rsid w:val="00AB0DBE"/>
    <w:rsid w:val="00AB0E44"/>
    <w:rsid w:val="00AB39C3"/>
    <w:rsid w:val="00AB4708"/>
    <w:rsid w:val="00AB522F"/>
    <w:rsid w:val="00AB5977"/>
    <w:rsid w:val="00AB616F"/>
    <w:rsid w:val="00AB64CA"/>
    <w:rsid w:val="00AB6CFD"/>
    <w:rsid w:val="00AB734B"/>
    <w:rsid w:val="00AB7871"/>
    <w:rsid w:val="00AC0035"/>
    <w:rsid w:val="00AC0574"/>
    <w:rsid w:val="00AC24B8"/>
    <w:rsid w:val="00AC2B94"/>
    <w:rsid w:val="00AC3AE9"/>
    <w:rsid w:val="00AC430F"/>
    <w:rsid w:val="00AC72AB"/>
    <w:rsid w:val="00AD1076"/>
    <w:rsid w:val="00AD2660"/>
    <w:rsid w:val="00AD38A2"/>
    <w:rsid w:val="00AD619A"/>
    <w:rsid w:val="00AD64D1"/>
    <w:rsid w:val="00AD7466"/>
    <w:rsid w:val="00AD75C3"/>
    <w:rsid w:val="00AE0050"/>
    <w:rsid w:val="00AE154F"/>
    <w:rsid w:val="00AE1F6A"/>
    <w:rsid w:val="00AE1FC9"/>
    <w:rsid w:val="00AE24FF"/>
    <w:rsid w:val="00AE261A"/>
    <w:rsid w:val="00AE4A59"/>
    <w:rsid w:val="00AE4DE5"/>
    <w:rsid w:val="00AE505D"/>
    <w:rsid w:val="00AE53F2"/>
    <w:rsid w:val="00AF0A1D"/>
    <w:rsid w:val="00AF1C73"/>
    <w:rsid w:val="00AF2799"/>
    <w:rsid w:val="00AF2ACD"/>
    <w:rsid w:val="00AF33F4"/>
    <w:rsid w:val="00AF554E"/>
    <w:rsid w:val="00AF5AF0"/>
    <w:rsid w:val="00AF5D57"/>
    <w:rsid w:val="00B00529"/>
    <w:rsid w:val="00B00E3D"/>
    <w:rsid w:val="00B0130F"/>
    <w:rsid w:val="00B0209C"/>
    <w:rsid w:val="00B03411"/>
    <w:rsid w:val="00B04649"/>
    <w:rsid w:val="00B048BA"/>
    <w:rsid w:val="00B04ADA"/>
    <w:rsid w:val="00B04DED"/>
    <w:rsid w:val="00B05950"/>
    <w:rsid w:val="00B05BD1"/>
    <w:rsid w:val="00B06115"/>
    <w:rsid w:val="00B066D4"/>
    <w:rsid w:val="00B06C5B"/>
    <w:rsid w:val="00B10B6A"/>
    <w:rsid w:val="00B128F8"/>
    <w:rsid w:val="00B12A20"/>
    <w:rsid w:val="00B12DB5"/>
    <w:rsid w:val="00B12EC1"/>
    <w:rsid w:val="00B13933"/>
    <w:rsid w:val="00B14FE2"/>
    <w:rsid w:val="00B1525E"/>
    <w:rsid w:val="00B15820"/>
    <w:rsid w:val="00B2013B"/>
    <w:rsid w:val="00B206F2"/>
    <w:rsid w:val="00B22416"/>
    <w:rsid w:val="00B22A6A"/>
    <w:rsid w:val="00B22F2F"/>
    <w:rsid w:val="00B230E9"/>
    <w:rsid w:val="00B23F0E"/>
    <w:rsid w:val="00B2594D"/>
    <w:rsid w:val="00B27F31"/>
    <w:rsid w:val="00B3003C"/>
    <w:rsid w:val="00B30123"/>
    <w:rsid w:val="00B301B4"/>
    <w:rsid w:val="00B33C3B"/>
    <w:rsid w:val="00B35CC4"/>
    <w:rsid w:val="00B36AE4"/>
    <w:rsid w:val="00B36B11"/>
    <w:rsid w:val="00B36FF1"/>
    <w:rsid w:val="00B37500"/>
    <w:rsid w:val="00B40BBD"/>
    <w:rsid w:val="00B41682"/>
    <w:rsid w:val="00B42600"/>
    <w:rsid w:val="00B45973"/>
    <w:rsid w:val="00B4714A"/>
    <w:rsid w:val="00B4727A"/>
    <w:rsid w:val="00B52D92"/>
    <w:rsid w:val="00B53B2C"/>
    <w:rsid w:val="00B54931"/>
    <w:rsid w:val="00B55138"/>
    <w:rsid w:val="00B57EB1"/>
    <w:rsid w:val="00B57FF7"/>
    <w:rsid w:val="00B602AF"/>
    <w:rsid w:val="00B62472"/>
    <w:rsid w:val="00B65249"/>
    <w:rsid w:val="00B6706E"/>
    <w:rsid w:val="00B676BB"/>
    <w:rsid w:val="00B708AF"/>
    <w:rsid w:val="00B72C56"/>
    <w:rsid w:val="00B72EE7"/>
    <w:rsid w:val="00B739F5"/>
    <w:rsid w:val="00B753EB"/>
    <w:rsid w:val="00B76EBF"/>
    <w:rsid w:val="00B7702F"/>
    <w:rsid w:val="00B7714A"/>
    <w:rsid w:val="00B80DFB"/>
    <w:rsid w:val="00B82898"/>
    <w:rsid w:val="00B84289"/>
    <w:rsid w:val="00B8434B"/>
    <w:rsid w:val="00B86B8D"/>
    <w:rsid w:val="00B90D3D"/>
    <w:rsid w:val="00B90E2B"/>
    <w:rsid w:val="00B933BA"/>
    <w:rsid w:val="00B93945"/>
    <w:rsid w:val="00B9480C"/>
    <w:rsid w:val="00B95355"/>
    <w:rsid w:val="00B96112"/>
    <w:rsid w:val="00B9665C"/>
    <w:rsid w:val="00B9754E"/>
    <w:rsid w:val="00BA00AC"/>
    <w:rsid w:val="00BA1CCE"/>
    <w:rsid w:val="00BA49E6"/>
    <w:rsid w:val="00BA4DF6"/>
    <w:rsid w:val="00BA51D2"/>
    <w:rsid w:val="00BA7569"/>
    <w:rsid w:val="00BB0521"/>
    <w:rsid w:val="00BB08A2"/>
    <w:rsid w:val="00BB15FB"/>
    <w:rsid w:val="00BB2274"/>
    <w:rsid w:val="00BB374C"/>
    <w:rsid w:val="00BB3D0F"/>
    <w:rsid w:val="00BB4265"/>
    <w:rsid w:val="00BB4896"/>
    <w:rsid w:val="00BB5D5A"/>
    <w:rsid w:val="00BB5D69"/>
    <w:rsid w:val="00BB7094"/>
    <w:rsid w:val="00BB73DC"/>
    <w:rsid w:val="00BB7AF7"/>
    <w:rsid w:val="00BB7FEC"/>
    <w:rsid w:val="00BC18A1"/>
    <w:rsid w:val="00BC3E6A"/>
    <w:rsid w:val="00BC4427"/>
    <w:rsid w:val="00BD41CD"/>
    <w:rsid w:val="00BD44E5"/>
    <w:rsid w:val="00BD5071"/>
    <w:rsid w:val="00BD5C75"/>
    <w:rsid w:val="00BD6C73"/>
    <w:rsid w:val="00BE028C"/>
    <w:rsid w:val="00BE029F"/>
    <w:rsid w:val="00BE02C3"/>
    <w:rsid w:val="00BE0398"/>
    <w:rsid w:val="00BE04B8"/>
    <w:rsid w:val="00BE0B2E"/>
    <w:rsid w:val="00BE2F52"/>
    <w:rsid w:val="00BE3390"/>
    <w:rsid w:val="00BE3616"/>
    <w:rsid w:val="00BE4A1C"/>
    <w:rsid w:val="00BE4B46"/>
    <w:rsid w:val="00BE5956"/>
    <w:rsid w:val="00BE5D63"/>
    <w:rsid w:val="00BE6492"/>
    <w:rsid w:val="00BE7566"/>
    <w:rsid w:val="00BF0E04"/>
    <w:rsid w:val="00BF1F8B"/>
    <w:rsid w:val="00BF203B"/>
    <w:rsid w:val="00BF3634"/>
    <w:rsid w:val="00BF6891"/>
    <w:rsid w:val="00BF6A98"/>
    <w:rsid w:val="00BF7B88"/>
    <w:rsid w:val="00C00080"/>
    <w:rsid w:val="00C01583"/>
    <w:rsid w:val="00C01669"/>
    <w:rsid w:val="00C01BC3"/>
    <w:rsid w:val="00C01D39"/>
    <w:rsid w:val="00C023A1"/>
    <w:rsid w:val="00C03D5B"/>
    <w:rsid w:val="00C05690"/>
    <w:rsid w:val="00C0595A"/>
    <w:rsid w:val="00C07A21"/>
    <w:rsid w:val="00C11082"/>
    <w:rsid w:val="00C12AB6"/>
    <w:rsid w:val="00C13A52"/>
    <w:rsid w:val="00C13F20"/>
    <w:rsid w:val="00C14796"/>
    <w:rsid w:val="00C14A93"/>
    <w:rsid w:val="00C153E1"/>
    <w:rsid w:val="00C1579B"/>
    <w:rsid w:val="00C15CBD"/>
    <w:rsid w:val="00C20253"/>
    <w:rsid w:val="00C20804"/>
    <w:rsid w:val="00C2202F"/>
    <w:rsid w:val="00C2310E"/>
    <w:rsid w:val="00C23CD9"/>
    <w:rsid w:val="00C31991"/>
    <w:rsid w:val="00C32F9D"/>
    <w:rsid w:val="00C330CE"/>
    <w:rsid w:val="00C33984"/>
    <w:rsid w:val="00C36B79"/>
    <w:rsid w:val="00C37E66"/>
    <w:rsid w:val="00C4329E"/>
    <w:rsid w:val="00C45C09"/>
    <w:rsid w:val="00C474AA"/>
    <w:rsid w:val="00C50EC9"/>
    <w:rsid w:val="00C51E2C"/>
    <w:rsid w:val="00C5288E"/>
    <w:rsid w:val="00C54FBC"/>
    <w:rsid w:val="00C55E50"/>
    <w:rsid w:val="00C57738"/>
    <w:rsid w:val="00C62D0B"/>
    <w:rsid w:val="00C63D68"/>
    <w:rsid w:val="00C66483"/>
    <w:rsid w:val="00C66C45"/>
    <w:rsid w:val="00C67691"/>
    <w:rsid w:val="00C70B64"/>
    <w:rsid w:val="00C70EA2"/>
    <w:rsid w:val="00C714E4"/>
    <w:rsid w:val="00C71C98"/>
    <w:rsid w:val="00C75C70"/>
    <w:rsid w:val="00C764A7"/>
    <w:rsid w:val="00C77054"/>
    <w:rsid w:val="00C774F3"/>
    <w:rsid w:val="00C7783A"/>
    <w:rsid w:val="00C8015F"/>
    <w:rsid w:val="00C810A5"/>
    <w:rsid w:val="00C8195E"/>
    <w:rsid w:val="00C81CAF"/>
    <w:rsid w:val="00C82ABA"/>
    <w:rsid w:val="00C833FF"/>
    <w:rsid w:val="00C83F37"/>
    <w:rsid w:val="00C87A27"/>
    <w:rsid w:val="00C91331"/>
    <w:rsid w:val="00C92E82"/>
    <w:rsid w:val="00C93B9F"/>
    <w:rsid w:val="00C93F3F"/>
    <w:rsid w:val="00C95254"/>
    <w:rsid w:val="00C96C2E"/>
    <w:rsid w:val="00C9701D"/>
    <w:rsid w:val="00CA0970"/>
    <w:rsid w:val="00CA1759"/>
    <w:rsid w:val="00CA2028"/>
    <w:rsid w:val="00CA35EA"/>
    <w:rsid w:val="00CA4404"/>
    <w:rsid w:val="00CA4870"/>
    <w:rsid w:val="00CA64BE"/>
    <w:rsid w:val="00CA6E82"/>
    <w:rsid w:val="00CB0ED7"/>
    <w:rsid w:val="00CB3404"/>
    <w:rsid w:val="00CB346C"/>
    <w:rsid w:val="00CB3673"/>
    <w:rsid w:val="00CB3A37"/>
    <w:rsid w:val="00CB53FC"/>
    <w:rsid w:val="00CB550A"/>
    <w:rsid w:val="00CB550D"/>
    <w:rsid w:val="00CB5C5D"/>
    <w:rsid w:val="00CB6E9E"/>
    <w:rsid w:val="00CB7B6B"/>
    <w:rsid w:val="00CC0DFE"/>
    <w:rsid w:val="00CC25D2"/>
    <w:rsid w:val="00CC4BB6"/>
    <w:rsid w:val="00CC64F6"/>
    <w:rsid w:val="00CD1364"/>
    <w:rsid w:val="00CD1890"/>
    <w:rsid w:val="00CD196A"/>
    <w:rsid w:val="00CD3FC8"/>
    <w:rsid w:val="00CD61E3"/>
    <w:rsid w:val="00CD7126"/>
    <w:rsid w:val="00CE06B3"/>
    <w:rsid w:val="00CE0F72"/>
    <w:rsid w:val="00CE1FB3"/>
    <w:rsid w:val="00CE234C"/>
    <w:rsid w:val="00CE2D3B"/>
    <w:rsid w:val="00CE32B6"/>
    <w:rsid w:val="00CE457B"/>
    <w:rsid w:val="00CE5211"/>
    <w:rsid w:val="00CE55CE"/>
    <w:rsid w:val="00CE671B"/>
    <w:rsid w:val="00CE7CCD"/>
    <w:rsid w:val="00CF01EE"/>
    <w:rsid w:val="00CF02F2"/>
    <w:rsid w:val="00CF2529"/>
    <w:rsid w:val="00CF4AE1"/>
    <w:rsid w:val="00CF4CC7"/>
    <w:rsid w:val="00CF54C9"/>
    <w:rsid w:val="00CF7EB1"/>
    <w:rsid w:val="00D00855"/>
    <w:rsid w:val="00D00D2E"/>
    <w:rsid w:val="00D03945"/>
    <w:rsid w:val="00D0572F"/>
    <w:rsid w:val="00D06BE0"/>
    <w:rsid w:val="00D101A0"/>
    <w:rsid w:val="00D11898"/>
    <w:rsid w:val="00D131B9"/>
    <w:rsid w:val="00D137F0"/>
    <w:rsid w:val="00D15E86"/>
    <w:rsid w:val="00D16023"/>
    <w:rsid w:val="00D1665E"/>
    <w:rsid w:val="00D17109"/>
    <w:rsid w:val="00D20F47"/>
    <w:rsid w:val="00D22B03"/>
    <w:rsid w:val="00D22DBC"/>
    <w:rsid w:val="00D22E07"/>
    <w:rsid w:val="00D22EA9"/>
    <w:rsid w:val="00D2378F"/>
    <w:rsid w:val="00D24C34"/>
    <w:rsid w:val="00D2668A"/>
    <w:rsid w:val="00D27047"/>
    <w:rsid w:val="00D27819"/>
    <w:rsid w:val="00D31A0C"/>
    <w:rsid w:val="00D335CC"/>
    <w:rsid w:val="00D33C53"/>
    <w:rsid w:val="00D34167"/>
    <w:rsid w:val="00D351C4"/>
    <w:rsid w:val="00D35523"/>
    <w:rsid w:val="00D35EE4"/>
    <w:rsid w:val="00D42318"/>
    <w:rsid w:val="00D4317E"/>
    <w:rsid w:val="00D448D0"/>
    <w:rsid w:val="00D4558C"/>
    <w:rsid w:val="00D46C86"/>
    <w:rsid w:val="00D5304D"/>
    <w:rsid w:val="00D5407E"/>
    <w:rsid w:val="00D54605"/>
    <w:rsid w:val="00D54B1A"/>
    <w:rsid w:val="00D5586E"/>
    <w:rsid w:val="00D56879"/>
    <w:rsid w:val="00D56FD9"/>
    <w:rsid w:val="00D60E64"/>
    <w:rsid w:val="00D63232"/>
    <w:rsid w:val="00D635C8"/>
    <w:rsid w:val="00D64458"/>
    <w:rsid w:val="00D67EDA"/>
    <w:rsid w:val="00D70EFF"/>
    <w:rsid w:val="00D7109D"/>
    <w:rsid w:val="00D71D60"/>
    <w:rsid w:val="00D725F6"/>
    <w:rsid w:val="00D73103"/>
    <w:rsid w:val="00D731D3"/>
    <w:rsid w:val="00D73F03"/>
    <w:rsid w:val="00D7610A"/>
    <w:rsid w:val="00D764A0"/>
    <w:rsid w:val="00D76D48"/>
    <w:rsid w:val="00D80C5C"/>
    <w:rsid w:val="00D8113B"/>
    <w:rsid w:val="00D834B5"/>
    <w:rsid w:val="00D8383A"/>
    <w:rsid w:val="00D8477A"/>
    <w:rsid w:val="00D84863"/>
    <w:rsid w:val="00D84F43"/>
    <w:rsid w:val="00D85EE3"/>
    <w:rsid w:val="00D903D9"/>
    <w:rsid w:val="00D90CD9"/>
    <w:rsid w:val="00D915BF"/>
    <w:rsid w:val="00D93C50"/>
    <w:rsid w:val="00D95331"/>
    <w:rsid w:val="00D953E1"/>
    <w:rsid w:val="00D96AA0"/>
    <w:rsid w:val="00DA03AD"/>
    <w:rsid w:val="00DA11D5"/>
    <w:rsid w:val="00DA2357"/>
    <w:rsid w:val="00DA5FD5"/>
    <w:rsid w:val="00DA7DCA"/>
    <w:rsid w:val="00DB088B"/>
    <w:rsid w:val="00DB2E6D"/>
    <w:rsid w:val="00DB4B7A"/>
    <w:rsid w:val="00DB5871"/>
    <w:rsid w:val="00DB5AFF"/>
    <w:rsid w:val="00DB621D"/>
    <w:rsid w:val="00DB7D44"/>
    <w:rsid w:val="00DB7DBA"/>
    <w:rsid w:val="00DC021F"/>
    <w:rsid w:val="00DC27DA"/>
    <w:rsid w:val="00DC2F4C"/>
    <w:rsid w:val="00DC3ADE"/>
    <w:rsid w:val="00DC4610"/>
    <w:rsid w:val="00DC49D9"/>
    <w:rsid w:val="00DC4C29"/>
    <w:rsid w:val="00DC73DE"/>
    <w:rsid w:val="00DD0414"/>
    <w:rsid w:val="00DD209D"/>
    <w:rsid w:val="00DD4207"/>
    <w:rsid w:val="00DD61F4"/>
    <w:rsid w:val="00DD75FB"/>
    <w:rsid w:val="00DE0806"/>
    <w:rsid w:val="00DE088E"/>
    <w:rsid w:val="00DE4A84"/>
    <w:rsid w:val="00DE4C16"/>
    <w:rsid w:val="00DE4F79"/>
    <w:rsid w:val="00DE715D"/>
    <w:rsid w:val="00DF1FC0"/>
    <w:rsid w:val="00DF35E6"/>
    <w:rsid w:val="00DF4E03"/>
    <w:rsid w:val="00DF530F"/>
    <w:rsid w:val="00DF6381"/>
    <w:rsid w:val="00DF655C"/>
    <w:rsid w:val="00DF6BC0"/>
    <w:rsid w:val="00DF6E3E"/>
    <w:rsid w:val="00DF7B85"/>
    <w:rsid w:val="00E0099B"/>
    <w:rsid w:val="00E00FE0"/>
    <w:rsid w:val="00E0160D"/>
    <w:rsid w:val="00E02815"/>
    <w:rsid w:val="00E02DA7"/>
    <w:rsid w:val="00E050F2"/>
    <w:rsid w:val="00E056B8"/>
    <w:rsid w:val="00E06E79"/>
    <w:rsid w:val="00E072F2"/>
    <w:rsid w:val="00E074FE"/>
    <w:rsid w:val="00E1050C"/>
    <w:rsid w:val="00E11F20"/>
    <w:rsid w:val="00E12ADE"/>
    <w:rsid w:val="00E13B49"/>
    <w:rsid w:val="00E15F4C"/>
    <w:rsid w:val="00E1628C"/>
    <w:rsid w:val="00E16FF0"/>
    <w:rsid w:val="00E173C8"/>
    <w:rsid w:val="00E17982"/>
    <w:rsid w:val="00E2086C"/>
    <w:rsid w:val="00E2087C"/>
    <w:rsid w:val="00E20A2F"/>
    <w:rsid w:val="00E2111E"/>
    <w:rsid w:val="00E21E0D"/>
    <w:rsid w:val="00E22037"/>
    <w:rsid w:val="00E22621"/>
    <w:rsid w:val="00E2469B"/>
    <w:rsid w:val="00E24CCD"/>
    <w:rsid w:val="00E3265A"/>
    <w:rsid w:val="00E33230"/>
    <w:rsid w:val="00E34B45"/>
    <w:rsid w:val="00E35020"/>
    <w:rsid w:val="00E35D60"/>
    <w:rsid w:val="00E3706B"/>
    <w:rsid w:val="00E407B8"/>
    <w:rsid w:val="00E40FB4"/>
    <w:rsid w:val="00E417E6"/>
    <w:rsid w:val="00E42F22"/>
    <w:rsid w:val="00E43A43"/>
    <w:rsid w:val="00E442DB"/>
    <w:rsid w:val="00E449CC"/>
    <w:rsid w:val="00E44D53"/>
    <w:rsid w:val="00E4669C"/>
    <w:rsid w:val="00E46B94"/>
    <w:rsid w:val="00E46C2A"/>
    <w:rsid w:val="00E51938"/>
    <w:rsid w:val="00E55BE1"/>
    <w:rsid w:val="00E561E1"/>
    <w:rsid w:val="00E5657B"/>
    <w:rsid w:val="00E62146"/>
    <w:rsid w:val="00E66C71"/>
    <w:rsid w:val="00E70168"/>
    <w:rsid w:val="00E705B4"/>
    <w:rsid w:val="00E71893"/>
    <w:rsid w:val="00E721CA"/>
    <w:rsid w:val="00E72842"/>
    <w:rsid w:val="00E73929"/>
    <w:rsid w:val="00E73F05"/>
    <w:rsid w:val="00E7433D"/>
    <w:rsid w:val="00E7485E"/>
    <w:rsid w:val="00E7524C"/>
    <w:rsid w:val="00E768D2"/>
    <w:rsid w:val="00E76E16"/>
    <w:rsid w:val="00E80920"/>
    <w:rsid w:val="00E81313"/>
    <w:rsid w:val="00E81E75"/>
    <w:rsid w:val="00E82820"/>
    <w:rsid w:val="00E82D67"/>
    <w:rsid w:val="00E854A6"/>
    <w:rsid w:val="00E86524"/>
    <w:rsid w:val="00E86941"/>
    <w:rsid w:val="00E86F6A"/>
    <w:rsid w:val="00E92F77"/>
    <w:rsid w:val="00E95EFF"/>
    <w:rsid w:val="00E9762E"/>
    <w:rsid w:val="00E978DD"/>
    <w:rsid w:val="00E97ADA"/>
    <w:rsid w:val="00EA0831"/>
    <w:rsid w:val="00EA1E5E"/>
    <w:rsid w:val="00EA2B4D"/>
    <w:rsid w:val="00EA3CD6"/>
    <w:rsid w:val="00EA3EDB"/>
    <w:rsid w:val="00EA5385"/>
    <w:rsid w:val="00EA58D1"/>
    <w:rsid w:val="00EA79D8"/>
    <w:rsid w:val="00EB0A3F"/>
    <w:rsid w:val="00EB0C51"/>
    <w:rsid w:val="00EB2004"/>
    <w:rsid w:val="00EB4DC2"/>
    <w:rsid w:val="00EB6004"/>
    <w:rsid w:val="00EB689D"/>
    <w:rsid w:val="00EC0231"/>
    <w:rsid w:val="00EC1876"/>
    <w:rsid w:val="00EC305D"/>
    <w:rsid w:val="00EC3C67"/>
    <w:rsid w:val="00EC70B8"/>
    <w:rsid w:val="00EC7C5B"/>
    <w:rsid w:val="00ED25FB"/>
    <w:rsid w:val="00ED43B0"/>
    <w:rsid w:val="00ED5A18"/>
    <w:rsid w:val="00ED73F5"/>
    <w:rsid w:val="00EE380C"/>
    <w:rsid w:val="00EE4A1C"/>
    <w:rsid w:val="00EE5D44"/>
    <w:rsid w:val="00EE679F"/>
    <w:rsid w:val="00EF0239"/>
    <w:rsid w:val="00EF17B8"/>
    <w:rsid w:val="00EF1920"/>
    <w:rsid w:val="00EF2A69"/>
    <w:rsid w:val="00EF42DB"/>
    <w:rsid w:val="00EF4E4F"/>
    <w:rsid w:val="00EF5345"/>
    <w:rsid w:val="00EF5475"/>
    <w:rsid w:val="00EF5A2B"/>
    <w:rsid w:val="00EF6681"/>
    <w:rsid w:val="00EF6CD2"/>
    <w:rsid w:val="00F0012C"/>
    <w:rsid w:val="00F014FD"/>
    <w:rsid w:val="00F01C6D"/>
    <w:rsid w:val="00F032CE"/>
    <w:rsid w:val="00F04B5F"/>
    <w:rsid w:val="00F07A04"/>
    <w:rsid w:val="00F120A5"/>
    <w:rsid w:val="00F1243B"/>
    <w:rsid w:val="00F158EC"/>
    <w:rsid w:val="00F16100"/>
    <w:rsid w:val="00F163C2"/>
    <w:rsid w:val="00F200BB"/>
    <w:rsid w:val="00F2409F"/>
    <w:rsid w:val="00F24A53"/>
    <w:rsid w:val="00F25478"/>
    <w:rsid w:val="00F26C83"/>
    <w:rsid w:val="00F31C56"/>
    <w:rsid w:val="00F35980"/>
    <w:rsid w:val="00F36F20"/>
    <w:rsid w:val="00F372B9"/>
    <w:rsid w:val="00F37E51"/>
    <w:rsid w:val="00F4099D"/>
    <w:rsid w:val="00F410FE"/>
    <w:rsid w:val="00F41351"/>
    <w:rsid w:val="00F42597"/>
    <w:rsid w:val="00F4582F"/>
    <w:rsid w:val="00F4686D"/>
    <w:rsid w:val="00F4734F"/>
    <w:rsid w:val="00F4771B"/>
    <w:rsid w:val="00F47ABE"/>
    <w:rsid w:val="00F505A0"/>
    <w:rsid w:val="00F50695"/>
    <w:rsid w:val="00F50BFF"/>
    <w:rsid w:val="00F50CF2"/>
    <w:rsid w:val="00F5116B"/>
    <w:rsid w:val="00F521F0"/>
    <w:rsid w:val="00F529CB"/>
    <w:rsid w:val="00F52F2C"/>
    <w:rsid w:val="00F53071"/>
    <w:rsid w:val="00F55654"/>
    <w:rsid w:val="00F55978"/>
    <w:rsid w:val="00F55B95"/>
    <w:rsid w:val="00F5623F"/>
    <w:rsid w:val="00F5670D"/>
    <w:rsid w:val="00F57006"/>
    <w:rsid w:val="00F659BC"/>
    <w:rsid w:val="00F65E3E"/>
    <w:rsid w:val="00F70CAA"/>
    <w:rsid w:val="00F71887"/>
    <w:rsid w:val="00F73227"/>
    <w:rsid w:val="00F77183"/>
    <w:rsid w:val="00F82B80"/>
    <w:rsid w:val="00F837F0"/>
    <w:rsid w:val="00F846F8"/>
    <w:rsid w:val="00F863EF"/>
    <w:rsid w:val="00F869D6"/>
    <w:rsid w:val="00F87913"/>
    <w:rsid w:val="00F87B8D"/>
    <w:rsid w:val="00F87D4B"/>
    <w:rsid w:val="00F913D4"/>
    <w:rsid w:val="00F927EB"/>
    <w:rsid w:val="00F957DC"/>
    <w:rsid w:val="00F9594B"/>
    <w:rsid w:val="00F97B0B"/>
    <w:rsid w:val="00F97B3F"/>
    <w:rsid w:val="00F97FB2"/>
    <w:rsid w:val="00FA0086"/>
    <w:rsid w:val="00FA0B86"/>
    <w:rsid w:val="00FA0CC6"/>
    <w:rsid w:val="00FA1DDA"/>
    <w:rsid w:val="00FA3A88"/>
    <w:rsid w:val="00FA3C1C"/>
    <w:rsid w:val="00FA4255"/>
    <w:rsid w:val="00FA5080"/>
    <w:rsid w:val="00FA56DD"/>
    <w:rsid w:val="00FA64FC"/>
    <w:rsid w:val="00FA6A44"/>
    <w:rsid w:val="00FA6B16"/>
    <w:rsid w:val="00FB1930"/>
    <w:rsid w:val="00FB1CA2"/>
    <w:rsid w:val="00FB1F74"/>
    <w:rsid w:val="00FB21B3"/>
    <w:rsid w:val="00FB30AF"/>
    <w:rsid w:val="00FB368D"/>
    <w:rsid w:val="00FB44BD"/>
    <w:rsid w:val="00FB4522"/>
    <w:rsid w:val="00FB47AC"/>
    <w:rsid w:val="00FC047B"/>
    <w:rsid w:val="00FC1C32"/>
    <w:rsid w:val="00FC24CA"/>
    <w:rsid w:val="00FC37F6"/>
    <w:rsid w:val="00FC3E9E"/>
    <w:rsid w:val="00FC4A18"/>
    <w:rsid w:val="00FC64E4"/>
    <w:rsid w:val="00FC6880"/>
    <w:rsid w:val="00FC696E"/>
    <w:rsid w:val="00FC76CA"/>
    <w:rsid w:val="00FC7D44"/>
    <w:rsid w:val="00FD082A"/>
    <w:rsid w:val="00FD13BE"/>
    <w:rsid w:val="00FD19F9"/>
    <w:rsid w:val="00FD4C5C"/>
    <w:rsid w:val="00FD4D95"/>
    <w:rsid w:val="00FD61E7"/>
    <w:rsid w:val="00FD6543"/>
    <w:rsid w:val="00FD68AD"/>
    <w:rsid w:val="00FD6ADF"/>
    <w:rsid w:val="00FD6CC6"/>
    <w:rsid w:val="00FD743C"/>
    <w:rsid w:val="00FE0688"/>
    <w:rsid w:val="00FE3AEF"/>
    <w:rsid w:val="00FE51D0"/>
    <w:rsid w:val="00FE5C8B"/>
    <w:rsid w:val="00FE6DBC"/>
    <w:rsid w:val="00FE7135"/>
    <w:rsid w:val="00FE7406"/>
    <w:rsid w:val="00FF019E"/>
    <w:rsid w:val="00FF1F95"/>
    <w:rsid w:val="00FF255A"/>
    <w:rsid w:val="00FF2CB7"/>
    <w:rsid w:val="00FF4170"/>
    <w:rsid w:val="00FF4ED6"/>
    <w:rsid w:val="00FF6C2D"/>
    <w:rsid w:val="00FF7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27"/>
    <o:shapelayout v:ext="edit">
      <o:idmap v:ext="edit" data="1"/>
    </o:shapelayout>
  </w:shapeDefaults>
  <w:decimalSymbol w:val="."/>
  <w:listSeparator w:val=","/>
  <w14:docId w14:val="46AD2513"/>
  <w15:docId w15:val="{A1C7AC6E-840A-4ECC-9ED7-091CE9864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08C"/>
    <w:rPr>
      <w:rFonts w:ascii="Arial" w:hAnsi="Arial"/>
      <w:szCs w:val="24"/>
      <w:lang w:val="en-AU" w:eastAsia="en-AU"/>
    </w:rPr>
  </w:style>
  <w:style w:type="paragraph" w:styleId="Heading1">
    <w:name w:val="heading 1"/>
    <w:basedOn w:val="Normal"/>
    <w:next w:val="Normal"/>
    <w:uiPriority w:val="99"/>
    <w:qFormat/>
    <w:rsid w:val="00E72842"/>
    <w:pPr>
      <w:keepNext/>
      <w:numPr>
        <w:numId w:val="2"/>
      </w:numPr>
      <w:spacing w:before="100" w:after="200"/>
      <w:outlineLvl w:val="0"/>
    </w:pPr>
    <w:rPr>
      <w:rFonts w:cs="Arial"/>
      <w:b/>
      <w:bCs/>
      <w:kern w:val="32"/>
      <w:sz w:val="32"/>
      <w:szCs w:val="32"/>
    </w:rPr>
  </w:style>
  <w:style w:type="paragraph" w:styleId="Heading2">
    <w:name w:val="heading 2"/>
    <w:basedOn w:val="Normal"/>
    <w:next w:val="Normal"/>
    <w:uiPriority w:val="99"/>
    <w:qFormat/>
    <w:rsid w:val="00E72842"/>
    <w:pPr>
      <w:keepNext/>
      <w:numPr>
        <w:ilvl w:val="1"/>
        <w:numId w:val="2"/>
      </w:numPr>
      <w:spacing w:before="100" w:after="200"/>
      <w:outlineLvl w:val="1"/>
    </w:pPr>
    <w:rPr>
      <w:rFonts w:cs="Arial"/>
      <w:b/>
      <w:bCs/>
      <w:iCs/>
      <w:sz w:val="28"/>
      <w:szCs w:val="28"/>
    </w:rPr>
  </w:style>
  <w:style w:type="paragraph" w:styleId="Heading3">
    <w:name w:val="heading 3"/>
    <w:basedOn w:val="Normal"/>
    <w:next w:val="Normal"/>
    <w:uiPriority w:val="99"/>
    <w:qFormat/>
    <w:rsid w:val="00E72842"/>
    <w:pPr>
      <w:keepNext/>
      <w:numPr>
        <w:ilvl w:val="2"/>
        <w:numId w:val="2"/>
      </w:numPr>
      <w:spacing w:before="100" w:after="200"/>
      <w:outlineLvl w:val="2"/>
    </w:pPr>
    <w:rPr>
      <w:rFonts w:cs="Arial"/>
      <w:b/>
      <w:bCs/>
      <w:sz w:val="24"/>
      <w:szCs w:val="26"/>
    </w:rPr>
  </w:style>
  <w:style w:type="paragraph" w:styleId="Heading4">
    <w:name w:val="heading 4"/>
    <w:basedOn w:val="Normal"/>
    <w:next w:val="Normal"/>
    <w:qFormat/>
    <w:rsid w:val="00AD75C3"/>
    <w:pPr>
      <w:keepNext/>
      <w:numPr>
        <w:ilvl w:val="3"/>
        <w:numId w:val="2"/>
      </w:numPr>
      <w:spacing w:before="240" w:after="60"/>
      <w:outlineLvl w:val="3"/>
    </w:pPr>
    <w:rPr>
      <w:b/>
      <w:bCs/>
      <w:sz w:val="22"/>
      <w:szCs w:val="28"/>
    </w:rPr>
  </w:style>
  <w:style w:type="paragraph" w:styleId="Heading5">
    <w:name w:val="heading 5"/>
    <w:basedOn w:val="Normal"/>
    <w:next w:val="Normal"/>
    <w:uiPriority w:val="99"/>
    <w:qFormat/>
    <w:rsid w:val="00DB2E6D"/>
    <w:pPr>
      <w:spacing w:before="240" w:after="60"/>
      <w:outlineLvl w:val="4"/>
    </w:pPr>
    <w:rPr>
      <w:b/>
      <w:bCs/>
      <w:i/>
      <w:iCs/>
      <w:sz w:val="26"/>
      <w:szCs w:val="26"/>
    </w:rPr>
  </w:style>
  <w:style w:type="paragraph" w:styleId="Heading6">
    <w:name w:val="heading 6"/>
    <w:basedOn w:val="Normal"/>
    <w:next w:val="Normal"/>
    <w:uiPriority w:val="99"/>
    <w:qFormat/>
    <w:rsid w:val="00DB2E6D"/>
    <w:pPr>
      <w:spacing w:before="240" w:after="60"/>
      <w:outlineLvl w:val="5"/>
    </w:pPr>
    <w:rPr>
      <w:rFonts w:ascii="Times New Roman" w:hAnsi="Times New Roman"/>
      <w:b/>
      <w:bCs/>
      <w:sz w:val="22"/>
      <w:szCs w:val="22"/>
    </w:rPr>
  </w:style>
  <w:style w:type="paragraph" w:styleId="Heading7">
    <w:name w:val="heading 7"/>
    <w:basedOn w:val="Normal"/>
    <w:next w:val="Normal"/>
    <w:uiPriority w:val="99"/>
    <w:qFormat/>
    <w:rsid w:val="00642FF7"/>
    <w:pPr>
      <w:spacing w:before="100" w:after="200"/>
      <w:ind w:left="1701" w:hanging="1701"/>
      <w:outlineLvl w:val="6"/>
    </w:pPr>
    <w:rPr>
      <w:b/>
    </w:rPr>
  </w:style>
  <w:style w:type="paragraph" w:styleId="Heading8">
    <w:name w:val="heading 8"/>
    <w:basedOn w:val="Normal"/>
    <w:next w:val="Normal"/>
    <w:link w:val="Heading8Char"/>
    <w:uiPriority w:val="99"/>
    <w:qFormat/>
    <w:rsid w:val="00664D6D"/>
    <w:pPr>
      <w:tabs>
        <w:tab w:val="left" w:pos="1159"/>
      </w:tabs>
      <w:spacing w:before="100" w:after="200"/>
      <w:ind w:left="1159" w:hanging="1159"/>
      <w:outlineLvl w:val="7"/>
    </w:pPr>
    <w:rPr>
      <w:b/>
      <w:iCs/>
      <w:sz w:val="16"/>
    </w:rPr>
  </w:style>
  <w:style w:type="paragraph" w:styleId="Heading9">
    <w:name w:val="heading 9"/>
    <w:basedOn w:val="Normal"/>
    <w:next w:val="Normal"/>
    <w:link w:val="Heading9Char"/>
    <w:uiPriority w:val="99"/>
    <w:qFormat/>
    <w:rsid w:val="00966CE3"/>
    <w:pPr>
      <w:tabs>
        <w:tab w:val="num" w:pos="1584"/>
      </w:tabs>
      <w:spacing w:before="240" w:after="60"/>
      <w:ind w:left="1584" w:hanging="1584"/>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numbering" w:styleId="1ai">
    <w:name w:val="Outline List 1"/>
    <w:basedOn w:val="NoList"/>
    <w:rsid w:val="009F0D69"/>
    <w:pPr>
      <w:numPr>
        <w:numId w:val="1"/>
      </w:numPr>
    </w:pPr>
  </w:style>
  <w:style w:type="numbering" w:customStyle="1" w:styleId="StyleNumbered">
    <w:name w:val="Style Numbered"/>
    <w:basedOn w:val="NoList"/>
    <w:rsid w:val="00080FAC"/>
    <w:pPr>
      <w:numPr>
        <w:numId w:val="3"/>
      </w:numPr>
    </w:pPr>
  </w:style>
  <w:style w:type="numbering" w:customStyle="1" w:styleId="StyleNumbered2">
    <w:name w:val="Style Numbered2"/>
    <w:basedOn w:val="NoList"/>
    <w:rsid w:val="00E72842"/>
    <w:pPr>
      <w:numPr>
        <w:numId w:val="5"/>
      </w:numPr>
    </w:pPr>
  </w:style>
  <w:style w:type="paragraph" w:styleId="Header">
    <w:name w:val="header"/>
    <w:basedOn w:val="Normal"/>
    <w:rsid w:val="00F120A5"/>
    <w:pPr>
      <w:tabs>
        <w:tab w:val="center" w:pos="4153"/>
        <w:tab w:val="right" w:pos="8306"/>
      </w:tabs>
    </w:pPr>
  </w:style>
  <w:style w:type="paragraph" w:styleId="Footer">
    <w:name w:val="footer"/>
    <w:basedOn w:val="Normal"/>
    <w:link w:val="FooterChar"/>
    <w:rsid w:val="00F120A5"/>
    <w:pPr>
      <w:tabs>
        <w:tab w:val="center" w:pos="4153"/>
        <w:tab w:val="right" w:pos="8306"/>
      </w:tabs>
    </w:pPr>
  </w:style>
  <w:style w:type="paragraph" w:styleId="TOC1">
    <w:name w:val="toc 1"/>
    <w:basedOn w:val="Normal"/>
    <w:next w:val="Normal"/>
    <w:autoRedefine/>
    <w:uiPriority w:val="39"/>
    <w:rsid w:val="00F120A5"/>
    <w:pPr>
      <w:spacing w:before="100" w:after="200"/>
      <w:ind w:left="851" w:hanging="851"/>
    </w:pPr>
    <w:rPr>
      <w:b/>
      <w:sz w:val="22"/>
    </w:rPr>
  </w:style>
  <w:style w:type="paragraph" w:styleId="TOC2">
    <w:name w:val="toc 2"/>
    <w:basedOn w:val="Normal"/>
    <w:next w:val="Normal"/>
    <w:autoRedefine/>
    <w:uiPriority w:val="39"/>
    <w:rsid w:val="00F120A5"/>
    <w:pPr>
      <w:spacing w:before="60" w:after="60"/>
      <w:ind w:left="851" w:hanging="851"/>
    </w:pPr>
    <w:rPr>
      <w:b/>
    </w:rPr>
  </w:style>
  <w:style w:type="paragraph" w:styleId="TOC3">
    <w:name w:val="toc 3"/>
    <w:basedOn w:val="Normal"/>
    <w:next w:val="Normal"/>
    <w:autoRedefine/>
    <w:uiPriority w:val="39"/>
    <w:rsid w:val="00C0595A"/>
    <w:pPr>
      <w:tabs>
        <w:tab w:val="left" w:pos="1843"/>
        <w:tab w:val="right" w:leader="dot" w:pos="8505"/>
      </w:tabs>
      <w:ind w:left="1843" w:hanging="992"/>
    </w:pPr>
    <w:rPr>
      <w:noProof/>
      <w:sz w:val="18"/>
    </w:rPr>
  </w:style>
  <w:style w:type="numbering" w:customStyle="1" w:styleId="StyleStyleNumberedOutlinenumberedArial">
    <w:name w:val="Style Style Numbered + Outline numbered Arial"/>
    <w:basedOn w:val="NoList"/>
    <w:rsid w:val="00080FAC"/>
    <w:pPr>
      <w:numPr>
        <w:numId w:val="7"/>
      </w:numPr>
    </w:pPr>
  </w:style>
  <w:style w:type="character" w:styleId="PageNumber">
    <w:name w:val="page number"/>
    <w:basedOn w:val="DefaultParagraphFont"/>
    <w:rsid w:val="00F04B5F"/>
  </w:style>
  <w:style w:type="numbering" w:customStyle="1" w:styleId="StyleStyleNumberedOutlinenumberedArial1">
    <w:name w:val="Style Style Numbered + Outline numbered Arial1"/>
    <w:basedOn w:val="NoList"/>
    <w:rsid w:val="00080FAC"/>
    <w:pPr>
      <w:numPr>
        <w:numId w:val="8"/>
      </w:numPr>
    </w:pPr>
  </w:style>
  <w:style w:type="numbering" w:customStyle="1" w:styleId="StyleStyleNumberedOutlinenumberedArial2">
    <w:name w:val="Style Style Numbered + Outline numbered Arial2"/>
    <w:basedOn w:val="NoList"/>
    <w:rsid w:val="00080FAC"/>
    <w:pPr>
      <w:numPr>
        <w:numId w:val="9"/>
      </w:numPr>
    </w:pPr>
  </w:style>
  <w:style w:type="numbering" w:customStyle="1" w:styleId="StyleStyleNumberedOutlinenumberedArial3">
    <w:name w:val="Style Style Numbered + Outline numbered Arial3"/>
    <w:basedOn w:val="NoList"/>
    <w:rsid w:val="00080FAC"/>
    <w:pPr>
      <w:numPr>
        <w:numId w:val="10"/>
      </w:numPr>
    </w:pPr>
  </w:style>
  <w:style w:type="paragraph" w:styleId="FootnoteText">
    <w:name w:val="footnote text"/>
    <w:basedOn w:val="Normal"/>
    <w:semiHidden/>
    <w:rsid w:val="003571BA"/>
    <w:rPr>
      <w:szCs w:val="20"/>
    </w:rPr>
  </w:style>
  <w:style w:type="character" w:styleId="FootnoteReference">
    <w:name w:val="footnote reference"/>
    <w:semiHidden/>
    <w:rsid w:val="003571BA"/>
    <w:rPr>
      <w:vertAlign w:val="superscript"/>
    </w:rPr>
  </w:style>
  <w:style w:type="numbering" w:customStyle="1" w:styleId="StyleNumbered1">
    <w:name w:val="Style Numbered1"/>
    <w:basedOn w:val="NoList"/>
    <w:rsid w:val="00264E47"/>
    <w:pPr>
      <w:numPr>
        <w:numId w:val="11"/>
      </w:numPr>
    </w:pPr>
  </w:style>
  <w:style w:type="numbering" w:customStyle="1" w:styleId="StyleNumbered3">
    <w:name w:val="Style Numbered3"/>
    <w:basedOn w:val="NoList"/>
    <w:rsid w:val="00264E47"/>
    <w:pPr>
      <w:numPr>
        <w:numId w:val="12"/>
      </w:numPr>
    </w:pPr>
  </w:style>
  <w:style w:type="table" w:styleId="TableGrid">
    <w:name w:val="Table Grid"/>
    <w:basedOn w:val="TableNormal"/>
    <w:rsid w:val="00347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Hyperlink">
    <w:name w:val="Hyperlink"/>
    <w:rsid w:val="00DB2E6D"/>
    <w:rPr>
      <w:color w:val="0000FF"/>
      <w:u w:val="single"/>
    </w:rPr>
  </w:style>
  <w:style w:type="paragraph" w:styleId="TOC7">
    <w:name w:val="toc 7"/>
    <w:basedOn w:val="Normal"/>
    <w:next w:val="Normal"/>
    <w:autoRedefine/>
    <w:uiPriority w:val="39"/>
    <w:rsid w:val="00FF6C2D"/>
    <w:pPr>
      <w:tabs>
        <w:tab w:val="right" w:leader="dot" w:pos="8505"/>
      </w:tabs>
      <w:ind w:left="1418" w:hanging="1418"/>
    </w:pPr>
    <w:rPr>
      <w:sz w:val="18"/>
    </w:rPr>
  </w:style>
  <w:style w:type="character" w:styleId="Emphasis">
    <w:name w:val="Emphasis"/>
    <w:qFormat/>
    <w:rsid w:val="001C63EC"/>
    <w:rPr>
      <w:i/>
      <w:iCs/>
    </w:rPr>
  </w:style>
  <w:style w:type="paragraph" w:styleId="ListParagraph">
    <w:name w:val="List Paragraph"/>
    <w:basedOn w:val="Normal"/>
    <w:qFormat/>
    <w:rsid w:val="007F7B0B"/>
    <w:pPr>
      <w:ind w:left="720"/>
    </w:pPr>
  </w:style>
  <w:style w:type="character" w:styleId="CommentReference">
    <w:name w:val="annotation reference"/>
    <w:rsid w:val="007F7B0B"/>
    <w:rPr>
      <w:sz w:val="16"/>
      <w:szCs w:val="16"/>
    </w:rPr>
  </w:style>
  <w:style w:type="paragraph" w:styleId="CommentText">
    <w:name w:val="annotation text"/>
    <w:basedOn w:val="Normal"/>
    <w:link w:val="CommentTextChar"/>
    <w:uiPriority w:val="99"/>
    <w:rsid w:val="007F7B0B"/>
    <w:rPr>
      <w:szCs w:val="20"/>
    </w:rPr>
  </w:style>
  <w:style w:type="character" w:customStyle="1" w:styleId="CommentTextChar">
    <w:name w:val="Comment Text Char"/>
    <w:link w:val="CommentText"/>
    <w:uiPriority w:val="99"/>
    <w:rsid w:val="007F7B0B"/>
    <w:rPr>
      <w:rFonts w:ascii="Arial" w:hAnsi="Arial"/>
    </w:rPr>
  </w:style>
  <w:style w:type="paragraph" w:styleId="BalloonText">
    <w:name w:val="Balloon Text"/>
    <w:basedOn w:val="Normal"/>
    <w:link w:val="BalloonTextChar"/>
    <w:rsid w:val="007F7B0B"/>
    <w:rPr>
      <w:rFonts w:ascii="Tahoma" w:hAnsi="Tahoma"/>
      <w:sz w:val="16"/>
      <w:szCs w:val="16"/>
    </w:rPr>
  </w:style>
  <w:style w:type="character" w:customStyle="1" w:styleId="BalloonTextChar">
    <w:name w:val="Balloon Text Char"/>
    <w:link w:val="BalloonText"/>
    <w:rsid w:val="007F7B0B"/>
    <w:rPr>
      <w:rFonts w:ascii="Tahoma" w:hAnsi="Tahoma" w:cs="Tahoma"/>
      <w:sz w:val="16"/>
      <w:szCs w:val="16"/>
    </w:rPr>
  </w:style>
  <w:style w:type="character" w:customStyle="1" w:styleId="ReportbodytextChar">
    <w:name w:val="Report body text Char"/>
    <w:link w:val="Reportbodytext"/>
    <w:locked/>
    <w:rsid w:val="00676BC2"/>
    <w:rPr>
      <w:rFonts w:ascii="Arial" w:hAnsi="Arial" w:cs="Arial"/>
      <w:sz w:val="24"/>
      <w:szCs w:val="24"/>
      <w:lang w:eastAsia="en-US"/>
    </w:rPr>
  </w:style>
  <w:style w:type="paragraph" w:customStyle="1" w:styleId="Reportbodytext">
    <w:name w:val="Report body text"/>
    <w:basedOn w:val="Normal"/>
    <w:link w:val="ReportbodytextChar"/>
    <w:rsid w:val="00676BC2"/>
    <w:rPr>
      <w:sz w:val="24"/>
      <w:lang w:eastAsia="en-US"/>
    </w:rPr>
  </w:style>
  <w:style w:type="paragraph" w:styleId="TOC4">
    <w:name w:val="toc 4"/>
    <w:basedOn w:val="Normal"/>
    <w:next w:val="Normal"/>
    <w:autoRedefine/>
    <w:uiPriority w:val="39"/>
    <w:rsid w:val="001E4775"/>
    <w:pPr>
      <w:tabs>
        <w:tab w:val="left" w:pos="2835"/>
        <w:tab w:val="right" w:leader="dot" w:pos="8302"/>
      </w:tabs>
      <w:ind w:left="2835" w:hanging="992"/>
    </w:pPr>
    <w:rPr>
      <w:sz w:val="18"/>
    </w:rPr>
  </w:style>
  <w:style w:type="paragraph" w:styleId="CommentSubject">
    <w:name w:val="annotation subject"/>
    <w:basedOn w:val="CommentText"/>
    <w:next w:val="CommentText"/>
    <w:link w:val="CommentSubjectChar"/>
    <w:rsid w:val="00E449CC"/>
    <w:rPr>
      <w:b/>
      <w:bCs/>
    </w:rPr>
  </w:style>
  <w:style w:type="character" w:customStyle="1" w:styleId="CommentSubjectChar">
    <w:name w:val="Comment Subject Char"/>
    <w:link w:val="CommentSubject"/>
    <w:rsid w:val="00E449CC"/>
    <w:rPr>
      <w:rFonts w:ascii="Arial" w:hAnsi="Arial"/>
      <w:b/>
      <w:bCs/>
    </w:rPr>
  </w:style>
  <w:style w:type="character" w:customStyle="1" w:styleId="Heading8Char">
    <w:name w:val="Heading 8 Char"/>
    <w:link w:val="Heading8"/>
    <w:uiPriority w:val="99"/>
    <w:rsid w:val="00664D6D"/>
    <w:rPr>
      <w:rFonts w:ascii="Arial" w:hAnsi="Arial"/>
      <w:b/>
      <w:iCs/>
      <w:sz w:val="16"/>
      <w:szCs w:val="24"/>
      <w:lang w:val="en-AU" w:eastAsia="en-AU"/>
    </w:rPr>
  </w:style>
  <w:style w:type="character" w:customStyle="1" w:styleId="Heading9Char">
    <w:name w:val="Heading 9 Char"/>
    <w:link w:val="Heading9"/>
    <w:uiPriority w:val="99"/>
    <w:rsid w:val="00966CE3"/>
    <w:rPr>
      <w:rFonts w:ascii="Arial" w:hAnsi="Arial" w:cs="Arial"/>
      <w:sz w:val="22"/>
      <w:szCs w:val="22"/>
      <w:lang w:eastAsia="en-US"/>
    </w:rPr>
  </w:style>
  <w:style w:type="paragraph" w:customStyle="1" w:styleId="ReportNormalText">
    <w:name w:val="Report Normal Text"/>
    <w:basedOn w:val="Normal"/>
    <w:uiPriority w:val="99"/>
    <w:rsid w:val="00966CE3"/>
    <w:pPr>
      <w:spacing w:after="120" w:line="240" w:lineRule="exact"/>
      <w:ind w:left="1134"/>
      <w:jc w:val="both"/>
    </w:pPr>
    <w:rPr>
      <w:rFonts w:ascii="Verdana" w:hAnsi="Verdana"/>
      <w:sz w:val="18"/>
      <w:szCs w:val="20"/>
      <w:lang w:eastAsia="en-US"/>
    </w:rPr>
  </w:style>
  <w:style w:type="character" w:styleId="Strong">
    <w:name w:val="Strong"/>
    <w:qFormat/>
    <w:rsid w:val="002D36DD"/>
    <w:rPr>
      <w:b/>
      <w:bCs/>
    </w:rPr>
  </w:style>
  <w:style w:type="paragraph" w:styleId="TOC8">
    <w:name w:val="toc 8"/>
    <w:basedOn w:val="Normal"/>
    <w:next w:val="Normal"/>
    <w:autoRedefine/>
    <w:uiPriority w:val="39"/>
    <w:rsid w:val="001A136E"/>
    <w:pPr>
      <w:tabs>
        <w:tab w:val="right" w:leader="dot" w:pos="8505"/>
      </w:tabs>
      <w:ind w:left="1843" w:hanging="1843"/>
    </w:pPr>
    <w:rPr>
      <w:sz w:val="18"/>
    </w:rPr>
  </w:style>
  <w:style w:type="paragraph" w:styleId="Revision">
    <w:name w:val="Revision"/>
    <w:hidden/>
    <w:uiPriority w:val="99"/>
    <w:semiHidden/>
    <w:rsid w:val="00BB15FB"/>
    <w:rPr>
      <w:rFonts w:ascii="Arial" w:hAnsi="Arial"/>
      <w:szCs w:val="24"/>
      <w:lang w:val="en-AU" w:eastAsia="en-AU"/>
    </w:rPr>
  </w:style>
  <w:style w:type="paragraph" w:styleId="NormalWeb">
    <w:name w:val="Normal (Web)"/>
    <w:basedOn w:val="Normal"/>
    <w:uiPriority w:val="99"/>
    <w:semiHidden/>
    <w:unhideWhenUsed/>
    <w:rsid w:val="004353DC"/>
    <w:pPr>
      <w:spacing w:before="100" w:beforeAutospacing="1" w:after="100" w:afterAutospacing="1"/>
    </w:pPr>
    <w:rPr>
      <w:rFonts w:ascii="Times New Roman" w:eastAsiaTheme="minorEastAsia" w:hAnsi="Times New Roman"/>
      <w:sz w:val="24"/>
    </w:rPr>
  </w:style>
  <w:style w:type="paragraph" w:styleId="TOC6">
    <w:name w:val="toc 6"/>
    <w:basedOn w:val="Normal"/>
    <w:next w:val="Normal"/>
    <w:autoRedefine/>
    <w:uiPriority w:val="39"/>
    <w:unhideWhenUsed/>
    <w:rsid w:val="00C9701D"/>
    <w:pPr>
      <w:spacing w:after="100"/>
      <w:ind w:left="1000"/>
    </w:pPr>
  </w:style>
  <w:style w:type="paragraph" w:styleId="TOC5">
    <w:name w:val="toc 5"/>
    <w:basedOn w:val="Normal"/>
    <w:next w:val="Normal"/>
    <w:autoRedefine/>
    <w:uiPriority w:val="39"/>
    <w:unhideWhenUsed/>
    <w:rsid w:val="00C9701D"/>
    <w:pPr>
      <w:spacing w:after="100" w:line="259" w:lineRule="auto"/>
      <w:ind w:left="88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C9701D"/>
    <w:pPr>
      <w:spacing w:after="100" w:line="259" w:lineRule="auto"/>
      <w:ind w:left="1760"/>
    </w:pPr>
    <w:rPr>
      <w:rFonts w:asciiTheme="minorHAnsi" w:eastAsiaTheme="minorEastAsia" w:hAnsiTheme="minorHAnsi" w:cstheme="minorBidi"/>
      <w:sz w:val="22"/>
      <w:szCs w:val="22"/>
    </w:rPr>
  </w:style>
  <w:style w:type="paragraph" w:styleId="TableofFigures">
    <w:name w:val="table of figures"/>
    <w:basedOn w:val="Normal"/>
    <w:next w:val="Normal"/>
    <w:semiHidden/>
    <w:unhideWhenUsed/>
    <w:rsid w:val="00C9701D"/>
  </w:style>
  <w:style w:type="character" w:customStyle="1" w:styleId="ms-rtestyle-note1">
    <w:name w:val="ms-rtestyle-note1"/>
    <w:basedOn w:val="DefaultParagraphFont"/>
    <w:rsid w:val="00EA3EDB"/>
    <w:rPr>
      <w:sz w:val="17"/>
      <w:szCs w:val="17"/>
    </w:rPr>
  </w:style>
  <w:style w:type="character" w:customStyle="1" w:styleId="FooterChar">
    <w:name w:val="Footer Char"/>
    <w:link w:val="Footer"/>
    <w:rsid w:val="00284A6F"/>
    <w:rPr>
      <w:rFonts w:ascii="Arial" w:hAnsi="Arial"/>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965156">
      <w:bodyDiv w:val="1"/>
      <w:marLeft w:val="0"/>
      <w:marRight w:val="0"/>
      <w:marTop w:val="0"/>
      <w:marBottom w:val="0"/>
      <w:divBdr>
        <w:top w:val="none" w:sz="0" w:space="0" w:color="auto"/>
        <w:left w:val="none" w:sz="0" w:space="0" w:color="auto"/>
        <w:bottom w:val="none" w:sz="0" w:space="0" w:color="auto"/>
        <w:right w:val="none" w:sz="0" w:space="0" w:color="auto"/>
      </w:divBdr>
    </w:div>
    <w:div w:id="83422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01C36334CADD41E78FEF536D1E1DA2E9" version="1.0.0">
  <systemFields>
    <field name="Objective-Id">
      <value order="0">A4906181</value>
    </field>
    <field name="Objective-Title">
      <value order="0">BRPS Part 6 Zone codes - Adopted Version 5.0</value>
    </field>
    <field name="Objective-Description">
      <value order="0"/>
    </field>
    <field name="Objective-CreationStamp">
      <value order="0">2019-12-06T03:06:41Z</value>
    </field>
    <field name="Objective-IsApproved">
      <value order="0">false</value>
    </field>
    <field name="Objective-IsPublished">
      <value order="0">true</value>
    </field>
    <field name="Objective-DatePublished">
      <value order="0">2020-01-20T03:40:57Z</value>
    </field>
    <field name="Objective-ModificationStamp">
      <value order="0">2020-01-20T03:40:57Z</value>
    </field>
    <field name="Objective-Owner">
      <value order="0">Hugh Byrnes</value>
    </field>
    <field name="Objective-Path">
      <value order="0">BRC Global Folder:Projects:Development:Project Folders - Development:Bundaberg Region Planning Scheme:Amendment 5 - Major Amendment:Versions 5 &amp; 6 Combined</value>
    </field>
    <field name="Objective-Parent">
      <value order="0">Versions 5 &amp; 6 Combined</value>
    </field>
    <field name="Objective-State">
      <value order="0">Published</value>
    </field>
    <field name="Objective-VersionId">
      <value order="0">vA5694082</value>
    </field>
    <field name="Objective-Version">
      <value order="0">2.0</value>
    </field>
    <field name="Objective-VersionNumber">
      <value order="0">6</value>
    </field>
    <field name="Objective-VersionComment">
      <value order="0"/>
    </field>
    <field name="Objective-FileNumber">
      <value order="0">qA1021244</value>
    </field>
    <field name="Objective-Classification">
      <value order="0">Unclassified</value>
    </field>
    <field name="Objective-Caveats">
      <value order="0"/>
    </field>
  </systemFields>
  <catalogues>
    <catalogue name="BRC Document Type Catalogue" type="type" ori="id:cA30">
      <field name="Objective-Legal Register Number">
        <value order="0"/>
      </field>
      <field name="Objective-Fully Formatted Account ID">
        <value order="0"/>
      </field>
      <field name="Objective-Description/Precis">
        <value order="0"/>
      </field>
      <field name="Objective-NAR ID">
        <value order="0"/>
      </field>
      <field name="Objective-NAR Name">
        <value order="0"/>
      </field>
      <field name="Objective-Parcel ID">
        <value order="0"/>
      </field>
      <field name="Objective-Property Address">
        <value order="0"/>
      </field>
      <field name="Objective-Other Reference Number">
        <value order="0"/>
      </field>
      <field name="Objective-Asset Facility">
        <value order="0"/>
      </field>
      <field name="Objective-Referenced Document/s">
        <value order="0"/>
      </field>
      <field name="Objective-Box Number">
        <value order="0"/>
      </field>
      <field name="Objective-Hard-copy Sent To">
        <value order="0"/>
      </field>
      <field name="Objective-Hard-copy Sent">
        <value order="0"/>
      </field>
      <field name="Objective-Hard-copy Returned">
        <value order="0"/>
      </field>
      <field name="Objective-Mail Notification Sent">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01C36334CADD41E78FEF536D1E1DA2E9"/>
  </ds:schemaRefs>
</ds:datastoreItem>
</file>

<file path=customXml/itemProps2.xml><?xml version="1.0" encoding="utf-8"?>
<ds:datastoreItem xmlns:ds="http://schemas.openxmlformats.org/officeDocument/2006/customXml" ds:itemID="{6FD0315E-8301-4D97-8101-2728A8E52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1079</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6</vt:lpstr>
    </vt:vector>
  </TitlesOfParts>
  <Company>MSC</Company>
  <LinksUpToDate>false</LinksUpToDate>
  <CharactersWithSpaces>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subject/>
  <dc:creator>Bundaberg Regional Council</dc:creator>
  <cp:keywords/>
  <dc:description/>
  <cp:lastModifiedBy>Bethany Williams-Holthouse</cp:lastModifiedBy>
  <cp:revision>3</cp:revision>
  <cp:lastPrinted>2020-01-20T01:12:00Z</cp:lastPrinted>
  <dcterms:created xsi:type="dcterms:W3CDTF">2023-03-15T00:07:00Z</dcterms:created>
  <dcterms:modified xsi:type="dcterms:W3CDTF">2023-03-15T00:16:00Z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A4906181</vt:lpwstr>
  </property>
  <property fmtid="{D5CDD505-2E9C-101B-9397-08002B2CF9AE}" pid="4" name="Objective-Title">
    <vt:lpwstr>BRPS Part 6 Zone codes - Adopted Version 5.0</vt:lpwstr>
  </property>
  <property fmtid="{D5CDD505-2E9C-101B-9397-08002B2CF9AE}" pid="5" name="Objective-Comment">
    <vt:lpwstr/>
  </property>
  <property fmtid="{D5CDD505-2E9C-101B-9397-08002B2CF9AE}" pid="6" name="Objective-CreationStamp">
    <vt:filetime>2019-12-09T23:46:32Z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2020-01-20T03:40:57Z</vt:filetime>
  </property>
  <property fmtid="{D5CDD505-2E9C-101B-9397-08002B2CF9AE}" pid="10" name="Objective-ModificationStamp">
    <vt:filetime>2020-01-20T03:40:57Z</vt:filetime>
  </property>
  <property fmtid="{D5CDD505-2E9C-101B-9397-08002B2CF9AE}" pid="11" name="Objective-Owner">
    <vt:lpwstr>Hugh Byrnes</vt:lpwstr>
  </property>
  <property fmtid="{D5CDD505-2E9C-101B-9397-08002B2CF9AE}" pid="12" name="Objective-Path">
    <vt:lpwstr>BRC Global Folder:Projects:Development:Project Folders - Development:Bundaberg Region Planning Scheme:Amendment 5 - Major Amendment:Versions 5 &amp; 6 Combined:</vt:lpwstr>
  </property>
  <property fmtid="{D5CDD505-2E9C-101B-9397-08002B2CF9AE}" pid="13" name="Objective-Parent">
    <vt:lpwstr>Versions 5 &amp; 6 Combined</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qA1021244</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Legal Register Number [system]">
    <vt:lpwstr/>
  </property>
  <property fmtid="{D5CDD505-2E9C-101B-9397-08002B2CF9AE}" pid="22" name="Objective-Fully Formatted Account ID [system]">
    <vt:lpwstr/>
  </property>
  <property fmtid="{D5CDD505-2E9C-101B-9397-08002B2CF9AE}" pid="23" name="Objective-Description/Precis [system]">
    <vt:lpwstr/>
  </property>
  <property fmtid="{D5CDD505-2E9C-101B-9397-08002B2CF9AE}" pid="24" name="Objective-NAR ID [system]">
    <vt:lpwstr/>
  </property>
  <property fmtid="{D5CDD505-2E9C-101B-9397-08002B2CF9AE}" pid="25" name="Objective-NAR Name [system]">
    <vt:lpwstr/>
  </property>
  <property fmtid="{D5CDD505-2E9C-101B-9397-08002B2CF9AE}" pid="26" name="Objective-Parcel ID [system]">
    <vt:lpwstr/>
  </property>
  <property fmtid="{D5CDD505-2E9C-101B-9397-08002B2CF9AE}" pid="27" name="Objective-Property Address [system]">
    <vt:lpwstr/>
  </property>
  <property fmtid="{D5CDD505-2E9C-101B-9397-08002B2CF9AE}" pid="28" name="Objective-Other Reference Number [system]">
    <vt:lpwstr/>
  </property>
  <property fmtid="{D5CDD505-2E9C-101B-9397-08002B2CF9AE}" pid="29" name="Objective-Asset Facility [system]">
    <vt:lpwstr/>
  </property>
  <property fmtid="{D5CDD505-2E9C-101B-9397-08002B2CF9AE}" pid="30" name="Objective-Referenced Document/s [system]">
    <vt:lpwstr/>
  </property>
  <property fmtid="{D5CDD505-2E9C-101B-9397-08002B2CF9AE}" pid="31" name="Objective-Hard-copy Sent To [system]">
    <vt:lpwstr/>
  </property>
  <property fmtid="{D5CDD505-2E9C-101B-9397-08002B2CF9AE}" pid="32" name="Objective-Hard-copy Sent [system]">
    <vt:lpwstr/>
  </property>
  <property fmtid="{D5CDD505-2E9C-101B-9397-08002B2CF9AE}" pid="33" name="Objective-Hard-copy Returned [system]">
    <vt:lpwstr/>
  </property>
  <property fmtid="{D5CDD505-2E9C-101B-9397-08002B2CF9AE}" pid="34" name="Objective-Mail Notification Sent [system]">
    <vt:lpwstr/>
  </property>
  <property fmtid="{D5CDD505-2E9C-101B-9397-08002B2CF9AE}" pid="35" name="Objective-Box Number [system]">
    <vt:lpwstr/>
  </property>
  <property fmtid="{D5CDD505-2E9C-101B-9397-08002B2CF9AE}" pid="36" name="Objective-Description">
    <vt:lpwstr/>
  </property>
  <property fmtid="{D5CDD505-2E9C-101B-9397-08002B2CF9AE}" pid="37" name="Objective-VersionId">
    <vt:lpwstr>vA5694082</vt:lpwstr>
  </property>
  <property fmtid="{D5CDD505-2E9C-101B-9397-08002B2CF9AE}" pid="38" name="Objective-Legal Register Number">
    <vt:lpwstr/>
  </property>
  <property fmtid="{D5CDD505-2E9C-101B-9397-08002B2CF9AE}" pid="39" name="Objective-Fully Formatted Account ID">
    <vt:lpwstr/>
  </property>
  <property fmtid="{D5CDD505-2E9C-101B-9397-08002B2CF9AE}" pid="40" name="Objective-Description/Precis">
    <vt:lpwstr/>
  </property>
  <property fmtid="{D5CDD505-2E9C-101B-9397-08002B2CF9AE}" pid="41" name="Objective-NAR ID">
    <vt:lpwstr/>
  </property>
  <property fmtid="{D5CDD505-2E9C-101B-9397-08002B2CF9AE}" pid="42" name="Objective-NAR Name">
    <vt:lpwstr/>
  </property>
  <property fmtid="{D5CDD505-2E9C-101B-9397-08002B2CF9AE}" pid="43" name="Objective-Parcel ID">
    <vt:lpwstr/>
  </property>
  <property fmtid="{D5CDD505-2E9C-101B-9397-08002B2CF9AE}" pid="44" name="Objective-Property Address">
    <vt:lpwstr/>
  </property>
  <property fmtid="{D5CDD505-2E9C-101B-9397-08002B2CF9AE}" pid="45" name="Objective-Other Reference Number">
    <vt:lpwstr/>
  </property>
  <property fmtid="{D5CDD505-2E9C-101B-9397-08002B2CF9AE}" pid="46" name="Objective-Asset Facility">
    <vt:lpwstr/>
  </property>
  <property fmtid="{D5CDD505-2E9C-101B-9397-08002B2CF9AE}" pid="47" name="Objective-Referenced Document/s">
    <vt:lpwstr/>
  </property>
  <property fmtid="{D5CDD505-2E9C-101B-9397-08002B2CF9AE}" pid="48" name="Objective-Box Number">
    <vt:lpwstr/>
  </property>
  <property fmtid="{D5CDD505-2E9C-101B-9397-08002B2CF9AE}" pid="49" name="Objective-Hard-copy Sent To">
    <vt:lpwstr/>
  </property>
  <property fmtid="{D5CDD505-2E9C-101B-9397-08002B2CF9AE}" pid="50" name="Objective-Hard-copy Sent">
    <vt:lpwstr/>
  </property>
  <property fmtid="{D5CDD505-2E9C-101B-9397-08002B2CF9AE}" pid="51" name="Objective-Hard-copy Returned">
    <vt:lpwstr/>
  </property>
  <property fmtid="{D5CDD505-2E9C-101B-9397-08002B2CF9AE}" pid="52" name="Objective-Mail Notification Sent">
    <vt:lpwstr/>
  </property>
</Properties>
</file>