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6D0" w14:textId="77777777" w:rsidR="00D17C08" w:rsidRPr="00D17C08" w:rsidRDefault="00D17C08" w:rsidP="00D17C08">
      <w:pPr>
        <w:pStyle w:val="ListParagraph"/>
        <w:keepNext/>
        <w:numPr>
          <w:ilvl w:val="0"/>
          <w:numId w:val="2"/>
        </w:numPr>
        <w:spacing w:before="100" w:after="200"/>
        <w:outlineLvl w:val="0"/>
        <w:rPr>
          <w:rFonts w:cs="Arial"/>
          <w:b/>
          <w:bCs/>
          <w:vanish/>
          <w:kern w:val="32"/>
          <w:sz w:val="32"/>
          <w:szCs w:val="32"/>
        </w:rPr>
      </w:pPr>
      <w:bookmarkStart w:id="0" w:name="_Toc321921941"/>
      <w:bookmarkStart w:id="1" w:name="_Toc332985286"/>
      <w:bookmarkStart w:id="2" w:name="_Toc29993454"/>
      <w:bookmarkStart w:id="3" w:name="_Toc29993489"/>
    </w:p>
    <w:p w14:paraId="4DF2B67E" w14:textId="77777777" w:rsidR="00D17C08" w:rsidRPr="00D17C08" w:rsidRDefault="00D17C08" w:rsidP="00D17C08">
      <w:pPr>
        <w:pStyle w:val="ListParagraph"/>
        <w:keepNext/>
        <w:numPr>
          <w:ilvl w:val="1"/>
          <w:numId w:val="2"/>
        </w:numPr>
        <w:spacing w:before="100" w:after="200"/>
        <w:outlineLvl w:val="1"/>
        <w:rPr>
          <w:rFonts w:cs="Arial"/>
          <w:b/>
          <w:bCs/>
          <w:iCs/>
          <w:vanish/>
          <w:sz w:val="28"/>
          <w:szCs w:val="28"/>
        </w:rPr>
      </w:pPr>
    </w:p>
    <w:p w14:paraId="5925902A" w14:textId="77777777" w:rsidR="00D17C08" w:rsidRPr="00D17C08" w:rsidRDefault="00D17C08" w:rsidP="00D17C08">
      <w:pPr>
        <w:pStyle w:val="ListParagraph"/>
        <w:keepNext/>
        <w:numPr>
          <w:ilvl w:val="1"/>
          <w:numId w:val="2"/>
        </w:numPr>
        <w:spacing w:before="100" w:after="200"/>
        <w:outlineLvl w:val="1"/>
        <w:rPr>
          <w:rFonts w:cs="Arial"/>
          <w:b/>
          <w:bCs/>
          <w:iCs/>
          <w:vanish/>
          <w:sz w:val="28"/>
          <w:szCs w:val="28"/>
        </w:rPr>
      </w:pPr>
    </w:p>
    <w:p w14:paraId="2CF01A5D" w14:textId="77777777" w:rsidR="00D17C08" w:rsidRPr="00D17C08" w:rsidRDefault="00D17C08" w:rsidP="00D17C08">
      <w:pPr>
        <w:pStyle w:val="ListParagraph"/>
        <w:keepNext/>
        <w:numPr>
          <w:ilvl w:val="2"/>
          <w:numId w:val="2"/>
        </w:numPr>
        <w:spacing w:before="100" w:after="200"/>
        <w:outlineLvl w:val="2"/>
        <w:rPr>
          <w:rFonts w:cs="Arial"/>
          <w:b/>
          <w:bCs/>
          <w:vanish/>
          <w:sz w:val="24"/>
          <w:szCs w:val="26"/>
        </w:rPr>
      </w:pPr>
    </w:p>
    <w:p w14:paraId="5C1F20D1" w14:textId="77777777" w:rsidR="00D17C08" w:rsidRPr="00D17C08" w:rsidRDefault="00D17C08" w:rsidP="00D17C08">
      <w:pPr>
        <w:pStyle w:val="ListParagraph"/>
        <w:keepNext/>
        <w:numPr>
          <w:ilvl w:val="2"/>
          <w:numId w:val="2"/>
        </w:numPr>
        <w:spacing w:before="100" w:after="200"/>
        <w:outlineLvl w:val="2"/>
        <w:rPr>
          <w:rFonts w:cs="Arial"/>
          <w:b/>
          <w:bCs/>
          <w:vanish/>
          <w:sz w:val="24"/>
          <w:szCs w:val="26"/>
        </w:rPr>
      </w:pPr>
    </w:p>
    <w:p w14:paraId="5CD626D1" w14:textId="12302599" w:rsidR="003C1969" w:rsidRDefault="003C1969" w:rsidP="00D17C08">
      <w:pPr>
        <w:pStyle w:val="Heading3"/>
      </w:pPr>
      <w:r>
        <w:t>High density residential zone code</w:t>
      </w:r>
      <w:bookmarkEnd w:id="0"/>
      <w:bookmarkEnd w:id="1"/>
      <w:bookmarkEnd w:id="2"/>
      <w:bookmarkEnd w:id="3"/>
    </w:p>
    <w:p w14:paraId="1E9C0681" w14:textId="77777777" w:rsidR="003C1969" w:rsidRDefault="003C1969" w:rsidP="003C1969">
      <w:pPr>
        <w:pStyle w:val="Heading4"/>
        <w:spacing w:before="100" w:after="200"/>
        <w:ind w:right="5951"/>
      </w:pPr>
      <w:bookmarkStart w:id="4" w:name="_Toc332985287"/>
      <w:r>
        <w:t>Application</w:t>
      </w:r>
      <w:bookmarkEnd w:id="4"/>
    </w:p>
    <w:p w14:paraId="4051B952" w14:textId="77777777" w:rsidR="00353DA0" w:rsidRPr="000876B7" w:rsidRDefault="00353DA0" w:rsidP="00353DA0">
      <w:pPr>
        <w:rPr>
          <w:rFonts w:cs="Arial"/>
          <w:sz w:val="18"/>
          <w:szCs w:val="18"/>
        </w:rPr>
      </w:pPr>
      <w:r w:rsidRPr="000876B7">
        <w:rPr>
          <w:rFonts w:cs="Arial"/>
          <w:sz w:val="18"/>
          <w:szCs w:val="18"/>
        </w:rPr>
        <w:t>This code applies to development:-</w:t>
      </w:r>
    </w:p>
    <w:p w14:paraId="1A3F4DFE" w14:textId="77777777" w:rsidR="00353DA0" w:rsidRPr="000876B7" w:rsidRDefault="00353DA0" w:rsidP="00353DA0">
      <w:pPr>
        <w:ind w:left="567"/>
        <w:rPr>
          <w:rFonts w:cs="Arial"/>
          <w:sz w:val="18"/>
          <w:szCs w:val="18"/>
        </w:rPr>
      </w:pPr>
    </w:p>
    <w:p w14:paraId="099FBC87" w14:textId="77777777" w:rsidR="00353DA0" w:rsidRPr="000876B7" w:rsidRDefault="00353DA0" w:rsidP="00353DA0">
      <w:pPr>
        <w:numPr>
          <w:ilvl w:val="0"/>
          <w:numId w:val="103"/>
        </w:numPr>
        <w:rPr>
          <w:rFonts w:cs="Arial"/>
          <w:sz w:val="18"/>
          <w:szCs w:val="18"/>
        </w:rPr>
      </w:pPr>
      <w:r w:rsidRPr="000876B7">
        <w:rPr>
          <w:rFonts w:cs="Arial"/>
          <w:sz w:val="18"/>
          <w:szCs w:val="18"/>
        </w:rPr>
        <w:t xml:space="preserve">within the </w:t>
      </w:r>
      <w:r>
        <w:rPr>
          <w:rFonts w:cs="Arial"/>
          <w:sz w:val="18"/>
          <w:szCs w:val="18"/>
        </w:rPr>
        <w:t>High</w:t>
      </w:r>
      <w:r w:rsidRPr="000876B7">
        <w:rPr>
          <w:rFonts w:cs="Arial"/>
          <w:sz w:val="18"/>
          <w:szCs w:val="18"/>
        </w:rPr>
        <w:t xml:space="preserve"> density residential zone as identified on the </w:t>
      </w:r>
      <w:r>
        <w:rPr>
          <w:rFonts w:cs="Arial"/>
          <w:sz w:val="18"/>
          <w:szCs w:val="18"/>
        </w:rPr>
        <w:t>zone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501043CF" w14:textId="77777777" w:rsidR="00353DA0" w:rsidRPr="00262303" w:rsidRDefault="00353DA0" w:rsidP="00353DA0">
      <w:pPr>
        <w:tabs>
          <w:tab w:val="left" w:pos="4770"/>
        </w:tabs>
        <w:rPr>
          <w:sz w:val="18"/>
          <w:szCs w:val="18"/>
        </w:rPr>
      </w:pPr>
      <w:r>
        <w:rPr>
          <w:sz w:val="18"/>
          <w:szCs w:val="18"/>
        </w:rPr>
        <w:tab/>
      </w:r>
    </w:p>
    <w:p w14:paraId="1B0641F4" w14:textId="77777777" w:rsidR="00353DA0" w:rsidRPr="00262303" w:rsidRDefault="00353DA0" w:rsidP="00353DA0">
      <w:pPr>
        <w:numPr>
          <w:ilvl w:val="0"/>
          <w:numId w:val="103"/>
        </w:numPr>
        <w:rPr>
          <w:sz w:val="18"/>
          <w:szCs w:val="18"/>
        </w:rPr>
      </w:pPr>
      <w:r w:rsidRPr="00262303">
        <w:rPr>
          <w:sz w:val="18"/>
          <w:szCs w:val="18"/>
        </w:rPr>
        <w:t xml:space="preserve">identified as requiring assessment against the </w:t>
      </w:r>
      <w:r>
        <w:rPr>
          <w:sz w:val="18"/>
          <w:szCs w:val="18"/>
        </w:rPr>
        <w:t>High</w:t>
      </w:r>
      <w:r w:rsidRPr="00262303">
        <w:rPr>
          <w:sz w:val="18"/>
          <w:szCs w:val="18"/>
        </w:rPr>
        <w:t xml:space="preserve"> density residential zone code by the tables of assessment in </w:t>
      </w:r>
      <w:r w:rsidRPr="00262303">
        <w:rPr>
          <w:b/>
          <w:sz w:val="18"/>
          <w:szCs w:val="18"/>
        </w:rPr>
        <w:t>Part 5 (Tables of assessment)</w:t>
      </w:r>
      <w:r w:rsidRPr="00262303">
        <w:rPr>
          <w:sz w:val="18"/>
          <w:szCs w:val="18"/>
        </w:rPr>
        <w:t>.</w:t>
      </w:r>
    </w:p>
    <w:p w14:paraId="6F261A6C" w14:textId="77777777" w:rsidR="003C1969" w:rsidRDefault="003C1969" w:rsidP="003C1969">
      <w:pPr>
        <w:tabs>
          <w:tab w:val="num" w:pos="1827"/>
        </w:tabs>
        <w:ind w:right="5951"/>
      </w:pPr>
    </w:p>
    <w:p w14:paraId="23D09BD2" w14:textId="77777777" w:rsidR="003C1969" w:rsidRDefault="003C1969" w:rsidP="003C1969">
      <w:pPr>
        <w:pStyle w:val="Heading4"/>
        <w:spacing w:before="100" w:after="200"/>
        <w:ind w:right="5951"/>
      </w:pPr>
      <w:bookmarkStart w:id="5" w:name="_Toc332985288"/>
      <w:r>
        <w:t>Purpose and overall outcomes</w:t>
      </w:r>
      <w:bookmarkEnd w:id="5"/>
    </w:p>
    <w:p w14:paraId="54BFC433" w14:textId="77777777" w:rsidR="00353DA0" w:rsidRPr="00C12AB6" w:rsidRDefault="00353DA0" w:rsidP="00353DA0">
      <w:pPr>
        <w:numPr>
          <w:ilvl w:val="0"/>
          <w:numId w:val="46"/>
        </w:numPr>
        <w:rPr>
          <w:rFonts w:cs="Arial"/>
          <w:sz w:val="18"/>
          <w:szCs w:val="18"/>
        </w:rPr>
      </w:pPr>
      <w:r w:rsidRPr="00C12AB6">
        <w:rPr>
          <w:rFonts w:cs="Arial"/>
          <w:sz w:val="18"/>
          <w:szCs w:val="18"/>
        </w:rPr>
        <w:t>The purpose of the High density residential zone code is to provide for high density residential uses for permanent residents and visitors in close proximity to the activity centres of Bundaberg and Bargara, supported by community uses</w:t>
      </w:r>
      <w:r>
        <w:rPr>
          <w:rFonts w:cs="Arial"/>
          <w:sz w:val="18"/>
          <w:szCs w:val="18"/>
        </w:rPr>
        <w:t xml:space="preserve">, facilities, infrastructure </w:t>
      </w:r>
      <w:r w:rsidRPr="00C12AB6">
        <w:rPr>
          <w:rFonts w:cs="Arial"/>
          <w:sz w:val="18"/>
          <w:szCs w:val="18"/>
        </w:rPr>
        <w:t>and a range of retail, commercial and entertainment activities to service the needs of both visitors and surrounding residents.</w:t>
      </w:r>
    </w:p>
    <w:p w14:paraId="5BD6BDAE" w14:textId="77777777" w:rsidR="00353DA0" w:rsidRPr="00C12AB6" w:rsidRDefault="00353DA0" w:rsidP="00353DA0">
      <w:pPr>
        <w:rPr>
          <w:rFonts w:cs="Arial"/>
          <w:sz w:val="18"/>
          <w:szCs w:val="18"/>
        </w:rPr>
      </w:pPr>
    </w:p>
    <w:p w14:paraId="58379E4A" w14:textId="77777777" w:rsidR="00353DA0" w:rsidRPr="00C12AB6" w:rsidRDefault="00353DA0" w:rsidP="00353DA0">
      <w:pPr>
        <w:numPr>
          <w:ilvl w:val="0"/>
          <w:numId w:val="46"/>
        </w:numPr>
        <w:rPr>
          <w:rFonts w:cs="Arial"/>
          <w:sz w:val="18"/>
          <w:szCs w:val="18"/>
        </w:rPr>
      </w:pPr>
      <w:r w:rsidRPr="00C12AB6">
        <w:rPr>
          <w:rFonts w:cs="Arial"/>
          <w:sz w:val="18"/>
          <w:szCs w:val="18"/>
        </w:rPr>
        <w:t>The purpose of the High density residential zone code will be achieved through the following overall outcomes:-</w:t>
      </w:r>
    </w:p>
    <w:p w14:paraId="68C0742B" w14:textId="77777777" w:rsidR="00353DA0" w:rsidRPr="00C12AB6" w:rsidRDefault="00353DA0" w:rsidP="00353DA0">
      <w:pPr>
        <w:ind w:left="567"/>
        <w:rPr>
          <w:rFonts w:cs="Arial"/>
          <w:sz w:val="18"/>
          <w:szCs w:val="18"/>
        </w:rPr>
      </w:pPr>
    </w:p>
    <w:p w14:paraId="3A35760E" w14:textId="77777777" w:rsidR="00353DA0" w:rsidRPr="00C12AB6" w:rsidRDefault="00353DA0" w:rsidP="00353DA0">
      <w:pPr>
        <w:numPr>
          <w:ilvl w:val="1"/>
          <w:numId w:val="4"/>
        </w:numPr>
        <w:rPr>
          <w:rFonts w:cs="Arial"/>
          <w:sz w:val="18"/>
          <w:szCs w:val="18"/>
        </w:rPr>
      </w:pPr>
      <w:r w:rsidRPr="00C12AB6">
        <w:rPr>
          <w:rFonts w:eastAsia="Calibri" w:cs="Arial"/>
          <w:sz w:val="18"/>
          <w:szCs w:val="18"/>
        </w:rPr>
        <w:t>development provides a range of higher density residential dwelling choices in multi-storey</w:t>
      </w:r>
      <w:r>
        <w:rPr>
          <w:rFonts w:eastAsia="Calibri" w:cs="Arial"/>
          <w:sz w:val="18"/>
          <w:szCs w:val="18"/>
        </w:rPr>
        <w:t xml:space="preserve">, generally medium rise, </w:t>
      </w:r>
      <w:r w:rsidRPr="00C12AB6">
        <w:rPr>
          <w:rFonts w:eastAsia="Calibri" w:cs="Arial"/>
          <w:sz w:val="18"/>
          <w:szCs w:val="18"/>
        </w:rPr>
        <w:t>formats;</w:t>
      </w:r>
    </w:p>
    <w:p w14:paraId="2FFEC829" w14:textId="77777777" w:rsidR="00353DA0" w:rsidRPr="00C12AB6" w:rsidRDefault="00353DA0" w:rsidP="00353DA0">
      <w:pPr>
        <w:rPr>
          <w:rFonts w:eastAsia="Calibri" w:cs="Arial"/>
          <w:sz w:val="18"/>
          <w:szCs w:val="18"/>
        </w:rPr>
      </w:pPr>
    </w:p>
    <w:p w14:paraId="5C5194E6" w14:textId="77777777" w:rsidR="00353DA0" w:rsidRPr="00C12AB6" w:rsidRDefault="00353DA0" w:rsidP="00353DA0">
      <w:pPr>
        <w:numPr>
          <w:ilvl w:val="1"/>
          <w:numId w:val="4"/>
        </w:numPr>
        <w:rPr>
          <w:rFonts w:cs="Arial"/>
          <w:sz w:val="18"/>
          <w:szCs w:val="18"/>
        </w:rPr>
      </w:pPr>
      <w:r w:rsidRPr="00C12AB6">
        <w:rPr>
          <w:rFonts w:cs="Arial"/>
          <w:sz w:val="18"/>
          <w:szCs w:val="18"/>
        </w:rPr>
        <w:t xml:space="preserve">mixed use development is facilitated in the zone </w:t>
      </w:r>
      <w:r>
        <w:rPr>
          <w:rFonts w:cs="Arial"/>
          <w:sz w:val="18"/>
          <w:szCs w:val="18"/>
        </w:rPr>
        <w:t>to help create vibrant and active streets and public spaces</w:t>
      </w:r>
      <w:r w:rsidRPr="00C12AB6">
        <w:rPr>
          <w:rFonts w:cs="Arial"/>
          <w:sz w:val="18"/>
          <w:szCs w:val="18"/>
        </w:rPr>
        <w:t>;</w:t>
      </w:r>
    </w:p>
    <w:p w14:paraId="40CA2AC0" w14:textId="77777777" w:rsidR="00353DA0" w:rsidRPr="00C12AB6" w:rsidRDefault="00353DA0" w:rsidP="00353DA0">
      <w:pPr>
        <w:ind w:left="1134"/>
        <w:rPr>
          <w:rFonts w:cs="Arial"/>
          <w:sz w:val="18"/>
          <w:szCs w:val="18"/>
        </w:rPr>
      </w:pPr>
    </w:p>
    <w:p w14:paraId="26D6D082" w14:textId="77777777" w:rsidR="00353DA0" w:rsidRPr="00C12AB6" w:rsidRDefault="00353DA0" w:rsidP="00353DA0">
      <w:pPr>
        <w:numPr>
          <w:ilvl w:val="1"/>
          <w:numId w:val="4"/>
        </w:numPr>
        <w:rPr>
          <w:rFonts w:cs="Arial"/>
          <w:sz w:val="18"/>
          <w:szCs w:val="18"/>
        </w:rPr>
      </w:pPr>
      <w:r w:rsidRPr="00C12AB6">
        <w:rPr>
          <w:rFonts w:cs="Arial"/>
          <w:sz w:val="18"/>
          <w:szCs w:val="18"/>
        </w:rPr>
        <w:t xml:space="preserve">non-residential uses </w:t>
      </w:r>
      <w:r>
        <w:rPr>
          <w:rFonts w:cs="Arial"/>
          <w:sz w:val="18"/>
          <w:szCs w:val="18"/>
        </w:rPr>
        <w:t xml:space="preserve">that occur as part of a mixed use </w:t>
      </w:r>
      <w:r w:rsidRPr="00C12AB6">
        <w:rPr>
          <w:rFonts w:cs="Arial"/>
          <w:sz w:val="18"/>
          <w:szCs w:val="18"/>
        </w:rPr>
        <w:t xml:space="preserve">development may provide for a range of </w:t>
      </w:r>
      <w:r>
        <w:rPr>
          <w:rFonts w:cs="Arial"/>
          <w:sz w:val="18"/>
          <w:szCs w:val="18"/>
        </w:rPr>
        <w:t xml:space="preserve">activities </w:t>
      </w:r>
      <w:r w:rsidRPr="00C12AB6">
        <w:rPr>
          <w:rFonts w:cs="Arial"/>
          <w:sz w:val="18"/>
          <w:szCs w:val="18"/>
        </w:rPr>
        <w:t>that:-</w:t>
      </w:r>
    </w:p>
    <w:p w14:paraId="1A09CD04" w14:textId="77777777" w:rsidR="00353DA0" w:rsidRPr="00C12AB6" w:rsidRDefault="00353DA0" w:rsidP="00353DA0">
      <w:pPr>
        <w:ind w:left="1701"/>
        <w:rPr>
          <w:rFonts w:cs="Arial"/>
          <w:sz w:val="18"/>
          <w:szCs w:val="18"/>
        </w:rPr>
      </w:pPr>
    </w:p>
    <w:p w14:paraId="050AD85D" w14:textId="77777777" w:rsidR="00353DA0" w:rsidRPr="00C12AB6" w:rsidRDefault="00353DA0" w:rsidP="00353DA0">
      <w:pPr>
        <w:numPr>
          <w:ilvl w:val="2"/>
          <w:numId w:val="4"/>
        </w:numPr>
        <w:rPr>
          <w:rFonts w:cs="Arial"/>
          <w:sz w:val="18"/>
          <w:szCs w:val="18"/>
        </w:rPr>
      </w:pPr>
      <w:r w:rsidRPr="00C12AB6">
        <w:rPr>
          <w:rFonts w:cs="Arial"/>
          <w:sz w:val="18"/>
          <w:szCs w:val="18"/>
        </w:rPr>
        <w:t>complement tourist accommodation and enhance the attractiveness and function of the area as a visitor destination; and</w:t>
      </w:r>
    </w:p>
    <w:p w14:paraId="0C1B2D52" w14:textId="77777777" w:rsidR="00353DA0" w:rsidRPr="00C12AB6" w:rsidRDefault="00353DA0" w:rsidP="00353DA0">
      <w:pPr>
        <w:ind w:left="1701"/>
        <w:rPr>
          <w:rFonts w:cs="Arial"/>
          <w:sz w:val="18"/>
          <w:szCs w:val="18"/>
        </w:rPr>
      </w:pPr>
    </w:p>
    <w:p w14:paraId="09A66BD9" w14:textId="77777777" w:rsidR="00353DA0" w:rsidRPr="00C12AB6" w:rsidRDefault="00353DA0" w:rsidP="00353DA0">
      <w:pPr>
        <w:numPr>
          <w:ilvl w:val="2"/>
          <w:numId w:val="4"/>
        </w:numPr>
        <w:rPr>
          <w:rFonts w:cs="Arial"/>
          <w:sz w:val="18"/>
          <w:szCs w:val="18"/>
        </w:rPr>
      </w:pPr>
      <w:r w:rsidRPr="00C12AB6">
        <w:rPr>
          <w:rFonts w:cs="Arial"/>
          <w:sz w:val="18"/>
          <w:szCs w:val="18"/>
        </w:rPr>
        <w:t>offer food, shopping, entertainment and personal services to residents and visitors;</w:t>
      </w:r>
    </w:p>
    <w:p w14:paraId="50841B21" w14:textId="77777777" w:rsidR="00353DA0" w:rsidRPr="00C12AB6" w:rsidRDefault="00353DA0" w:rsidP="00353DA0">
      <w:pPr>
        <w:rPr>
          <w:rFonts w:cs="Arial"/>
          <w:sz w:val="18"/>
          <w:szCs w:val="18"/>
        </w:rPr>
      </w:pPr>
    </w:p>
    <w:p w14:paraId="77119CC6" w14:textId="77777777" w:rsidR="00353DA0" w:rsidRDefault="00353DA0" w:rsidP="00353DA0">
      <w:pPr>
        <w:numPr>
          <w:ilvl w:val="1"/>
          <w:numId w:val="4"/>
        </w:numPr>
        <w:rPr>
          <w:rFonts w:cs="Arial"/>
          <w:sz w:val="18"/>
          <w:szCs w:val="18"/>
        </w:rPr>
      </w:pPr>
      <w:r>
        <w:rPr>
          <w:rFonts w:cs="Arial"/>
          <w:sz w:val="18"/>
          <w:szCs w:val="18"/>
        </w:rPr>
        <w:t>other</w:t>
      </w:r>
      <w:r w:rsidRPr="000336CB">
        <w:rPr>
          <w:rFonts w:cs="Arial"/>
          <w:sz w:val="18"/>
          <w:szCs w:val="18"/>
        </w:rPr>
        <w:t xml:space="preserve"> non-residential activities may also be established in the zone, where such activities provide for the day to day needs of the immediate residential community and do not detract from the residential amenity and character of the area, having regard to such matters as the location, nature, scale and intensity of the development</w:t>
      </w:r>
      <w:r>
        <w:rPr>
          <w:rFonts w:cs="Arial"/>
          <w:sz w:val="18"/>
          <w:szCs w:val="18"/>
        </w:rPr>
        <w:t xml:space="preserve">; </w:t>
      </w:r>
    </w:p>
    <w:p w14:paraId="79B84552" w14:textId="77777777" w:rsidR="00353DA0" w:rsidRPr="00C12AB6" w:rsidRDefault="00353DA0" w:rsidP="00353DA0">
      <w:pPr>
        <w:rPr>
          <w:rFonts w:cs="Arial"/>
          <w:sz w:val="18"/>
          <w:szCs w:val="18"/>
        </w:rPr>
      </w:pPr>
    </w:p>
    <w:p w14:paraId="2D48627C" w14:textId="77777777" w:rsidR="00353DA0" w:rsidRPr="00C12AB6" w:rsidRDefault="00353DA0" w:rsidP="00353DA0">
      <w:pPr>
        <w:numPr>
          <w:ilvl w:val="1"/>
          <w:numId w:val="4"/>
        </w:numPr>
        <w:rPr>
          <w:rFonts w:cs="Arial"/>
          <w:sz w:val="18"/>
          <w:szCs w:val="18"/>
        </w:rPr>
      </w:pPr>
      <w:r w:rsidRPr="00C12AB6">
        <w:rPr>
          <w:rFonts w:eastAsia="Calibri" w:cs="Arial"/>
          <w:sz w:val="18"/>
          <w:szCs w:val="18"/>
        </w:rPr>
        <w:t xml:space="preserve">development encourages and facilitates urban consolidation and </w:t>
      </w:r>
      <w:r>
        <w:rPr>
          <w:rFonts w:eastAsia="Calibri" w:cs="Arial"/>
          <w:sz w:val="18"/>
          <w:szCs w:val="18"/>
        </w:rPr>
        <w:t xml:space="preserve">the efficient provision and use of physical and social infrastructure; </w:t>
      </w:r>
    </w:p>
    <w:p w14:paraId="4CF70716" w14:textId="77777777" w:rsidR="00353DA0" w:rsidRPr="00C12AB6" w:rsidRDefault="00353DA0" w:rsidP="00353DA0">
      <w:pPr>
        <w:rPr>
          <w:rFonts w:cs="Arial"/>
          <w:sz w:val="18"/>
          <w:szCs w:val="18"/>
        </w:rPr>
      </w:pPr>
    </w:p>
    <w:p w14:paraId="3BD7C13E" w14:textId="77777777" w:rsidR="00353DA0" w:rsidRPr="00C12AB6" w:rsidRDefault="00353DA0" w:rsidP="00353DA0">
      <w:pPr>
        <w:numPr>
          <w:ilvl w:val="1"/>
          <w:numId w:val="4"/>
        </w:numPr>
        <w:rPr>
          <w:rFonts w:cs="Arial"/>
          <w:sz w:val="18"/>
          <w:szCs w:val="18"/>
        </w:rPr>
      </w:pPr>
      <w:r w:rsidRPr="00C12AB6">
        <w:rPr>
          <w:rFonts w:eastAsia="Calibri" w:cs="Arial"/>
          <w:sz w:val="18"/>
          <w:szCs w:val="18"/>
        </w:rPr>
        <w:t>the scale, density and layout of development facilitates an efficient land use pattern that supports</w:t>
      </w:r>
      <w:r>
        <w:rPr>
          <w:rFonts w:eastAsia="Calibri" w:cs="Arial"/>
          <w:sz w:val="18"/>
          <w:szCs w:val="18"/>
        </w:rPr>
        <w:t xml:space="preserve"> compact, safe and</w:t>
      </w:r>
      <w:r w:rsidRPr="00C12AB6">
        <w:rPr>
          <w:rFonts w:eastAsia="Calibri" w:cs="Arial"/>
          <w:sz w:val="18"/>
          <w:szCs w:val="18"/>
        </w:rPr>
        <w:t xml:space="preserve"> walkable neighbourhoods that are connected to employment nodes, </w:t>
      </w:r>
      <w:r>
        <w:rPr>
          <w:rFonts w:eastAsia="Calibri" w:cs="Arial"/>
          <w:sz w:val="18"/>
          <w:szCs w:val="18"/>
        </w:rPr>
        <w:t xml:space="preserve">activity </w:t>
      </w:r>
      <w:r w:rsidRPr="00C12AB6">
        <w:rPr>
          <w:rFonts w:eastAsia="Calibri" w:cs="Arial"/>
          <w:sz w:val="18"/>
          <w:szCs w:val="18"/>
        </w:rPr>
        <w:t xml:space="preserve">centres, open space and recreational areas, community services and </w:t>
      </w:r>
      <w:r>
        <w:rPr>
          <w:rFonts w:eastAsia="Calibri" w:cs="Arial"/>
          <w:sz w:val="18"/>
          <w:szCs w:val="18"/>
        </w:rPr>
        <w:t xml:space="preserve">facilities, </w:t>
      </w:r>
      <w:r w:rsidRPr="00C12AB6">
        <w:rPr>
          <w:rFonts w:eastAsia="Calibri" w:cs="Arial"/>
          <w:sz w:val="18"/>
          <w:szCs w:val="18"/>
        </w:rPr>
        <w:t>educational opportunities</w:t>
      </w:r>
      <w:r>
        <w:rPr>
          <w:rFonts w:eastAsia="Calibri" w:cs="Arial"/>
          <w:sz w:val="18"/>
          <w:szCs w:val="18"/>
        </w:rPr>
        <w:t xml:space="preserve"> and transport options</w:t>
      </w:r>
      <w:r w:rsidRPr="00C12AB6">
        <w:rPr>
          <w:rFonts w:eastAsia="Calibri" w:cs="Arial"/>
          <w:sz w:val="18"/>
          <w:szCs w:val="18"/>
        </w:rPr>
        <w:t>;</w:t>
      </w:r>
    </w:p>
    <w:p w14:paraId="5F1D30BA" w14:textId="77777777" w:rsidR="00353DA0" w:rsidRDefault="00353DA0" w:rsidP="00353DA0">
      <w:pPr>
        <w:pStyle w:val="ListParagraph"/>
        <w:rPr>
          <w:rFonts w:cs="Arial"/>
          <w:sz w:val="18"/>
          <w:szCs w:val="18"/>
        </w:rPr>
      </w:pPr>
    </w:p>
    <w:p w14:paraId="7DE33B2A" w14:textId="77777777" w:rsidR="00353DA0" w:rsidRPr="003A0A9C" w:rsidRDefault="00353DA0" w:rsidP="00353DA0">
      <w:pPr>
        <w:numPr>
          <w:ilvl w:val="1"/>
          <w:numId w:val="4"/>
        </w:numPr>
        <w:rPr>
          <w:rFonts w:cs="Arial"/>
          <w:sz w:val="18"/>
          <w:szCs w:val="18"/>
        </w:rPr>
      </w:pPr>
      <w:r>
        <w:rPr>
          <w:rFonts w:cs="Arial"/>
          <w:sz w:val="18"/>
          <w:szCs w:val="18"/>
        </w:rPr>
        <w:t xml:space="preserve">residential and mixed use development has a medium-rise built form that is compatible with, and is sympathetic to, the existing and intended scale and character of the surrounding area, </w:t>
      </w:r>
      <w:r w:rsidRPr="00CC161D">
        <w:rPr>
          <w:rFonts w:cs="Arial"/>
          <w:sz w:val="18"/>
          <w:szCs w:val="18"/>
        </w:rPr>
        <w:t>with non-residential built forms subservient to residential built forms in the locality</w:t>
      </w:r>
      <w:r>
        <w:rPr>
          <w:rFonts w:cs="Arial"/>
          <w:sz w:val="18"/>
          <w:szCs w:val="18"/>
        </w:rPr>
        <w:t>;</w:t>
      </w:r>
    </w:p>
    <w:p w14:paraId="1161B42B" w14:textId="77777777" w:rsidR="00353DA0" w:rsidRDefault="00353DA0" w:rsidP="00353DA0">
      <w:pPr>
        <w:pStyle w:val="ListParagraph"/>
        <w:rPr>
          <w:rFonts w:cs="Arial"/>
          <w:sz w:val="18"/>
          <w:szCs w:val="18"/>
        </w:rPr>
      </w:pPr>
    </w:p>
    <w:p w14:paraId="6C499D7A" w14:textId="77777777" w:rsidR="00353DA0" w:rsidRPr="00422EEA" w:rsidRDefault="00353DA0" w:rsidP="00353DA0">
      <w:pPr>
        <w:numPr>
          <w:ilvl w:val="1"/>
          <w:numId w:val="4"/>
        </w:numPr>
        <w:rPr>
          <w:rFonts w:cs="Arial"/>
          <w:sz w:val="18"/>
          <w:szCs w:val="18"/>
        </w:rPr>
      </w:pPr>
      <w:r w:rsidRPr="006B3B8F">
        <w:rPr>
          <w:rFonts w:cs="Arial"/>
          <w:sz w:val="18"/>
          <w:szCs w:val="18"/>
        </w:rPr>
        <w:t>development is designed and located in a manner which makes a positive contribution to the streetscape</w:t>
      </w:r>
      <w:r>
        <w:rPr>
          <w:rFonts w:cs="Arial"/>
          <w:sz w:val="18"/>
          <w:szCs w:val="18"/>
        </w:rPr>
        <w:t xml:space="preserve"> and maintains a high level of residential amenity</w:t>
      </w:r>
      <w:r w:rsidRPr="006720AC">
        <w:rPr>
          <w:rFonts w:cs="Arial"/>
          <w:sz w:val="18"/>
          <w:szCs w:val="18"/>
        </w:rPr>
        <w:t>;</w:t>
      </w:r>
      <w:r>
        <w:rPr>
          <w:rFonts w:cs="Arial"/>
          <w:sz w:val="18"/>
          <w:szCs w:val="18"/>
        </w:rPr>
        <w:t xml:space="preserve"> and</w:t>
      </w:r>
    </w:p>
    <w:p w14:paraId="5F2B3293" w14:textId="77777777" w:rsidR="00353DA0" w:rsidRDefault="00353DA0" w:rsidP="00353DA0">
      <w:pPr>
        <w:ind w:left="1134"/>
        <w:rPr>
          <w:rFonts w:cs="Arial"/>
          <w:sz w:val="18"/>
          <w:szCs w:val="18"/>
        </w:rPr>
      </w:pPr>
    </w:p>
    <w:p w14:paraId="174028EA" w14:textId="77777777" w:rsidR="00353DA0" w:rsidRPr="00C12AB6" w:rsidRDefault="00353DA0" w:rsidP="00353DA0">
      <w:pPr>
        <w:numPr>
          <w:ilvl w:val="1"/>
          <w:numId w:val="4"/>
        </w:numPr>
        <w:rPr>
          <w:rFonts w:cs="Arial"/>
          <w:sz w:val="18"/>
          <w:szCs w:val="18"/>
        </w:rPr>
      </w:pPr>
      <w:r w:rsidRPr="00C12AB6">
        <w:rPr>
          <w:rFonts w:cs="Arial"/>
          <w:sz w:val="18"/>
          <w:szCs w:val="18"/>
        </w:rPr>
        <w:t>development provides and maintains a high level of residential amenity, safety and design quality and is set amongst attractive landscaped grounds</w:t>
      </w:r>
      <w:r>
        <w:rPr>
          <w:rFonts w:cs="Arial"/>
          <w:sz w:val="18"/>
          <w:szCs w:val="18"/>
        </w:rPr>
        <w:t>.</w:t>
      </w:r>
    </w:p>
    <w:p w14:paraId="011D2E3D" w14:textId="77777777" w:rsidR="003C1969" w:rsidRDefault="003C1969" w:rsidP="003C1969">
      <w:pPr>
        <w:ind w:right="5951"/>
        <w:rPr>
          <w:rFonts w:cs="Arial"/>
          <w:sz w:val="18"/>
          <w:szCs w:val="18"/>
        </w:rPr>
      </w:pPr>
    </w:p>
    <w:p w14:paraId="5783864B" w14:textId="77777777" w:rsidR="003C1969" w:rsidRDefault="003C1969" w:rsidP="003C1969">
      <w:pPr>
        <w:pStyle w:val="Heading4"/>
        <w:spacing w:before="100" w:after="200"/>
        <w:ind w:right="5951"/>
      </w:pPr>
      <w:r>
        <w:lastRenderedPageBreak/>
        <w:t>Specific benchmarks for assessment</w:t>
      </w:r>
    </w:p>
    <w:p w14:paraId="6BC3C48F" w14:textId="77777777" w:rsidR="003C1969" w:rsidRPr="004E4893" w:rsidRDefault="003C1969" w:rsidP="003C1969">
      <w:pPr>
        <w:pStyle w:val="Heading7"/>
        <w:ind w:right="5951"/>
      </w:pPr>
      <w:bookmarkStart w:id="6" w:name="_Toc422825343"/>
      <w:bookmarkStart w:id="7" w:name="_Toc422826636"/>
      <w:r w:rsidRPr="004E4893">
        <w:t>Table 6.2.3.3.1</w:t>
      </w:r>
      <w:r w:rsidRPr="004E4893">
        <w:tab/>
      </w:r>
      <w:r>
        <w:t>Benchmarks</w:t>
      </w:r>
      <w:r w:rsidRPr="004E4893">
        <w:t xml:space="preserve"> for assessable development</w:t>
      </w:r>
      <w:bookmarkEnd w:id="6"/>
      <w:bookmarkEnd w:id="7"/>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00"/>
        <w:gridCol w:w="4601"/>
        <w:gridCol w:w="4601"/>
      </w:tblGrid>
      <w:tr w:rsidR="00353DA0" w:rsidRPr="00084AFB" w14:paraId="2FF1A402" w14:textId="2E8EF1DF" w:rsidTr="00353DA0">
        <w:trPr>
          <w:tblHeader/>
        </w:trPr>
        <w:tc>
          <w:tcPr>
            <w:tcW w:w="4600" w:type="dxa"/>
            <w:shd w:val="solid" w:color="auto" w:fill="auto"/>
          </w:tcPr>
          <w:p w14:paraId="476B643D" w14:textId="77777777" w:rsidR="00353DA0" w:rsidRPr="00084AFB" w:rsidRDefault="00353DA0" w:rsidP="003352DF">
            <w:pPr>
              <w:pStyle w:val="ListParagraph"/>
              <w:keepNext/>
              <w:ind w:left="0"/>
              <w:rPr>
                <w:rFonts w:cs="Arial"/>
                <w:b/>
                <w:sz w:val="18"/>
                <w:szCs w:val="18"/>
              </w:rPr>
            </w:pPr>
            <w:r w:rsidRPr="00084AFB">
              <w:rPr>
                <w:rFonts w:cs="Arial"/>
                <w:b/>
                <w:sz w:val="18"/>
                <w:szCs w:val="18"/>
              </w:rPr>
              <w:t>Performance outcomes</w:t>
            </w:r>
          </w:p>
        </w:tc>
        <w:tc>
          <w:tcPr>
            <w:tcW w:w="4601" w:type="dxa"/>
            <w:shd w:val="solid" w:color="auto" w:fill="auto"/>
          </w:tcPr>
          <w:p w14:paraId="7DF15FB5" w14:textId="77777777" w:rsidR="00353DA0" w:rsidRPr="00084AFB" w:rsidRDefault="00353DA0" w:rsidP="003352DF">
            <w:pPr>
              <w:pStyle w:val="ListParagraph"/>
              <w:keepNext/>
              <w:ind w:left="0"/>
              <w:rPr>
                <w:rFonts w:cs="Arial"/>
                <w:b/>
                <w:sz w:val="18"/>
                <w:szCs w:val="18"/>
              </w:rPr>
            </w:pPr>
            <w:r w:rsidRPr="00084AFB">
              <w:rPr>
                <w:rFonts w:cs="Arial"/>
                <w:b/>
                <w:sz w:val="18"/>
                <w:szCs w:val="18"/>
              </w:rPr>
              <w:t>Acceptable outcomes</w:t>
            </w:r>
          </w:p>
        </w:tc>
        <w:tc>
          <w:tcPr>
            <w:tcW w:w="4601" w:type="dxa"/>
            <w:shd w:val="solid" w:color="auto" w:fill="auto"/>
          </w:tcPr>
          <w:p w14:paraId="3CE1BAEC" w14:textId="27E41F61" w:rsidR="00353DA0" w:rsidRPr="00084AFB" w:rsidRDefault="00353DA0" w:rsidP="003352DF">
            <w:pPr>
              <w:pStyle w:val="ListParagraph"/>
              <w:keepNext/>
              <w:ind w:left="0"/>
              <w:rPr>
                <w:rFonts w:cs="Arial"/>
                <w:b/>
                <w:sz w:val="18"/>
                <w:szCs w:val="18"/>
              </w:rPr>
            </w:pPr>
            <w:r>
              <w:rPr>
                <w:rFonts w:cs="Arial"/>
                <w:b/>
                <w:sz w:val="18"/>
                <w:szCs w:val="18"/>
              </w:rPr>
              <w:t xml:space="preserve">Compliance / Representations </w:t>
            </w:r>
          </w:p>
        </w:tc>
      </w:tr>
      <w:tr w:rsidR="00353DA0" w:rsidRPr="00084AFB" w14:paraId="45840A94" w14:textId="3ACCD171" w:rsidTr="00B43455">
        <w:tc>
          <w:tcPr>
            <w:tcW w:w="13802" w:type="dxa"/>
            <w:gridSpan w:val="3"/>
            <w:shd w:val="clear" w:color="auto" w:fill="D9D9D9"/>
          </w:tcPr>
          <w:p w14:paraId="5E8BB07E" w14:textId="679EBC2D" w:rsidR="00353DA0" w:rsidRPr="00084AFB" w:rsidRDefault="00353DA0" w:rsidP="003352DF">
            <w:pPr>
              <w:pStyle w:val="ListParagraph"/>
              <w:keepNext/>
              <w:ind w:left="0"/>
              <w:rPr>
                <w:rFonts w:cs="Arial"/>
                <w:b/>
                <w:i/>
                <w:sz w:val="18"/>
                <w:szCs w:val="18"/>
              </w:rPr>
            </w:pPr>
            <w:r w:rsidRPr="00084AFB">
              <w:rPr>
                <w:rFonts w:cs="Arial"/>
                <w:b/>
                <w:i/>
                <w:sz w:val="18"/>
                <w:szCs w:val="18"/>
              </w:rPr>
              <w:t>Residential uses</w:t>
            </w:r>
          </w:p>
        </w:tc>
      </w:tr>
      <w:tr w:rsidR="00353DA0" w:rsidRPr="00084AFB" w14:paraId="6336E46C" w14:textId="2FFEC6D0" w:rsidTr="00353DA0">
        <w:tc>
          <w:tcPr>
            <w:tcW w:w="4600" w:type="dxa"/>
            <w:shd w:val="clear" w:color="auto" w:fill="auto"/>
          </w:tcPr>
          <w:p w14:paraId="75969F1D" w14:textId="77777777" w:rsidR="00353DA0" w:rsidRPr="00084AFB" w:rsidRDefault="00353DA0" w:rsidP="003352DF">
            <w:pPr>
              <w:pStyle w:val="ListParagraph"/>
              <w:keepNext/>
              <w:ind w:left="0"/>
              <w:rPr>
                <w:rFonts w:cs="Arial"/>
                <w:b/>
                <w:sz w:val="18"/>
                <w:szCs w:val="18"/>
              </w:rPr>
            </w:pPr>
            <w:r w:rsidRPr="00084AFB">
              <w:rPr>
                <w:rFonts w:cs="Arial"/>
                <w:b/>
                <w:sz w:val="18"/>
                <w:szCs w:val="18"/>
              </w:rPr>
              <w:t>PO1</w:t>
            </w:r>
          </w:p>
          <w:p w14:paraId="2E630316" w14:textId="77777777" w:rsidR="00353DA0" w:rsidRPr="00084AFB" w:rsidRDefault="00353DA0" w:rsidP="003352DF">
            <w:pPr>
              <w:pStyle w:val="ListParagraph"/>
              <w:keepNext/>
              <w:ind w:left="0"/>
              <w:rPr>
                <w:rFonts w:cs="Arial"/>
                <w:sz w:val="18"/>
                <w:szCs w:val="18"/>
              </w:rPr>
            </w:pPr>
            <w:r w:rsidRPr="00084AFB">
              <w:rPr>
                <w:rFonts w:cs="Arial"/>
                <w:sz w:val="18"/>
                <w:szCs w:val="18"/>
              </w:rPr>
              <w:t xml:space="preserve">Development provides for a compatible mix of </w:t>
            </w:r>
            <w:r>
              <w:rPr>
                <w:rFonts w:cs="Arial"/>
                <w:sz w:val="18"/>
                <w:szCs w:val="18"/>
              </w:rPr>
              <w:t>higher</w:t>
            </w:r>
            <w:r w:rsidRPr="00084AFB">
              <w:rPr>
                <w:rFonts w:cs="Arial"/>
                <w:sz w:val="18"/>
                <w:szCs w:val="18"/>
              </w:rPr>
              <w:t xml:space="preserve"> density residential </w:t>
            </w:r>
            <w:r>
              <w:rPr>
                <w:rFonts w:cs="Arial"/>
                <w:sz w:val="18"/>
                <w:szCs w:val="18"/>
              </w:rPr>
              <w:t>activities catering for both permanent residents and tourists and visitors</w:t>
            </w:r>
            <w:r w:rsidRPr="00084AFB">
              <w:rPr>
                <w:rFonts w:cs="Arial"/>
                <w:sz w:val="18"/>
                <w:szCs w:val="18"/>
              </w:rPr>
              <w:t>.</w:t>
            </w:r>
          </w:p>
        </w:tc>
        <w:tc>
          <w:tcPr>
            <w:tcW w:w="4601" w:type="dxa"/>
            <w:shd w:val="clear" w:color="auto" w:fill="auto"/>
          </w:tcPr>
          <w:p w14:paraId="277A3E08" w14:textId="77777777" w:rsidR="00353DA0" w:rsidRPr="00084AFB" w:rsidRDefault="00353DA0" w:rsidP="003352DF">
            <w:pPr>
              <w:pStyle w:val="ListParagraph"/>
              <w:keepNext/>
              <w:ind w:left="0"/>
              <w:rPr>
                <w:rFonts w:cs="Arial"/>
                <w:b/>
                <w:sz w:val="18"/>
                <w:szCs w:val="18"/>
              </w:rPr>
            </w:pPr>
            <w:r w:rsidRPr="00084AFB">
              <w:rPr>
                <w:rFonts w:cs="Arial"/>
                <w:b/>
                <w:sz w:val="18"/>
                <w:szCs w:val="18"/>
              </w:rPr>
              <w:t>AO1</w:t>
            </w:r>
          </w:p>
          <w:p w14:paraId="17AA86FC" w14:textId="77777777" w:rsidR="00353DA0" w:rsidRPr="00084AFB" w:rsidRDefault="00353DA0" w:rsidP="003352DF">
            <w:pPr>
              <w:pStyle w:val="ListParagraph"/>
              <w:keepNext/>
              <w:ind w:left="0"/>
              <w:rPr>
                <w:rFonts w:cs="Arial"/>
                <w:sz w:val="18"/>
                <w:szCs w:val="18"/>
              </w:rPr>
            </w:pPr>
            <w:r w:rsidRPr="00084AFB">
              <w:rPr>
                <w:rFonts w:cs="Arial"/>
                <w:sz w:val="18"/>
                <w:szCs w:val="18"/>
              </w:rPr>
              <w:t xml:space="preserve">Development provides for the following residential activities to occur in </w:t>
            </w:r>
            <w:r>
              <w:rPr>
                <w:rFonts w:cs="Arial"/>
                <w:sz w:val="18"/>
                <w:szCs w:val="18"/>
              </w:rPr>
              <w:t>the High</w:t>
            </w:r>
            <w:r w:rsidRPr="00084AFB">
              <w:rPr>
                <w:rFonts w:cs="Arial"/>
                <w:sz w:val="18"/>
                <w:szCs w:val="18"/>
              </w:rPr>
              <w:t xml:space="preserve"> density residential zone:-</w:t>
            </w:r>
          </w:p>
          <w:p w14:paraId="04092F5E" w14:textId="77777777" w:rsidR="00353DA0" w:rsidRPr="00436005" w:rsidRDefault="00353DA0" w:rsidP="00353DA0">
            <w:pPr>
              <w:pStyle w:val="CommentText"/>
              <w:keepNext/>
              <w:numPr>
                <w:ilvl w:val="0"/>
                <w:numId w:val="50"/>
              </w:numPr>
              <w:tabs>
                <w:tab w:val="clear" w:pos="720"/>
              </w:tabs>
              <w:ind w:left="423" w:hanging="423"/>
              <w:rPr>
                <w:sz w:val="18"/>
                <w:szCs w:val="18"/>
              </w:rPr>
            </w:pPr>
            <w:r w:rsidRPr="00436005">
              <w:rPr>
                <w:sz w:val="18"/>
                <w:szCs w:val="18"/>
              </w:rPr>
              <w:t>Caretaker’s accommodation;</w:t>
            </w:r>
          </w:p>
          <w:p w14:paraId="6F6AD701" w14:textId="77777777" w:rsidR="00353DA0" w:rsidRPr="00436005" w:rsidRDefault="00353DA0" w:rsidP="00353DA0">
            <w:pPr>
              <w:pStyle w:val="CommentText"/>
              <w:keepNext/>
              <w:numPr>
                <w:ilvl w:val="0"/>
                <w:numId w:val="50"/>
              </w:numPr>
              <w:tabs>
                <w:tab w:val="clear" w:pos="720"/>
              </w:tabs>
              <w:ind w:left="423" w:hanging="423"/>
              <w:rPr>
                <w:sz w:val="18"/>
                <w:szCs w:val="18"/>
              </w:rPr>
            </w:pPr>
            <w:r w:rsidRPr="00436005">
              <w:rPr>
                <w:sz w:val="18"/>
                <w:szCs w:val="18"/>
              </w:rPr>
              <w:t>Dual occupancy (where forming part of a mixed use building);</w:t>
            </w:r>
          </w:p>
          <w:p w14:paraId="70C7217E" w14:textId="77777777" w:rsidR="00353DA0" w:rsidRPr="00436005" w:rsidRDefault="00353DA0" w:rsidP="00353DA0">
            <w:pPr>
              <w:pStyle w:val="CommentText"/>
              <w:keepNext/>
              <w:numPr>
                <w:ilvl w:val="0"/>
                <w:numId w:val="50"/>
              </w:numPr>
              <w:tabs>
                <w:tab w:val="clear" w:pos="720"/>
              </w:tabs>
              <w:ind w:left="423" w:hanging="423"/>
              <w:rPr>
                <w:sz w:val="18"/>
                <w:szCs w:val="18"/>
              </w:rPr>
            </w:pPr>
            <w:r w:rsidRPr="00436005">
              <w:rPr>
                <w:sz w:val="18"/>
                <w:szCs w:val="18"/>
              </w:rPr>
              <w:t>Dwelling house;</w:t>
            </w:r>
          </w:p>
          <w:p w14:paraId="225CE0C7" w14:textId="77777777" w:rsidR="00353DA0" w:rsidRPr="00436005" w:rsidRDefault="00353DA0" w:rsidP="00353DA0">
            <w:pPr>
              <w:pStyle w:val="CommentText"/>
              <w:keepNext/>
              <w:numPr>
                <w:ilvl w:val="0"/>
                <w:numId w:val="50"/>
              </w:numPr>
              <w:tabs>
                <w:tab w:val="clear" w:pos="720"/>
              </w:tabs>
              <w:ind w:left="423" w:hanging="423"/>
              <w:rPr>
                <w:sz w:val="18"/>
                <w:szCs w:val="18"/>
              </w:rPr>
            </w:pPr>
            <w:r w:rsidRPr="00436005">
              <w:rPr>
                <w:sz w:val="18"/>
                <w:szCs w:val="18"/>
              </w:rPr>
              <w:t>Dwelling unit;</w:t>
            </w:r>
          </w:p>
          <w:p w14:paraId="6027EB76" w14:textId="77777777" w:rsidR="00353DA0" w:rsidRPr="00084AFB" w:rsidRDefault="00353DA0" w:rsidP="00353DA0">
            <w:pPr>
              <w:pStyle w:val="CommentText"/>
              <w:keepNext/>
              <w:numPr>
                <w:ilvl w:val="0"/>
                <w:numId w:val="50"/>
              </w:numPr>
              <w:tabs>
                <w:tab w:val="clear" w:pos="720"/>
              </w:tabs>
              <w:ind w:left="423" w:hanging="423"/>
              <w:rPr>
                <w:sz w:val="18"/>
                <w:szCs w:val="18"/>
              </w:rPr>
            </w:pPr>
            <w:r w:rsidRPr="00084AFB">
              <w:rPr>
                <w:sz w:val="18"/>
                <w:szCs w:val="18"/>
              </w:rPr>
              <w:t>Multiple dwelling</w:t>
            </w:r>
            <w:r w:rsidRPr="00436005">
              <w:rPr>
                <w:sz w:val="18"/>
                <w:szCs w:val="18"/>
              </w:rPr>
              <w:t>;</w:t>
            </w:r>
          </w:p>
          <w:p w14:paraId="7680FE68" w14:textId="77777777" w:rsidR="00353DA0" w:rsidRPr="00084AFB" w:rsidRDefault="00353DA0" w:rsidP="00353DA0">
            <w:pPr>
              <w:pStyle w:val="CommentText"/>
              <w:keepNext/>
              <w:numPr>
                <w:ilvl w:val="0"/>
                <w:numId w:val="50"/>
              </w:numPr>
              <w:tabs>
                <w:tab w:val="clear" w:pos="720"/>
              </w:tabs>
              <w:ind w:left="423" w:hanging="423"/>
              <w:rPr>
                <w:sz w:val="18"/>
                <w:szCs w:val="18"/>
              </w:rPr>
            </w:pPr>
            <w:r w:rsidRPr="00084AFB">
              <w:rPr>
                <w:sz w:val="18"/>
                <w:szCs w:val="18"/>
              </w:rPr>
              <w:t>Residential care facility</w:t>
            </w:r>
            <w:r w:rsidRPr="00436005">
              <w:rPr>
                <w:sz w:val="18"/>
                <w:szCs w:val="18"/>
              </w:rPr>
              <w:t>;</w:t>
            </w:r>
          </w:p>
          <w:p w14:paraId="4DACD53D" w14:textId="77777777" w:rsidR="00353DA0" w:rsidRPr="00916DE1" w:rsidRDefault="00353DA0" w:rsidP="00353DA0">
            <w:pPr>
              <w:pStyle w:val="CommentText"/>
              <w:keepNext/>
              <w:numPr>
                <w:ilvl w:val="0"/>
                <w:numId w:val="50"/>
              </w:numPr>
              <w:tabs>
                <w:tab w:val="clear" w:pos="720"/>
              </w:tabs>
              <w:ind w:left="423" w:hanging="423"/>
              <w:rPr>
                <w:sz w:val="18"/>
                <w:szCs w:val="18"/>
              </w:rPr>
            </w:pPr>
            <w:r w:rsidRPr="00436005">
              <w:rPr>
                <w:sz w:val="18"/>
                <w:szCs w:val="18"/>
              </w:rPr>
              <w:t>Resort complex;</w:t>
            </w:r>
          </w:p>
          <w:p w14:paraId="7A7D6FEE" w14:textId="77777777" w:rsidR="00353DA0" w:rsidRPr="00084AFB" w:rsidRDefault="00353DA0" w:rsidP="00353DA0">
            <w:pPr>
              <w:pStyle w:val="CommentText"/>
              <w:keepNext/>
              <w:numPr>
                <w:ilvl w:val="0"/>
                <w:numId w:val="50"/>
              </w:numPr>
              <w:tabs>
                <w:tab w:val="clear" w:pos="720"/>
              </w:tabs>
              <w:ind w:left="423" w:hanging="423"/>
              <w:rPr>
                <w:sz w:val="18"/>
                <w:szCs w:val="18"/>
              </w:rPr>
            </w:pPr>
            <w:r w:rsidRPr="00084AFB">
              <w:rPr>
                <w:sz w:val="18"/>
                <w:szCs w:val="18"/>
              </w:rPr>
              <w:t>Retirement facility</w:t>
            </w:r>
            <w:r w:rsidRPr="00436005">
              <w:rPr>
                <w:sz w:val="18"/>
                <w:szCs w:val="18"/>
              </w:rPr>
              <w:t>;</w:t>
            </w:r>
          </w:p>
          <w:p w14:paraId="393BF772" w14:textId="77777777" w:rsidR="00353DA0" w:rsidRPr="00084AFB" w:rsidRDefault="00353DA0" w:rsidP="00353DA0">
            <w:pPr>
              <w:pStyle w:val="CommentText"/>
              <w:keepNext/>
              <w:numPr>
                <w:ilvl w:val="0"/>
                <w:numId w:val="50"/>
              </w:numPr>
              <w:tabs>
                <w:tab w:val="clear" w:pos="720"/>
              </w:tabs>
              <w:ind w:left="423" w:hanging="423"/>
              <w:rPr>
                <w:sz w:val="18"/>
                <w:szCs w:val="18"/>
              </w:rPr>
            </w:pPr>
            <w:r w:rsidRPr="00436005">
              <w:rPr>
                <w:sz w:val="18"/>
                <w:szCs w:val="18"/>
              </w:rPr>
              <w:t xml:space="preserve">Rooming accommodation; </w:t>
            </w:r>
            <w:r>
              <w:rPr>
                <w:sz w:val="18"/>
                <w:szCs w:val="18"/>
              </w:rPr>
              <w:t>or</w:t>
            </w:r>
          </w:p>
          <w:p w14:paraId="4C909F2A" w14:textId="77777777" w:rsidR="00353DA0" w:rsidRPr="00436005" w:rsidRDefault="00353DA0" w:rsidP="00353DA0">
            <w:pPr>
              <w:pStyle w:val="CommentText"/>
              <w:keepNext/>
              <w:numPr>
                <w:ilvl w:val="0"/>
                <w:numId w:val="50"/>
              </w:numPr>
              <w:tabs>
                <w:tab w:val="clear" w:pos="720"/>
              </w:tabs>
              <w:ind w:left="423" w:hanging="423"/>
              <w:rPr>
                <w:rFonts w:cs="Arial"/>
                <w:sz w:val="18"/>
                <w:szCs w:val="18"/>
              </w:rPr>
            </w:pPr>
            <w:r w:rsidRPr="00084AFB">
              <w:rPr>
                <w:sz w:val="18"/>
                <w:szCs w:val="18"/>
              </w:rPr>
              <w:t>Short-term accommodation.</w:t>
            </w:r>
          </w:p>
        </w:tc>
        <w:tc>
          <w:tcPr>
            <w:tcW w:w="4601" w:type="dxa"/>
          </w:tcPr>
          <w:p w14:paraId="5C1DE8C3" w14:textId="00986725" w:rsidR="00353DA0" w:rsidRPr="00084AFB" w:rsidRDefault="00353DA0" w:rsidP="003352DF">
            <w:pPr>
              <w:pStyle w:val="ListParagraph"/>
              <w:keepNext/>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353DA0" w:rsidRPr="00084AFB" w14:paraId="5177F8DC" w14:textId="02775A75" w:rsidTr="00BD530B">
        <w:tc>
          <w:tcPr>
            <w:tcW w:w="13802" w:type="dxa"/>
            <w:gridSpan w:val="3"/>
            <w:shd w:val="clear" w:color="auto" w:fill="D9D9D9"/>
          </w:tcPr>
          <w:p w14:paraId="37D5F746" w14:textId="15C0ADCF" w:rsidR="00353DA0" w:rsidRDefault="00353DA0" w:rsidP="003352DF">
            <w:pPr>
              <w:pStyle w:val="ListParagraph"/>
              <w:ind w:left="0"/>
              <w:rPr>
                <w:rFonts w:cs="Arial"/>
                <w:b/>
                <w:i/>
                <w:sz w:val="18"/>
                <w:szCs w:val="18"/>
              </w:rPr>
            </w:pPr>
            <w:r>
              <w:rPr>
                <w:rFonts w:cs="Arial"/>
                <w:b/>
                <w:i/>
                <w:sz w:val="18"/>
                <w:szCs w:val="18"/>
              </w:rPr>
              <w:t>Mixed use development and n</w:t>
            </w:r>
            <w:r w:rsidRPr="00084AFB">
              <w:rPr>
                <w:rFonts w:cs="Arial"/>
                <w:b/>
                <w:i/>
                <w:sz w:val="18"/>
                <w:szCs w:val="18"/>
              </w:rPr>
              <w:t>on-residential uses</w:t>
            </w:r>
          </w:p>
        </w:tc>
      </w:tr>
      <w:tr w:rsidR="00353DA0" w:rsidRPr="00DB7DBA" w14:paraId="22034D86" w14:textId="267BF7D3" w:rsidTr="00353DA0">
        <w:tc>
          <w:tcPr>
            <w:tcW w:w="4600" w:type="dxa"/>
            <w:shd w:val="clear" w:color="auto" w:fill="auto"/>
          </w:tcPr>
          <w:p w14:paraId="0292F228" w14:textId="77777777" w:rsidR="00353DA0" w:rsidRPr="00DB7DBA" w:rsidRDefault="00353DA0" w:rsidP="003352DF">
            <w:pPr>
              <w:pStyle w:val="ListParagraph"/>
              <w:ind w:left="0"/>
              <w:rPr>
                <w:rFonts w:cs="Arial"/>
                <w:b/>
                <w:sz w:val="18"/>
                <w:szCs w:val="18"/>
              </w:rPr>
            </w:pPr>
            <w:r w:rsidRPr="00DB7DBA">
              <w:rPr>
                <w:rFonts w:cs="Arial"/>
                <w:b/>
                <w:sz w:val="18"/>
                <w:szCs w:val="18"/>
              </w:rPr>
              <w:t>PO2</w:t>
            </w:r>
          </w:p>
          <w:p w14:paraId="5A60A107" w14:textId="77777777" w:rsidR="00353DA0" w:rsidRPr="00DB7DBA" w:rsidRDefault="00353DA0" w:rsidP="003352DF">
            <w:pPr>
              <w:pStyle w:val="ListParagraph"/>
              <w:ind w:left="0"/>
              <w:rPr>
                <w:rFonts w:cs="Arial"/>
                <w:sz w:val="18"/>
                <w:szCs w:val="18"/>
              </w:rPr>
            </w:pPr>
            <w:r w:rsidRPr="00DB7DBA">
              <w:rPr>
                <w:rFonts w:cs="Arial"/>
                <w:sz w:val="18"/>
                <w:szCs w:val="18"/>
              </w:rPr>
              <w:t xml:space="preserve">Where mixed use development is proposed, </w:t>
            </w:r>
            <w:r w:rsidRPr="00DB7DBA">
              <w:rPr>
                <w:sz w:val="18"/>
                <w:szCs w:val="18"/>
              </w:rPr>
              <w:t>active, non-residential uses are provided at street level such as small-scale shops and food and drink outlets (e.g. cafes and restaurants) and residential uses are located above or behind street level active, non-residential uses.</w:t>
            </w:r>
          </w:p>
        </w:tc>
        <w:tc>
          <w:tcPr>
            <w:tcW w:w="4601" w:type="dxa"/>
            <w:shd w:val="clear" w:color="auto" w:fill="auto"/>
          </w:tcPr>
          <w:p w14:paraId="480E61BC" w14:textId="77777777" w:rsidR="00353DA0" w:rsidRPr="00DB7DBA" w:rsidRDefault="00353DA0" w:rsidP="003352DF">
            <w:pPr>
              <w:pStyle w:val="ListParagraph"/>
              <w:ind w:left="0"/>
              <w:rPr>
                <w:rFonts w:cs="Arial"/>
                <w:b/>
                <w:sz w:val="18"/>
                <w:szCs w:val="18"/>
              </w:rPr>
            </w:pPr>
            <w:r w:rsidRPr="00DB7DBA">
              <w:rPr>
                <w:rFonts w:cs="Arial"/>
                <w:b/>
                <w:sz w:val="18"/>
                <w:szCs w:val="18"/>
              </w:rPr>
              <w:t>AO2</w:t>
            </w:r>
          </w:p>
          <w:p w14:paraId="6AC8521F" w14:textId="77777777" w:rsidR="00353DA0" w:rsidRPr="00DB7DBA" w:rsidRDefault="00353DA0" w:rsidP="003352DF">
            <w:pPr>
              <w:pStyle w:val="ListParagraph"/>
              <w:ind w:left="0"/>
              <w:rPr>
                <w:rFonts w:cs="Arial"/>
                <w:sz w:val="18"/>
                <w:szCs w:val="18"/>
              </w:rPr>
            </w:pPr>
            <w:r w:rsidRPr="00DB7DBA">
              <w:rPr>
                <w:rFonts w:cs="Arial"/>
                <w:sz w:val="18"/>
                <w:szCs w:val="18"/>
              </w:rPr>
              <w:t>No acceptable outcome provided.</w:t>
            </w:r>
          </w:p>
        </w:tc>
        <w:tc>
          <w:tcPr>
            <w:tcW w:w="4601" w:type="dxa"/>
          </w:tcPr>
          <w:p w14:paraId="7CDF1764" w14:textId="3853E814" w:rsidR="00353DA0" w:rsidRPr="00DB7DBA"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32188C41" w14:textId="15914AF2" w:rsidTr="00353DA0">
        <w:tc>
          <w:tcPr>
            <w:tcW w:w="4600" w:type="dxa"/>
            <w:shd w:val="clear" w:color="auto" w:fill="auto"/>
          </w:tcPr>
          <w:p w14:paraId="73C1D4A2" w14:textId="77777777" w:rsidR="00353DA0" w:rsidRDefault="00353DA0" w:rsidP="003352DF">
            <w:pPr>
              <w:pStyle w:val="ListParagraph"/>
              <w:ind w:left="0"/>
              <w:rPr>
                <w:rFonts w:cs="Arial"/>
                <w:b/>
                <w:sz w:val="18"/>
                <w:szCs w:val="18"/>
              </w:rPr>
            </w:pPr>
            <w:r>
              <w:rPr>
                <w:rFonts w:cs="Arial"/>
                <w:b/>
                <w:sz w:val="18"/>
                <w:szCs w:val="18"/>
              </w:rPr>
              <w:t>PO3</w:t>
            </w:r>
          </w:p>
          <w:p w14:paraId="6E074B93" w14:textId="77777777" w:rsidR="00353DA0" w:rsidRPr="006C6C3B" w:rsidRDefault="00353DA0" w:rsidP="003352DF">
            <w:pPr>
              <w:pStyle w:val="ListParagraph"/>
              <w:ind w:left="0"/>
            </w:pPr>
            <w:r>
              <w:rPr>
                <w:rFonts w:cs="Arial"/>
                <w:sz w:val="18"/>
                <w:szCs w:val="18"/>
              </w:rPr>
              <w:t xml:space="preserve">The type, scale and intensity of business activities in mixed use development does not undermine the </w:t>
            </w:r>
            <w:r w:rsidRPr="007222E9">
              <w:rPr>
                <w:sz w:val="18"/>
                <w:szCs w:val="18"/>
              </w:rPr>
              <w:t>Bundaberg Region activity centre network</w:t>
            </w:r>
            <w:r>
              <w:rPr>
                <w:sz w:val="18"/>
                <w:szCs w:val="18"/>
              </w:rPr>
              <w:t>, and primarily</w:t>
            </w:r>
            <w:r w:rsidRPr="00E2086C">
              <w:rPr>
                <w:sz w:val="18"/>
                <w:szCs w:val="18"/>
              </w:rPr>
              <w:t xml:space="preserve"> service the </w:t>
            </w:r>
            <w:r>
              <w:rPr>
                <w:sz w:val="18"/>
                <w:szCs w:val="18"/>
              </w:rPr>
              <w:t>needs of residents and</w:t>
            </w:r>
            <w:r w:rsidRPr="00E2086C">
              <w:rPr>
                <w:sz w:val="18"/>
                <w:szCs w:val="18"/>
              </w:rPr>
              <w:t xml:space="preserve"> visitors</w:t>
            </w:r>
            <w:r>
              <w:rPr>
                <w:sz w:val="18"/>
                <w:szCs w:val="18"/>
              </w:rPr>
              <w:t xml:space="preserve"> in the</w:t>
            </w:r>
            <w:r w:rsidRPr="00E2086C">
              <w:rPr>
                <w:sz w:val="18"/>
                <w:szCs w:val="18"/>
              </w:rPr>
              <w:t xml:space="preserve"> immediate neighbourhood </w:t>
            </w:r>
          </w:p>
        </w:tc>
        <w:tc>
          <w:tcPr>
            <w:tcW w:w="4601" w:type="dxa"/>
            <w:shd w:val="clear" w:color="auto" w:fill="auto"/>
          </w:tcPr>
          <w:p w14:paraId="28EB4901" w14:textId="77777777" w:rsidR="00353DA0" w:rsidRPr="006B172A" w:rsidRDefault="00353DA0" w:rsidP="003352DF">
            <w:pPr>
              <w:pStyle w:val="CommentText"/>
              <w:rPr>
                <w:rFonts w:cs="Arial"/>
                <w:b/>
                <w:sz w:val="18"/>
                <w:szCs w:val="18"/>
              </w:rPr>
            </w:pPr>
            <w:r w:rsidRPr="006B172A">
              <w:rPr>
                <w:rFonts w:cs="Arial"/>
                <w:b/>
                <w:sz w:val="18"/>
                <w:szCs w:val="18"/>
              </w:rPr>
              <w:t>AO3</w:t>
            </w:r>
          </w:p>
          <w:p w14:paraId="655C75EA" w14:textId="77777777" w:rsidR="00353DA0" w:rsidRDefault="00353DA0" w:rsidP="003352DF">
            <w:pPr>
              <w:pStyle w:val="CommentText"/>
              <w:rPr>
                <w:rFonts w:cs="Arial"/>
                <w:sz w:val="18"/>
                <w:szCs w:val="18"/>
              </w:rPr>
            </w:pPr>
            <w:r>
              <w:rPr>
                <w:rFonts w:cs="Arial"/>
                <w:sz w:val="18"/>
                <w:szCs w:val="18"/>
              </w:rPr>
              <w:t>Development ensures:</w:t>
            </w:r>
          </w:p>
          <w:p w14:paraId="272487F2" w14:textId="77777777" w:rsidR="00353DA0" w:rsidRPr="006B172A" w:rsidRDefault="00353DA0" w:rsidP="00353DA0">
            <w:pPr>
              <w:pStyle w:val="CommentText"/>
              <w:numPr>
                <w:ilvl w:val="0"/>
                <w:numId w:val="51"/>
              </w:numPr>
              <w:tabs>
                <w:tab w:val="clear" w:pos="720"/>
              </w:tabs>
              <w:ind w:left="423" w:hanging="423"/>
              <w:rPr>
                <w:rFonts w:cs="Arial"/>
                <w:sz w:val="18"/>
                <w:szCs w:val="18"/>
              </w:rPr>
            </w:pPr>
            <w:r>
              <w:rPr>
                <w:rFonts w:cs="Arial"/>
                <w:sz w:val="18"/>
                <w:szCs w:val="18"/>
              </w:rPr>
              <w:t>s</w:t>
            </w:r>
            <w:r w:rsidRPr="006B172A">
              <w:rPr>
                <w:rFonts w:cs="Arial"/>
                <w:sz w:val="18"/>
                <w:szCs w:val="18"/>
              </w:rPr>
              <w:t>hops or offices, have a gross leasable floor area not exceeding 400m</w:t>
            </w:r>
            <w:r w:rsidRPr="006B172A">
              <w:rPr>
                <w:rFonts w:cs="Arial"/>
                <w:sz w:val="18"/>
                <w:szCs w:val="18"/>
                <w:vertAlign w:val="superscript"/>
              </w:rPr>
              <w:t>2</w:t>
            </w:r>
            <w:r w:rsidRPr="006B172A">
              <w:rPr>
                <w:rFonts w:cs="Arial"/>
                <w:sz w:val="18"/>
                <w:szCs w:val="18"/>
              </w:rPr>
              <w:t>; and</w:t>
            </w:r>
          </w:p>
          <w:p w14:paraId="3F802502" w14:textId="77777777" w:rsidR="00353DA0" w:rsidRPr="006B172A" w:rsidRDefault="00353DA0" w:rsidP="00353DA0">
            <w:pPr>
              <w:pStyle w:val="CommentText"/>
              <w:numPr>
                <w:ilvl w:val="0"/>
                <w:numId w:val="51"/>
              </w:numPr>
              <w:tabs>
                <w:tab w:val="clear" w:pos="720"/>
              </w:tabs>
              <w:ind w:left="423" w:hanging="423"/>
              <w:rPr>
                <w:rFonts w:cs="Arial"/>
                <w:sz w:val="18"/>
                <w:szCs w:val="18"/>
              </w:rPr>
            </w:pPr>
            <w:r>
              <w:rPr>
                <w:rFonts w:cs="Arial"/>
                <w:sz w:val="18"/>
                <w:szCs w:val="18"/>
              </w:rPr>
              <w:t>i</w:t>
            </w:r>
            <w:r w:rsidRPr="006B172A">
              <w:rPr>
                <w:rFonts w:cs="Arial"/>
                <w:sz w:val="18"/>
                <w:szCs w:val="18"/>
              </w:rPr>
              <w:t xml:space="preserve">n the case of a shopping centre, </w:t>
            </w:r>
            <w:r>
              <w:rPr>
                <w:rFonts w:cs="Arial"/>
                <w:sz w:val="18"/>
                <w:szCs w:val="18"/>
              </w:rPr>
              <w:t>g</w:t>
            </w:r>
            <w:r w:rsidRPr="006B172A">
              <w:rPr>
                <w:rFonts w:cs="Arial"/>
                <w:sz w:val="18"/>
                <w:szCs w:val="18"/>
              </w:rPr>
              <w:t xml:space="preserve">ross leasable floor area </w:t>
            </w:r>
            <w:r>
              <w:rPr>
                <w:rFonts w:cs="Arial"/>
                <w:sz w:val="18"/>
                <w:szCs w:val="18"/>
              </w:rPr>
              <w:t xml:space="preserve">does </w:t>
            </w:r>
            <w:r w:rsidRPr="006B172A">
              <w:rPr>
                <w:rFonts w:cs="Arial"/>
                <w:sz w:val="18"/>
                <w:szCs w:val="18"/>
              </w:rPr>
              <w:t>not exceed 1,200m</w:t>
            </w:r>
            <w:r w:rsidRPr="006B172A">
              <w:rPr>
                <w:rFonts w:cs="Arial"/>
                <w:sz w:val="18"/>
                <w:szCs w:val="18"/>
                <w:vertAlign w:val="superscript"/>
              </w:rPr>
              <w:t>2</w:t>
            </w:r>
            <w:r w:rsidRPr="006B172A">
              <w:rPr>
                <w:rFonts w:cs="Arial"/>
                <w:sz w:val="18"/>
                <w:szCs w:val="18"/>
              </w:rPr>
              <w:t xml:space="preserve"> for all tenancies and 400m</w:t>
            </w:r>
            <w:r w:rsidRPr="006B172A">
              <w:rPr>
                <w:rFonts w:cs="Arial"/>
                <w:sz w:val="18"/>
                <w:szCs w:val="18"/>
                <w:vertAlign w:val="superscript"/>
              </w:rPr>
              <w:t>2</w:t>
            </w:r>
            <w:r w:rsidRPr="006B172A">
              <w:rPr>
                <w:rFonts w:cs="Arial"/>
                <w:sz w:val="18"/>
                <w:szCs w:val="18"/>
              </w:rPr>
              <w:t xml:space="preserve"> for any single tenancy.</w:t>
            </w:r>
          </w:p>
        </w:tc>
        <w:tc>
          <w:tcPr>
            <w:tcW w:w="4601" w:type="dxa"/>
          </w:tcPr>
          <w:p w14:paraId="01F4E3E2" w14:textId="437D205F" w:rsidR="00353DA0" w:rsidRPr="006B172A" w:rsidRDefault="00353DA0" w:rsidP="003352DF">
            <w:pPr>
              <w:pStyle w:val="CommentText"/>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5C85F23A" w14:textId="2AD710E5" w:rsidTr="00353DA0">
        <w:tc>
          <w:tcPr>
            <w:tcW w:w="4600" w:type="dxa"/>
            <w:shd w:val="clear" w:color="auto" w:fill="auto"/>
          </w:tcPr>
          <w:p w14:paraId="72C95AE0" w14:textId="77777777" w:rsidR="00353DA0" w:rsidRPr="00084AFB" w:rsidRDefault="00353DA0" w:rsidP="003352DF">
            <w:pPr>
              <w:pStyle w:val="ListParagraph"/>
              <w:ind w:left="0"/>
              <w:rPr>
                <w:rFonts w:cs="Arial"/>
                <w:b/>
                <w:sz w:val="18"/>
                <w:szCs w:val="18"/>
              </w:rPr>
            </w:pPr>
            <w:r w:rsidRPr="00084AFB">
              <w:rPr>
                <w:rFonts w:cs="Arial"/>
                <w:b/>
                <w:sz w:val="18"/>
                <w:szCs w:val="18"/>
              </w:rPr>
              <w:t>PO</w:t>
            </w:r>
            <w:r>
              <w:rPr>
                <w:rFonts w:cs="Arial"/>
                <w:b/>
                <w:sz w:val="18"/>
                <w:szCs w:val="18"/>
              </w:rPr>
              <w:t>4</w:t>
            </w:r>
          </w:p>
          <w:p w14:paraId="31B0253C" w14:textId="77777777" w:rsidR="00353DA0" w:rsidRPr="00084AFB" w:rsidRDefault="00353DA0" w:rsidP="003352DF">
            <w:pPr>
              <w:pStyle w:val="ListParagraph"/>
              <w:ind w:left="0"/>
              <w:rPr>
                <w:rFonts w:cs="Arial"/>
                <w:sz w:val="18"/>
                <w:szCs w:val="18"/>
              </w:rPr>
            </w:pPr>
            <w:r>
              <w:rPr>
                <w:rFonts w:cs="Arial"/>
                <w:sz w:val="18"/>
                <w:szCs w:val="18"/>
              </w:rPr>
              <w:t>N</w:t>
            </w:r>
            <w:r w:rsidRPr="00084AFB">
              <w:rPr>
                <w:rFonts w:cs="Arial"/>
                <w:sz w:val="18"/>
                <w:szCs w:val="18"/>
              </w:rPr>
              <w:t xml:space="preserve">on-residential activities </w:t>
            </w:r>
            <w:r>
              <w:rPr>
                <w:rFonts w:cs="Arial"/>
                <w:sz w:val="18"/>
                <w:szCs w:val="18"/>
              </w:rPr>
              <w:t xml:space="preserve">not forming part of a mixed use development </w:t>
            </w:r>
            <w:r w:rsidRPr="00084AFB">
              <w:rPr>
                <w:rFonts w:cs="Arial"/>
                <w:sz w:val="18"/>
                <w:szCs w:val="18"/>
              </w:rPr>
              <w:t xml:space="preserve">may </w:t>
            </w:r>
            <w:r>
              <w:rPr>
                <w:rFonts w:cs="Arial"/>
                <w:sz w:val="18"/>
                <w:szCs w:val="18"/>
              </w:rPr>
              <w:t xml:space="preserve">also </w:t>
            </w:r>
            <w:r w:rsidRPr="00084AFB">
              <w:rPr>
                <w:rFonts w:cs="Arial"/>
                <w:sz w:val="18"/>
                <w:szCs w:val="18"/>
              </w:rPr>
              <w:t xml:space="preserve">be established in the </w:t>
            </w:r>
            <w:r>
              <w:rPr>
                <w:rFonts w:cs="Arial"/>
                <w:sz w:val="18"/>
                <w:szCs w:val="18"/>
              </w:rPr>
              <w:t>High</w:t>
            </w:r>
            <w:r w:rsidRPr="00084AFB">
              <w:rPr>
                <w:rFonts w:cs="Arial"/>
                <w:sz w:val="18"/>
                <w:szCs w:val="18"/>
              </w:rPr>
              <w:t xml:space="preserve"> density residential zone, provided that these activities:-</w:t>
            </w:r>
          </w:p>
          <w:p w14:paraId="4D912AF7" w14:textId="77777777" w:rsidR="00353DA0" w:rsidRPr="00916DE1" w:rsidRDefault="00353DA0" w:rsidP="00353DA0">
            <w:pPr>
              <w:pStyle w:val="CommentText"/>
              <w:numPr>
                <w:ilvl w:val="0"/>
                <w:numId w:val="47"/>
              </w:numPr>
              <w:tabs>
                <w:tab w:val="clear" w:pos="720"/>
              </w:tabs>
              <w:ind w:left="423" w:hanging="423"/>
              <w:rPr>
                <w:sz w:val="18"/>
                <w:szCs w:val="18"/>
              </w:rPr>
            </w:pPr>
            <w:r w:rsidRPr="00916DE1">
              <w:rPr>
                <w:sz w:val="18"/>
                <w:szCs w:val="18"/>
              </w:rPr>
              <w:t>directly support the day to day needs of the immediate residential community;</w:t>
            </w:r>
          </w:p>
          <w:p w14:paraId="552A1A19" w14:textId="77777777" w:rsidR="00353DA0" w:rsidRPr="00916DE1" w:rsidRDefault="00353DA0" w:rsidP="00353DA0">
            <w:pPr>
              <w:pStyle w:val="CommentText"/>
              <w:numPr>
                <w:ilvl w:val="0"/>
                <w:numId w:val="47"/>
              </w:numPr>
              <w:tabs>
                <w:tab w:val="clear" w:pos="720"/>
              </w:tabs>
              <w:ind w:left="423" w:hanging="423"/>
              <w:rPr>
                <w:sz w:val="18"/>
                <w:szCs w:val="18"/>
              </w:rPr>
            </w:pPr>
            <w:r w:rsidRPr="00916DE1">
              <w:rPr>
                <w:sz w:val="18"/>
                <w:szCs w:val="18"/>
              </w:rPr>
              <w:t>are of a small-scale and low intensity;</w:t>
            </w:r>
          </w:p>
          <w:p w14:paraId="4B381F27" w14:textId="77777777" w:rsidR="00353DA0" w:rsidRPr="00916DE1" w:rsidRDefault="00353DA0" w:rsidP="00353DA0">
            <w:pPr>
              <w:pStyle w:val="CommentText"/>
              <w:numPr>
                <w:ilvl w:val="0"/>
                <w:numId w:val="47"/>
              </w:numPr>
              <w:tabs>
                <w:tab w:val="clear" w:pos="720"/>
              </w:tabs>
              <w:ind w:left="423" w:hanging="423"/>
              <w:rPr>
                <w:sz w:val="18"/>
                <w:szCs w:val="18"/>
              </w:rPr>
            </w:pPr>
            <w:r w:rsidRPr="00916DE1">
              <w:rPr>
                <w:sz w:val="18"/>
                <w:szCs w:val="18"/>
              </w:rPr>
              <w:t>are compatible with the prevailing residential character and amenity of the local area;</w:t>
            </w:r>
          </w:p>
          <w:p w14:paraId="1E925B48" w14:textId="77777777" w:rsidR="00353DA0" w:rsidRDefault="00353DA0" w:rsidP="00353DA0">
            <w:pPr>
              <w:pStyle w:val="CommentText"/>
              <w:numPr>
                <w:ilvl w:val="0"/>
                <w:numId w:val="47"/>
              </w:numPr>
              <w:tabs>
                <w:tab w:val="clear" w:pos="720"/>
              </w:tabs>
              <w:ind w:left="423" w:hanging="423"/>
              <w:rPr>
                <w:sz w:val="18"/>
                <w:szCs w:val="18"/>
              </w:rPr>
            </w:pPr>
            <w:r w:rsidRPr="00916DE1">
              <w:rPr>
                <w:sz w:val="18"/>
                <w:szCs w:val="18"/>
              </w:rPr>
              <w:lastRenderedPageBreak/>
              <w:t>wherever possible, are co-located with other non-residential uses; and</w:t>
            </w:r>
          </w:p>
          <w:p w14:paraId="553D0AA6" w14:textId="2604BB4E" w:rsidR="00353DA0" w:rsidRPr="00353DA0" w:rsidRDefault="00353DA0" w:rsidP="00353DA0">
            <w:pPr>
              <w:pStyle w:val="CommentText"/>
              <w:numPr>
                <w:ilvl w:val="0"/>
                <w:numId w:val="47"/>
              </w:numPr>
              <w:tabs>
                <w:tab w:val="clear" w:pos="720"/>
              </w:tabs>
              <w:ind w:left="423" w:hanging="423"/>
              <w:rPr>
                <w:sz w:val="18"/>
                <w:szCs w:val="18"/>
              </w:rPr>
            </w:pPr>
            <w:r w:rsidRPr="00353DA0">
              <w:rPr>
                <w:sz w:val="18"/>
                <w:szCs w:val="18"/>
              </w:rPr>
              <w:t>are accessible to the population they serve and are located on the major road network rather than local residential streets.</w:t>
            </w:r>
            <w:r w:rsidRPr="00353DA0">
              <w:rPr>
                <w:rFonts w:cs="Arial"/>
                <w:sz w:val="18"/>
                <w:szCs w:val="18"/>
              </w:rPr>
              <w:t xml:space="preserve"> </w:t>
            </w:r>
          </w:p>
        </w:tc>
        <w:tc>
          <w:tcPr>
            <w:tcW w:w="4601" w:type="dxa"/>
            <w:shd w:val="clear" w:color="auto" w:fill="auto"/>
          </w:tcPr>
          <w:p w14:paraId="21CE68F5" w14:textId="77777777" w:rsidR="00353DA0" w:rsidRPr="00084AFB" w:rsidRDefault="00353DA0" w:rsidP="003352DF">
            <w:pPr>
              <w:pStyle w:val="ListParagraph"/>
              <w:ind w:left="0"/>
              <w:rPr>
                <w:rFonts w:cs="Arial"/>
                <w:b/>
                <w:sz w:val="18"/>
                <w:szCs w:val="18"/>
              </w:rPr>
            </w:pPr>
            <w:r w:rsidRPr="00084AFB">
              <w:rPr>
                <w:rFonts w:cs="Arial"/>
                <w:b/>
                <w:sz w:val="18"/>
                <w:szCs w:val="18"/>
              </w:rPr>
              <w:lastRenderedPageBreak/>
              <w:t>AO</w:t>
            </w:r>
            <w:r>
              <w:rPr>
                <w:rFonts w:cs="Arial"/>
                <w:b/>
                <w:sz w:val="18"/>
                <w:szCs w:val="18"/>
              </w:rPr>
              <w:t>4</w:t>
            </w:r>
          </w:p>
          <w:p w14:paraId="069D5301" w14:textId="77777777" w:rsidR="00353DA0" w:rsidRPr="00084AFB" w:rsidRDefault="00353DA0" w:rsidP="003352DF">
            <w:pPr>
              <w:pStyle w:val="ListParagraph"/>
              <w:ind w:left="0"/>
              <w:rPr>
                <w:rFonts w:cs="Arial"/>
                <w:sz w:val="16"/>
                <w:szCs w:val="16"/>
              </w:rPr>
            </w:pPr>
            <w:r>
              <w:rPr>
                <w:rFonts w:cs="Arial"/>
                <w:sz w:val="18"/>
                <w:szCs w:val="18"/>
              </w:rPr>
              <w:t>No acceptable outcome provided.</w:t>
            </w:r>
            <w:r w:rsidRPr="00084AFB">
              <w:rPr>
                <w:rFonts w:cs="Arial"/>
                <w:sz w:val="16"/>
                <w:szCs w:val="16"/>
              </w:rPr>
              <w:t xml:space="preserve"> </w:t>
            </w:r>
          </w:p>
        </w:tc>
        <w:tc>
          <w:tcPr>
            <w:tcW w:w="4601" w:type="dxa"/>
          </w:tcPr>
          <w:p w14:paraId="17AFF916" w14:textId="2232FCBB" w:rsidR="00353DA0" w:rsidRPr="00084AFB"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3D704801" w14:textId="54F38DF1" w:rsidTr="00E36ACF">
        <w:tc>
          <w:tcPr>
            <w:tcW w:w="13802" w:type="dxa"/>
            <w:gridSpan w:val="3"/>
            <w:shd w:val="clear" w:color="auto" w:fill="D9D9D9"/>
          </w:tcPr>
          <w:p w14:paraId="1E99454C" w14:textId="5D0BF89A" w:rsidR="00353DA0" w:rsidRDefault="00353DA0" w:rsidP="003352DF">
            <w:pPr>
              <w:pStyle w:val="ListParagraph"/>
              <w:ind w:left="0"/>
              <w:rPr>
                <w:rFonts w:cs="Arial"/>
                <w:b/>
                <w:i/>
                <w:sz w:val="18"/>
                <w:szCs w:val="18"/>
              </w:rPr>
            </w:pPr>
            <w:r>
              <w:rPr>
                <w:rFonts w:cs="Arial"/>
                <w:b/>
                <w:i/>
                <w:sz w:val="18"/>
                <w:szCs w:val="18"/>
              </w:rPr>
              <w:t>Building h</w:t>
            </w:r>
            <w:r w:rsidRPr="00084AFB">
              <w:rPr>
                <w:rFonts w:cs="Arial"/>
                <w:b/>
                <w:i/>
                <w:sz w:val="18"/>
                <w:szCs w:val="18"/>
              </w:rPr>
              <w:t>eight</w:t>
            </w:r>
            <w:r>
              <w:rPr>
                <w:rFonts w:cs="Arial"/>
                <w:b/>
                <w:i/>
                <w:sz w:val="18"/>
                <w:szCs w:val="18"/>
              </w:rPr>
              <w:t xml:space="preserve"> and built form</w:t>
            </w:r>
          </w:p>
        </w:tc>
      </w:tr>
      <w:tr w:rsidR="00353DA0" w:rsidRPr="00084AFB" w14:paraId="5D6528F2" w14:textId="790439EA" w:rsidTr="00353DA0">
        <w:tc>
          <w:tcPr>
            <w:tcW w:w="4600" w:type="dxa"/>
            <w:shd w:val="clear" w:color="auto" w:fill="auto"/>
          </w:tcPr>
          <w:p w14:paraId="17872043" w14:textId="77777777" w:rsidR="00353DA0" w:rsidRPr="00DC021F" w:rsidRDefault="00353DA0" w:rsidP="003352DF">
            <w:pPr>
              <w:pStyle w:val="ListParagraph"/>
              <w:ind w:left="0"/>
              <w:rPr>
                <w:b/>
                <w:sz w:val="18"/>
                <w:szCs w:val="18"/>
              </w:rPr>
            </w:pPr>
            <w:r w:rsidRPr="00DC021F">
              <w:rPr>
                <w:b/>
                <w:sz w:val="18"/>
                <w:szCs w:val="18"/>
              </w:rPr>
              <w:t>PO5</w:t>
            </w:r>
          </w:p>
          <w:p w14:paraId="35ED7246" w14:textId="77777777" w:rsidR="00353DA0" w:rsidRDefault="00353DA0" w:rsidP="00353DA0">
            <w:pPr>
              <w:pStyle w:val="ListParagraph"/>
              <w:numPr>
                <w:ilvl w:val="0"/>
                <w:numId w:val="148"/>
              </w:numPr>
              <w:ind w:left="394" w:hanging="394"/>
              <w:rPr>
                <w:sz w:val="18"/>
                <w:szCs w:val="18"/>
              </w:rPr>
            </w:pPr>
            <w:r w:rsidRPr="00770B2A">
              <w:rPr>
                <w:sz w:val="18"/>
                <w:szCs w:val="18"/>
              </w:rPr>
              <w:t xml:space="preserve">Residential development </w:t>
            </w:r>
            <w:r>
              <w:rPr>
                <w:sz w:val="18"/>
                <w:szCs w:val="18"/>
              </w:rPr>
              <w:t xml:space="preserve">and mixed use buildings </w:t>
            </w:r>
            <w:r w:rsidRPr="00770B2A">
              <w:rPr>
                <w:sz w:val="18"/>
                <w:szCs w:val="18"/>
              </w:rPr>
              <w:t>ha</w:t>
            </w:r>
            <w:r>
              <w:rPr>
                <w:sz w:val="18"/>
                <w:szCs w:val="18"/>
              </w:rPr>
              <w:t>ve</w:t>
            </w:r>
            <w:r w:rsidRPr="00770B2A">
              <w:rPr>
                <w:sz w:val="18"/>
                <w:szCs w:val="18"/>
              </w:rPr>
              <w:t xml:space="preserve"> a maximum building height</w:t>
            </w:r>
            <w:r>
              <w:rPr>
                <w:sz w:val="18"/>
                <w:szCs w:val="18"/>
              </w:rPr>
              <w:t>:-</w:t>
            </w:r>
          </w:p>
          <w:p w14:paraId="7145A94A" w14:textId="77777777" w:rsidR="00353DA0" w:rsidRDefault="00353DA0" w:rsidP="00353DA0">
            <w:pPr>
              <w:pStyle w:val="ListParagraph"/>
              <w:numPr>
                <w:ilvl w:val="1"/>
                <w:numId w:val="148"/>
              </w:numPr>
              <w:ind w:left="671" w:hanging="284"/>
              <w:rPr>
                <w:sz w:val="18"/>
                <w:szCs w:val="18"/>
              </w:rPr>
            </w:pPr>
            <w:r>
              <w:rPr>
                <w:sz w:val="18"/>
                <w:szCs w:val="18"/>
              </w:rPr>
              <w:t>up to 6</w:t>
            </w:r>
            <w:r w:rsidRPr="00770B2A">
              <w:rPr>
                <w:sz w:val="18"/>
                <w:szCs w:val="18"/>
              </w:rPr>
              <w:t xml:space="preserve"> storeys and </w:t>
            </w:r>
            <w:r>
              <w:rPr>
                <w:sz w:val="18"/>
                <w:szCs w:val="18"/>
              </w:rPr>
              <w:t>20</w:t>
            </w:r>
            <w:r w:rsidRPr="00770B2A">
              <w:rPr>
                <w:sz w:val="18"/>
                <w:szCs w:val="18"/>
              </w:rPr>
              <w:t>m</w:t>
            </w:r>
            <w:r>
              <w:rPr>
                <w:sz w:val="18"/>
                <w:szCs w:val="18"/>
              </w:rPr>
              <w:t xml:space="preserve"> in Bundaberg; and</w:t>
            </w:r>
          </w:p>
          <w:p w14:paraId="187C6F20" w14:textId="77777777" w:rsidR="00353DA0" w:rsidRDefault="00353DA0" w:rsidP="00353DA0">
            <w:pPr>
              <w:pStyle w:val="ListParagraph"/>
              <w:numPr>
                <w:ilvl w:val="1"/>
                <w:numId w:val="148"/>
              </w:numPr>
              <w:ind w:left="671" w:hanging="284"/>
              <w:rPr>
                <w:sz w:val="18"/>
                <w:szCs w:val="18"/>
              </w:rPr>
            </w:pPr>
            <w:r>
              <w:rPr>
                <w:sz w:val="18"/>
                <w:szCs w:val="18"/>
              </w:rPr>
              <w:t xml:space="preserve">in accordance with the building height limits for Bargara identified in </w:t>
            </w:r>
            <w:r w:rsidRPr="00180453">
              <w:rPr>
                <w:b/>
                <w:bCs/>
                <w:sz w:val="18"/>
                <w:szCs w:val="18"/>
              </w:rPr>
              <w:t>Figure 6.2.3 (Bargara Building Heights)</w:t>
            </w:r>
            <w:r w:rsidRPr="00770B2A">
              <w:rPr>
                <w:sz w:val="18"/>
                <w:szCs w:val="18"/>
              </w:rPr>
              <w:t>.</w:t>
            </w:r>
          </w:p>
          <w:p w14:paraId="78BFE02F" w14:textId="77777777" w:rsidR="00353DA0" w:rsidRDefault="00353DA0" w:rsidP="003352DF">
            <w:pPr>
              <w:pStyle w:val="ListParagraph"/>
              <w:ind w:left="394"/>
              <w:rPr>
                <w:sz w:val="18"/>
                <w:szCs w:val="18"/>
              </w:rPr>
            </w:pPr>
          </w:p>
          <w:p w14:paraId="740868CD" w14:textId="77777777" w:rsidR="00353DA0" w:rsidRPr="005413DC" w:rsidRDefault="00353DA0" w:rsidP="00353DA0">
            <w:pPr>
              <w:pStyle w:val="ListParagraph"/>
              <w:numPr>
                <w:ilvl w:val="0"/>
                <w:numId w:val="148"/>
              </w:numPr>
              <w:ind w:left="394" w:hanging="394"/>
              <w:rPr>
                <w:rFonts w:cs="Arial"/>
                <w:bCs/>
                <w:sz w:val="18"/>
                <w:szCs w:val="18"/>
              </w:rPr>
            </w:pPr>
            <w:r w:rsidRPr="00FA6353">
              <w:rPr>
                <w:sz w:val="18"/>
                <w:szCs w:val="18"/>
              </w:rPr>
              <w:t xml:space="preserve">Non-residential development has a maximum </w:t>
            </w:r>
            <w:r w:rsidRPr="00FA6353">
              <w:rPr>
                <w:rFonts w:cs="Arial"/>
                <w:bCs/>
                <w:sz w:val="18"/>
                <w:szCs w:val="18"/>
              </w:rPr>
              <w:t>building height of</w:t>
            </w:r>
            <w:r>
              <w:rPr>
                <w:rFonts w:cs="Arial"/>
                <w:bCs/>
                <w:sz w:val="18"/>
                <w:szCs w:val="18"/>
              </w:rPr>
              <w:t xml:space="preserve"> </w:t>
            </w:r>
            <w:r w:rsidRPr="002F503D">
              <w:rPr>
                <w:rFonts w:cs="Arial"/>
                <w:bCs/>
                <w:sz w:val="18"/>
                <w:szCs w:val="18"/>
              </w:rPr>
              <w:t>2 storeys and 8.5m</w:t>
            </w:r>
            <w:r w:rsidRPr="00FA6353">
              <w:rPr>
                <w:rFonts w:cs="Arial"/>
                <w:bCs/>
                <w:sz w:val="18"/>
                <w:szCs w:val="18"/>
              </w:rPr>
              <w:t>.</w:t>
            </w:r>
          </w:p>
        </w:tc>
        <w:tc>
          <w:tcPr>
            <w:tcW w:w="4601" w:type="dxa"/>
            <w:shd w:val="clear" w:color="auto" w:fill="auto"/>
          </w:tcPr>
          <w:p w14:paraId="01A978E3" w14:textId="77777777" w:rsidR="00353DA0" w:rsidRPr="00DC021F" w:rsidRDefault="00353DA0" w:rsidP="003352DF">
            <w:pPr>
              <w:pStyle w:val="ListParagraph"/>
              <w:ind w:left="0"/>
              <w:rPr>
                <w:rFonts w:cs="Arial"/>
                <w:b/>
                <w:sz w:val="18"/>
                <w:szCs w:val="18"/>
              </w:rPr>
            </w:pPr>
            <w:r w:rsidRPr="00DC021F">
              <w:rPr>
                <w:rFonts w:cs="Arial"/>
                <w:b/>
                <w:sz w:val="18"/>
                <w:szCs w:val="18"/>
              </w:rPr>
              <w:t>AO5</w:t>
            </w:r>
          </w:p>
          <w:p w14:paraId="5D8F4C0B" w14:textId="77777777" w:rsidR="00353DA0" w:rsidRPr="00DC021F" w:rsidRDefault="00353DA0" w:rsidP="003352DF">
            <w:pPr>
              <w:rPr>
                <w:sz w:val="18"/>
                <w:szCs w:val="18"/>
              </w:rPr>
            </w:pPr>
            <w:r>
              <w:rPr>
                <w:rFonts w:cs="Arial"/>
                <w:sz w:val="18"/>
                <w:szCs w:val="18"/>
              </w:rPr>
              <w:t>No acceptable outcome provided.</w:t>
            </w:r>
          </w:p>
        </w:tc>
        <w:tc>
          <w:tcPr>
            <w:tcW w:w="4601" w:type="dxa"/>
          </w:tcPr>
          <w:p w14:paraId="322EC6E3" w14:textId="47406CEC" w:rsidR="00353DA0" w:rsidRPr="00DC021F"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600EE46C" w14:textId="4790B620" w:rsidTr="00353DA0">
        <w:tc>
          <w:tcPr>
            <w:tcW w:w="4600" w:type="dxa"/>
            <w:shd w:val="clear" w:color="auto" w:fill="auto"/>
          </w:tcPr>
          <w:p w14:paraId="0CE0C740" w14:textId="77777777" w:rsidR="00353DA0" w:rsidRPr="00084AFB" w:rsidRDefault="00353DA0" w:rsidP="003352DF">
            <w:pPr>
              <w:pStyle w:val="ListParagraph"/>
              <w:ind w:left="0"/>
              <w:rPr>
                <w:rFonts w:cs="Arial"/>
                <w:b/>
                <w:sz w:val="18"/>
                <w:szCs w:val="18"/>
              </w:rPr>
            </w:pPr>
            <w:r w:rsidRPr="00084AFB">
              <w:rPr>
                <w:rFonts w:cs="Arial"/>
                <w:b/>
                <w:sz w:val="18"/>
                <w:szCs w:val="18"/>
              </w:rPr>
              <w:t>PO</w:t>
            </w:r>
            <w:r>
              <w:rPr>
                <w:rFonts w:cs="Arial"/>
                <w:b/>
                <w:sz w:val="18"/>
                <w:szCs w:val="18"/>
              </w:rPr>
              <w:t>6</w:t>
            </w:r>
          </w:p>
          <w:p w14:paraId="264894FA" w14:textId="77777777" w:rsidR="00353DA0" w:rsidRPr="00084AFB" w:rsidRDefault="00353DA0" w:rsidP="003352DF">
            <w:pPr>
              <w:pStyle w:val="ListParagraph"/>
              <w:ind w:left="0"/>
              <w:rPr>
                <w:sz w:val="18"/>
                <w:szCs w:val="18"/>
              </w:rPr>
            </w:pPr>
            <w:r w:rsidRPr="00084AFB">
              <w:rPr>
                <w:sz w:val="18"/>
                <w:szCs w:val="18"/>
              </w:rPr>
              <w:t xml:space="preserve">Development has a built form </w:t>
            </w:r>
            <w:r>
              <w:rPr>
                <w:sz w:val="18"/>
                <w:szCs w:val="18"/>
              </w:rPr>
              <w:t xml:space="preserve">and scale </w:t>
            </w:r>
            <w:r w:rsidRPr="00084AFB">
              <w:rPr>
                <w:sz w:val="18"/>
                <w:szCs w:val="18"/>
              </w:rPr>
              <w:t>that is compatible with the existing and intended residential character of the area, positively contributes to the streetscape and maintains or provides a high level of residential amenity.</w:t>
            </w:r>
          </w:p>
          <w:p w14:paraId="49881389" w14:textId="77777777" w:rsidR="00353DA0" w:rsidRPr="00084AFB" w:rsidRDefault="00353DA0" w:rsidP="003352DF">
            <w:pPr>
              <w:pStyle w:val="ListParagraph"/>
              <w:ind w:left="0"/>
              <w:rPr>
                <w:sz w:val="18"/>
                <w:szCs w:val="18"/>
              </w:rPr>
            </w:pPr>
          </w:p>
          <w:p w14:paraId="04624B03" w14:textId="77777777" w:rsidR="00353DA0" w:rsidRPr="00084AFB" w:rsidRDefault="00353DA0" w:rsidP="003352DF">
            <w:pPr>
              <w:rPr>
                <w:sz w:val="16"/>
                <w:szCs w:val="16"/>
              </w:rPr>
            </w:pPr>
            <w:r w:rsidRPr="00084AFB">
              <w:rPr>
                <w:sz w:val="16"/>
                <w:szCs w:val="16"/>
              </w:rPr>
              <w:t>Note—in assessing whether development maintains or provides a high level of residential amenity, the assessment manager will consider both the potential impacts on the amenity of nearby residents and premises, and the residential amenity for future residents of the proposed development, having regard to (amongst other things):-</w:t>
            </w:r>
          </w:p>
          <w:p w14:paraId="49E45634" w14:textId="77777777" w:rsidR="00353DA0" w:rsidRPr="00084AFB" w:rsidRDefault="00353DA0" w:rsidP="00353DA0">
            <w:pPr>
              <w:numPr>
                <w:ilvl w:val="0"/>
                <w:numId w:val="48"/>
              </w:numPr>
              <w:rPr>
                <w:sz w:val="16"/>
                <w:szCs w:val="16"/>
              </w:rPr>
            </w:pPr>
            <w:r w:rsidRPr="00084AFB">
              <w:rPr>
                <w:sz w:val="16"/>
                <w:szCs w:val="16"/>
              </w:rPr>
              <w:t>adequate day light and ventilation to habitable rooms, the extent and duration of any overshadowing and other microclimatic impacts;</w:t>
            </w:r>
          </w:p>
          <w:p w14:paraId="57CBF7DC" w14:textId="77777777" w:rsidR="00353DA0" w:rsidRPr="00084AFB" w:rsidRDefault="00353DA0" w:rsidP="00353DA0">
            <w:pPr>
              <w:numPr>
                <w:ilvl w:val="0"/>
                <w:numId w:val="48"/>
              </w:numPr>
              <w:rPr>
                <w:sz w:val="18"/>
                <w:szCs w:val="18"/>
              </w:rPr>
            </w:pPr>
            <w:r w:rsidRPr="00084AFB">
              <w:rPr>
                <w:sz w:val="16"/>
                <w:szCs w:val="16"/>
              </w:rPr>
              <w:t>privacy and overlooking impacts; and</w:t>
            </w:r>
          </w:p>
          <w:p w14:paraId="46F08D23" w14:textId="77777777" w:rsidR="00353DA0" w:rsidRPr="00084AFB" w:rsidRDefault="00353DA0" w:rsidP="00353DA0">
            <w:pPr>
              <w:numPr>
                <w:ilvl w:val="0"/>
                <w:numId w:val="48"/>
              </w:numPr>
              <w:rPr>
                <w:sz w:val="18"/>
                <w:szCs w:val="18"/>
              </w:rPr>
            </w:pPr>
            <w:r w:rsidRPr="00084AFB">
              <w:rPr>
                <w:sz w:val="16"/>
                <w:szCs w:val="16"/>
              </w:rPr>
              <w:t>building mass and scale as seen from neighbouring premises, and from the street.</w:t>
            </w:r>
          </w:p>
        </w:tc>
        <w:tc>
          <w:tcPr>
            <w:tcW w:w="4601" w:type="dxa"/>
            <w:shd w:val="clear" w:color="auto" w:fill="auto"/>
          </w:tcPr>
          <w:p w14:paraId="156345DE" w14:textId="77777777" w:rsidR="00353DA0" w:rsidRPr="00084AFB" w:rsidRDefault="00353DA0" w:rsidP="003352DF">
            <w:pPr>
              <w:pStyle w:val="ListParagraph"/>
              <w:ind w:left="0"/>
              <w:rPr>
                <w:rFonts w:cs="Arial"/>
                <w:b/>
                <w:sz w:val="18"/>
                <w:szCs w:val="18"/>
              </w:rPr>
            </w:pPr>
            <w:r w:rsidRPr="00084AFB">
              <w:rPr>
                <w:rFonts w:cs="Arial"/>
                <w:b/>
                <w:sz w:val="18"/>
                <w:szCs w:val="18"/>
              </w:rPr>
              <w:t>AO</w:t>
            </w:r>
            <w:r>
              <w:rPr>
                <w:rFonts w:cs="Arial"/>
                <w:b/>
                <w:sz w:val="18"/>
                <w:szCs w:val="18"/>
              </w:rPr>
              <w:t>6</w:t>
            </w:r>
          </w:p>
          <w:p w14:paraId="1C7C1A6F" w14:textId="77777777" w:rsidR="00353DA0" w:rsidRPr="00084AFB" w:rsidRDefault="00353DA0" w:rsidP="003352DF">
            <w:pPr>
              <w:pStyle w:val="ListParagraph"/>
              <w:ind w:left="0"/>
              <w:rPr>
                <w:rFonts w:cs="Arial"/>
                <w:sz w:val="18"/>
                <w:szCs w:val="18"/>
              </w:rPr>
            </w:pPr>
            <w:r>
              <w:rPr>
                <w:rFonts w:cs="Arial"/>
                <w:sz w:val="18"/>
                <w:szCs w:val="18"/>
              </w:rPr>
              <w:t>No acceptable outcome provided.</w:t>
            </w:r>
            <w:r w:rsidRPr="00084AFB">
              <w:rPr>
                <w:rFonts w:cs="Arial"/>
                <w:sz w:val="18"/>
                <w:szCs w:val="18"/>
              </w:rPr>
              <w:t xml:space="preserve"> </w:t>
            </w:r>
          </w:p>
        </w:tc>
        <w:tc>
          <w:tcPr>
            <w:tcW w:w="4601" w:type="dxa"/>
          </w:tcPr>
          <w:p w14:paraId="15A7C44B" w14:textId="2641E262" w:rsidR="00353DA0" w:rsidRPr="00084AFB"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75FC269B" w14:textId="60221C7A" w:rsidTr="00353DA0">
        <w:tc>
          <w:tcPr>
            <w:tcW w:w="4600" w:type="dxa"/>
            <w:shd w:val="clear" w:color="auto" w:fill="auto"/>
          </w:tcPr>
          <w:p w14:paraId="365DE3BE" w14:textId="77777777" w:rsidR="00353DA0" w:rsidRPr="00E02815" w:rsidRDefault="00353DA0" w:rsidP="003352DF">
            <w:pPr>
              <w:pStyle w:val="ListParagraph"/>
              <w:ind w:left="0"/>
              <w:rPr>
                <w:b/>
                <w:sz w:val="18"/>
                <w:szCs w:val="18"/>
              </w:rPr>
            </w:pPr>
            <w:r w:rsidRPr="00E02815">
              <w:rPr>
                <w:b/>
                <w:sz w:val="18"/>
                <w:szCs w:val="18"/>
              </w:rPr>
              <w:t>PO</w:t>
            </w:r>
            <w:r>
              <w:rPr>
                <w:b/>
                <w:sz w:val="18"/>
                <w:szCs w:val="18"/>
              </w:rPr>
              <w:t>7</w:t>
            </w:r>
          </w:p>
          <w:p w14:paraId="4AF6C810" w14:textId="77777777" w:rsidR="00353DA0" w:rsidRDefault="00353DA0" w:rsidP="003352DF">
            <w:pPr>
              <w:pStyle w:val="ListParagraph"/>
              <w:ind w:left="0"/>
              <w:rPr>
                <w:sz w:val="18"/>
                <w:szCs w:val="18"/>
              </w:rPr>
            </w:pPr>
            <w:r w:rsidRPr="00084AFB">
              <w:rPr>
                <w:sz w:val="18"/>
                <w:szCs w:val="18"/>
              </w:rPr>
              <w:t>Development is sited and designed in a manner which is responsive to the sub-tropical climate and is sympathetic to the scale and character of surrounding development, including the Queensland ‘coastal beach’ vernacular where located in</w:t>
            </w:r>
            <w:r>
              <w:rPr>
                <w:sz w:val="18"/>
                <w:szCs w:val="18"/>
              </w:rPr>
              <w:t xml:space="preserve"> Bargara.</w:t>
            </w:r>
          </w:p>
          <w:p w14:paraId="7865F80F" w14:textId="77777777" w:rsidR="00353DA0" w:rsidRDefault="00353DA0" w:rsidP="003352DF">
            <w:pPr>
              <w:pStyle w:val="ListParagraph"/>
              <w:ind w:left="0"/>
              <w:rPr>
                <w:sz w:val="18"/>
                <w:szCs w:val="18"/>
              </w:rPr>
            </w:pPr>
          </w:p>
          <w:p w14:paraId="7AEA4704" w14:textId="77777777" w:rsidR="00353DA0" w:rsidRPr="00084AFB" w:rsidRDefault="00353DA0" w:rsidP="003352DF">
            <w:pPr>
              <w:pStyle w:val="ListParagraph"/>
              <w:ind w:left="0"/>
              <w:rPr>
                <w:rFonts w:cs="Arial"/>
                <w:b/>
                <w:sz w:val="18"/>
                <w:szCs w:val="18"/>
              </w:rPr>
            </w:pPr>
            <w:r w:rsidRPr="00084AFB">
              <w:rPr>
                <w:sz w:val="16"/>
                <w:szCs w:val="16"/>
              </w:rPr>
              <w:t xml:space="preserve">Editor’s note – the publication </w:t>
            </w:r>
            <w:r w:rsidRPr="00084AFB">
              <w:rPr>
                <w:i/>
                <w:sz w:val="16"/>
                <w:szCs w:val="16"/>
              </w:rPr>
              <w:t>Subtropical Design in South East Queensland – A Handbook for Planners, Developers and Decision Makers</w:t>
            </w:r>
            <w:r w:rsidRPr="00084AFB">
              <w:rPr>
                <w:sz w:val="16"/>
                <w:szCs w:val="16"/>
              </w:rPr>
              <w:t xml:space="preserve">, prepared by the Centre for Subtropical Design, provides guidance about the application of sub-tropical design principles. These principles are considered to </w:t>
            </w:r>
            <w:r w:rsidRPr="00084AFB">
              <w:rPr>
                <w:sz w:val="16"/>
                <w:szCs w:val="16"/>
              </w:rPr>
              <w:lastRenderedPageBreak/>
              <w:t>have relevance and applicability to development in the Bundaberg region.</w:t>
            </w:r>
          </w:p>
        </w:tc>
        <w:tc>
          <w:tcPr>
            <w:tcW w:w="4601" w:type="dxa"/>
            <w:shd w:val="clear" w:color="auto" w:fill="auto"/>
          </w:tcPr>
          <w:p w14:paraId="08B35021" w14:textId="77777777" w:rsidR="00353DA0" w:rsidRDefault="00353DA0" w:rsidP="003352DF">
            <w:pPr>
              <w:pStyle w:val="ListParagraph"/>
              <w:ind w:left="0"/>
              <w:rPr>
                <w:rFonts w:cs="Arial"/>
                <w:b/>
                <w:sz w:val="18"/>
                <w:szCs w:val="18"/>
              </w:rPr>
            </w:pPr>
            <w:r>
              <w:rPr>
                <w:rFonts w:cs="Arial"/>
                <w:b/>
                <w:sz w:val="18"/>
                <w:szCs w:val="18"/>
              </w:rPr>
              <w:lastRenderedPageBreak/>
              <w:t>AO7</w:t>
            </w:r>
          </w:p>
          <w:p w14:paraId="6215B636" w14:textId="77777777" w:rsidR="00353DA0" w:rsidRPr="00E02815" w:rsidRDefault="00353DA0" w:rsidP="003352DF">
            <w:pPr>
              <w:pStyle w:val="ListParagraph"/>
              <w:ind w:left="0"/>
              <w:rPr>
                <w:rFonts w:cs="Arial"/>
                <w:sz w:val="18"/>
                <w:szCs w:val="18"/>
              </w:rPr>
            </w:pPr>
            <w:r>
              <w:rPr>
                <w:rFonts w:cs="Arial"/>
                <w:sz w:val="18"/>
                <w:szCs w:val="18"/>
              </w:rPr>
              <w:t>No acceptable outcome provided.</w:t>
            </w:r>
          </w:p>
        </w:tc>
        <w:tc>
          <w:tcPr>
            <w:tcW w:w="4601" w:type="dxa"/>
          </w:tcPr>
          <w:p w14:paraId="17AB6D1C" w14:textId="2850DBB4" w:rsidR="00353DA0"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7C6EE106" w14:textId="26857728" w:rsidTr="00764EB9">
        <w:tc>
          <w:tcPr>
            <w:tcW w:w="13802" w:type="dxa"/>
            <w:gridSpan w:val="3"/>
            <w:shd w:val="clear" w:color="auto" w:fill="D9D9D9"/>
          </w:tcPr>
          <w:p w14:paraId="693904E8" w14:textId="63BA7990" w:rsidR="00353DA0" w:rsidRDefault="00353DA0" w:rsidP="003352DF">
            <w:pPr>
              <w:pStyle w:val="ListParagraph"/>
              <w:ind w:left="0"/>
              <w:rPr>
                <w:rFonts w:cs="Arial"/>
                <w:b/>
                <w:i/>
                <w:sz w:val="18"/>
                <w:szCs w:val="18"/>
              </w:rPr>
            </w:pPr>
            <w:r>
              <w:rPr>
                <w:rFonts w:cs="Arial"/>
                <w:b/>
                <w:i/>
                <w:sz w:val="18"/>
                <w:szCs w:val="18"/>
              </w:rPr>
              <w:t>Residential d</w:t>
            </w:r>
            <w:r w:rsidRPr="00084AFB">
              <w:rPr>
                <w:rFonts w:cs="Arial"/>
                <w:b/>
                <w:i/>
                <w:sz w:val="18"/>
                <w:szCs w:val="18"/>
              </w:rPr>
              <w:t>ensity</w:t>
            </w:r>
          </w:p>
        </w:tc>
      </w:tr>
      <w:tr w:rsidR="00353DA0" w:rsidRPr="00084AFB" w14:paraId="264CD736" w14:textId="4B7E2E25" w:rsidTr="00353DA0">
        <w:tc>
          <w:tcPr>
            <w:tcW w:w="4600" w:type="dxa"/>
            <w:shd w:val="clear" w:color="auto" w:fill="auto"/>
          </w:tcPr>
          <w:p w14:paraId="44BB9F69" w14:textId="77777777" w:rsidR="00353DA0" w:rsidRPr="00084AFB" w:rsidRDefault="00353DA0" w:rsidP="003352DF">
            <w:pPr>
              <w:pStyle w:val="ListParagraph"/>
              <w:ind w:left="0"/>
              <w:rPr>
                <w:rFonts w:cs="Arial"/>
                <w:b/>
                <w:sz w:val="18"/>
                <w:szCs w:val="18"/>
              </w:rPr>
            </w:pPr>
            <w:r w:rsidRPr="00084AFB">
              <w:rPr>
                <w:rFonts w:cs="Arial"/>
                <w:b/>
                <w:sz w:val="18"/>
                <w:szCs w:val="18"/>
              </w:rPr>
              <w:t>PO</w:t>
            </w:r>
            <w:r>
              <w:rPr>
                <w:rFonts w:cs="Arial"/>
                <w:b/>
                <w:sz w:val="18"/>
                <w:szCs w:val="18"/>
              </w:rPr>
              <w:t>8</w:t>
            </w:r>
          </w:p>
          <w:p w14:paraId="6CDF5F46" w14:textId="77777777" w:rsidR="00353DA0" w:rsidRPr="00084AFB" w:rsidRDefault="00353DA0" w:rsidP="003352DF">
            <w:pPr>
              <w:pStyle w:val="ListParagraph"/>
              <w:ind w:left="0"/>
              <w:rPr>
                <w:sz w:val="18"/>
                <w:szCs w:val="18"/>
              </w:rPr>
            </w:pPr>
            <w:r w:rsidRPr="00084AFB">
              <w:rPr>
                <w:sz w:val="18"/>
                <w:szCs w:val="18"/>
              </w:rPr>
              <w:t>Development encourages urban consolidation and facilitates a compact land use pattern that increases the number of people living close to services and facilities, maximises the efficient use of infrastructure and maintains a high level of residential amenity</w:t>
            </w:r>
            <w:r>
              <w:rPr>
                <w:rFonts w:cs="Arial"/>
                <w:sz w:val="18"/>
                <w:szCs w:val="18"/>
              </w:rPr>
              <w:t>,</w:t>
            </w:r>
            <w:r>
              <w:t xml:space="preserve"> </w:t>
            </w:r>
            <w:r w:rsidRPr="006A0D1A">
              <w:rPr>
                <w:rFonts w:cs="Arial"/>
                <w:sz w:val="18"/>
                <w:szCs w:val="18"/>
              </w:rPr>
              <w:t xml:space="preserve">within a </w:t>
            </w:r>
            <w:r>
              <w:rPr>
                <w:rFonts w:cs="Arial"/>
                <w:sz w:val="18"/>
                <w:szCs w:val="18"/>
              </w:rPr>
              <w:t>medium</w:t>
            </w:r>
            <w:r w:rsidRPr="006A0D1A">
              <w:rPr>
                <w:rFonts w:cs="Arial"/>
                <w:sz w:val="18"/>
                <w:szCs w:val="18"/>
              </w:rPr>
              <w:t xml:space="preserve"> rise environment and consistent with available or planned infrastructure capacity.</w:t>
            </w:r>
          </w:p>
        </w:tc>
        <w:tc>
          <w:tcPr>
            <w:tcW w:w="4601" w:type="dxa"/>
            <w:shd w:val="clear" w:color="auto" w:fill="auto"/>
          </w:tcPr>
          <w:p w14:paraId="5057025B" w14:textId="77777777" w:rsidR="00353DA0" w:rsidRPr="00084AFB" w:rsidRDefault="00353DA0" w:rsidP="003352DF">
            <w:pPr>
              <w:pStyle w:val="ListParagraph"/>
              <w:ind w:left="0"/>
              <w:rPr>
                <w:rFonts w:cs="Arial"/>
                <w:b/>
                <w:sz w:val="18"/>
                <w:szCs w:val="18"/>
              </w:rPr>
            </w:pPr>
            <w:r w:rsidRPr="00084AFB">
              <w:rPr>
                <w:rFonts w:cs="Arial"/>
                <w:b/>
                <w:sz w:val="18"/>
                <w:szCs w:val="18"/>
              </w:rPr>
              <w:t>AO</w:t>
            </w:r>
            <w:r>
              <w:rPr>
                <w:rFonts w:cs="Arial"/>
                <w:b/>
                <w:sz w:val="18"/>
                <w:szCs w:val="18"/>
              </w:rPr>
              <w:t>8</w:t>
            </w:r>
          </w:p>
          <w:p w14:paraId="350235B3" w14:textId="77777777" w:rsidR="00353DA0" w:rsidRPr="00806B1F" w:rsidRDefault="00353DA0" w:rsidP="003352DF">
            <w:pPr>
              <w:rPr>
                <w:sz w:val="18"/>
                <w:szCs w:val="18"/>
              </w:rPr>
            </w:pPr>
            <w:r w:rsidRPr="00084AFB">
              <w:rPr>
                <w:sz w:val="18"/>
                <w:szCs w:val="18"/>
              </w:rPr>
              <w:t xml:space="preserve">Development provides for a </w:t>
            </w:r>
            <w:r>
              <w:rPr>
                <w:sz w:val="18"/>
                <w:szCs w:val="18"/>
              </w:rPr>
              <w:t xml:space="preserve">maximum </w:t>
            </w:r>
            <w:r w:rsidRPr="00084AFB">
              <w:rPr>
                <w:sz w:val="18"/>
                <w:szCs w:val="18"/>
              </w:rPr>
              <w:t xml:space="preserve">net residential density </w:t>
            </w:r>
            <w:r>
              <w:rPr>
                <w:sz w:val="18"/>
                <w:szCs w:val="18"/>
              </w:rPr>
              <w:t>of 110 equivalent dwellings per hectare.</w:t>
            </w:r>
          </w:p>
          <w:p w14:paraId="30D2E94C" w14:textId="77777777" w:rsidR="00353DA0" w:rsidRPr="00084AFB" w:rsidRDefault="00353DA0" w:rsidP="003352DF">
            <w:pPr>
              <w:pStyle w:val="ListParagraph"/>
              <w:ind w:left="0"/>
              <w:rPr>
                <w:sz w:val="16"/>
                <w:szCs w:val="16"/>
              </w:rPr>
            </w:pPr>
          </w:p>
        </w:tc>
        <w:tc>
          <w:tcPr>
            <w:tcW w:w="4601" w:type="dxa"/>
          </w:tcPr>
          <w:p w14:paraId="42BD1091" w14:textId="11017982" w:rsidR="00353DA0" w:rsidRPr="00084AFB"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40EC3491" w14:textId="6A315D52" w:rsidTr="00C6262D">
        <w:tc>
          <w:tcPr>
            <w:tcW w:w="13802" w:type="dxa"/>
            <w:gridSpan w:val="3"/>
            <w:shd w:val="clear" w:color="auto" w:fill="D9D9D9"/>
          </w:tcPr>
          <w:p w14:paraId="02D5FA0B" w14:textId="3AFB2CF8" w:rsidR="00353DA0" w:rsidRPr="00084AFB" w:rsidRDefault="00353DA0" w:rsidP="003352DF">
            <w:pPr>
              <w:pStyle w:val="ListParagraph"/>
              <w:ind w:left="0"/>
              <w:rPr>
                <w:rFonts w:cs="Arial"/>
                <w:b/>
                <w:i/>
                <w:sz w:val="18"/>
                <w:szCs w:val="18"/>
              </w:rPr>
            </w:pPr>
            <w:r w:rsidRPr="00084AFB">
              <w:rPr>
                <w:rFonts w:cs="Arial"/>
                <w:b/>
                <w:i/>
                <w:sz w:val="18"/>
                <w:szCs w:val="18"/>
              </w:rPr>
              <w:t>Amenity</w:t>
            </w:r>
          </w:p>
        </w:tc>
      </w:tr>
      <w:tr w:rsidR="00353DA0" w:rsidRPr="00084AFB" w14:paraId="6811C2BE" w14:textId="65E63702" w:rsidTr="00353DA0">
        <w:tc>
          <w:tcPr>
            <w:tcW w:w="4600" w:type="dxa"/>
            <w:shd w:val="clear" w:color="auto" w:fill="auto"/>
          </w:tcPr>
          <w:p w14:paraId="40A98182" w14:textId="77777777" w:rsidR="00353DA0" w:rsidRPr="00084AFB" w:rsidRDefault="00353DA0" w:rsidP="003352DF">
            <w:pPr>
              <w:pStyle w:val="ListParagraph"/>
              <w:ind w:left="0"/>
              <w:rPr>
                <w:rFonts w:cs="Arial"/>
                <w:b/>
                <w:sz w:val="18"/>
                <w:szCs w:val="18"/>
              </w:rPr>
            </w:pPr>
            <w:r w:rsidRPr="00084AFB">
              <w:rPr>
                <w:rFonts w:cs="Arial"/>
                <w:b/>
                <w:sz w:val="18"/>
                <w:szCs w:val="18"/>
              </w:rPr>
              <w:t>PO</w:t>
            </w:r>
            <w:r>
              <w:rPr>
                <w:rFonts w:cs="Arial"/>
                <w:b/>
                <w:sz w:val="18"/>
                <w:szCs w:val="18"/>
              </w:rPr>
              <w:t>9</w:t>
            </w:r>
          </w:p>
          <w:p w14:paraId="41DA221B" w14:textId="77777777" w:rsidR="00353DA0" w:rsidRPr="00806B1F" w:rsidRDefault="00353DA0" w:rsidP="003352DF">
            <w:pPr>
              <w:pStyle w:val="ListParagraph"/>
              <w:ind w:left="0"/>
              <w:rPr>
                <w:sz w:val="18"/>
                <w:szCs w:val="18"/>
              </w:rPr>
            </w:pPr>
            <w:r w:rsidRPr="00084AFB">
              <w:rPr>
                <w:sz w:val="18"/>
                <w:szCs w:val="18"/>
              </w:rPr>
              <w:t>Development maintains a high level of residential amenity and avoids or mitigates potential adverse impacts having regard to such matters as hours of operation, generation of odours, noise, waste products, dust, traffic, electrical interference, lighting, visual and privacy impacts.</w:t>
            </w:r>
          </w:p>
        </w:tc>
        <w:tc>
          <w:tcPr>
            <w:tcW w:w="4601" w:type="dxa"/>
            <w:shd w:val="clear" w:color="auto" w:fill="auto"/>
          </w:tcPr>
          <w:p w14:paraId="685B4364" w14:textId="77777777" w:rsidR="00353DA0" w:rsidRPr="00084AFB" w:rsidRDefault="00353DA0" w:rsidP="003352DF">
            <w:pPr>
              <w:pStyle w:val="ListParagraph"/>
              <w:ind w:left="0"/>
              <w:rPr>
                <w:rFonts w:cs="Arial"/>
                <w:b/>
                <w:sz w:val="18"/>
                <w:szCs w:val="18"/>
              </w:rPr>
            </w:pPr>
            <w:r w:rsidRPr="00084AFB">
              <w:rPr>
                <w:rFonts w:cs="Arial"/>
                <w:b/>
                <w:sz w:val="18"/>
                <w:szCs w:val="18"/>
              </w:rPr>
              <w:t>AO</w:t>
            </w:r>
            <w:r>
              <w:rPr>
                <w:rFonts w:cs="Arial"/>
                <w:b/>
                <w:sz w:val="18"/>
                <w:szCs w:val="18"/>
              </w:rPr>
              <w:t>9</w:t>
            </w:r>
          </w:p>
          <w:p w14:paraId="10354E83" w14:textId="77777777" w:rsidR="00353DA0" w:rsidRPr="00084AFB" w:rsidRDefault="00353DA0" w:rsidP="003352DF">
            <w:pPr>
              <w:pStyle w:val="ListParagraph"/>
              <w:ind w:left="0"/>
              <w:rPr>
                <w:rFonts w:cs="Arial"/>
                <w:sz w:val="18"/>
                <w:szCs w:val="18"/>
              </w:rPr>
            </w:pPr>
            <w:r w:rsidRPr="00084AFB">
              <w:rPr>
                <w:rFonts w:cs="Arial"/>
                <w:sz w:val="18"/>
                <w:szCs w:val="18"/>
              </w:rPr>
              <w:t xml:space="preserve">No acceptable outcome provided. </w:t>
            </w:r>
          </w:p>
        </w:tc>
        <w:tc>
          <w:tcPr>
            <w:tcW w:w="4601" w:type="dxa"/>
          </w:tcPr>
          <w:p w14:paraId="4BD93EB7" w14:textId="1579A567" w:rsidR="00353DA0" w:rsidRPr="00084AFB"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2C991FAC" w14:textId="6847CE0A" w:rsidTr="002C6836">
        <w:tc>
          <w:tcPr>
            <w:tcW w:w="13802" w:type="dxa"/>
            <w:gridSpan w:val="3"/>
            <w:shd w:val="clear" w:color="auto" w:fill="D9D9D9"/>
          </w:tcPr>
          <w:p w14:paraId="25B8547D" w14:textId="3DE8CF79" w:rsidR="00353DA0" w:rsidRDefault="00353DA0" w:rsidP="003352DF">
            <w:pPr>
              <w:pStyle w:val="ListParagraph"/>
              <w:ind w:left="0"/>
              <w:rPr>
                <w:rFonts w:cs="Arial"/>
                <w:b/>
                <w:i/>
                <w:sz w:val="18"/>
                <w:szCs w:val="18"/>
              </w:rPr>
            </w:pPr>
            <w:r>
              <w:rPr>
                <w:rFonts w:cs="Arial"/>
                <w:b/>
                <w:i/>
                <w:sz w:val="18"/>
                <w:szCs w:val="18"/>
              </w:rPr>
              <w:t>Infrastructure and services</w:t>
            </w:r>
          </w:p>
        </w:tc>
      </w:tr>
      <w:tr w:rsidR="00353DA0" w:rsidRPr="00084AFB" w14:paraId="4006E880" w14:textId="2B8E06BE" w:rsidTr="00353DA0">
        <w:tc>
          <w:tcPr>
            <w:tcW w:w="4600" w:type="dxa"/>
            <w:shd w:val="clear" w:color="auto" w:fill="auto"/>
          </w:tcPr>
          <w:p w14:paraId="0960DB03" w14:textId="77777777" w:rsidR="00353DA0" w:rsidRPr="00B2594D" w:rsidRDefault="00353DA0" w:rsidP="003352DF">
            <w:pPr>
              <w:pStyle w:val="ListParagraph"/>
              <w:ind w:left="0"/>
              <w:rPr>
                <w:rFonts w:cs="Arial"/>
                <w:b/>
                <w:sz w:val="18"/>
                <w:szCs w:val="18"/>
              </w:rPr>
            </w:pPr>
            <w:r w:rsidRPr="00B2594D">
              <w:rPr>
                <w:rFonts w:cs="Arial"/>
                <w:b/>
                <w:sz w:val="18"/>
                <w:szCs w:val="18"/>
              </w:rPr>
              <w:t>PO</w:t>
            </w:r>
            <w:r>
              <w:rPr>
                <w:rFonts w:cs="Arial"/>
                <w:b/>
                <w:sz w:val="18"/>
                <w:szCs w:val="18"/>
              </w:rPr>
              <w:t>10</w:t>
            </w:r>
          </w:p>
          <w:p w14:paraId="63BEA72D" w14:textId="77777777" w:rsidR="00353DA0" w:rsidRPr="00084AFB" w:rsidRDefault="00353DA0" w:rsidP="003352DF">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601" w:type="dxa"/>
            <w:shd w:val="clear" w:color="auto" w:fill="auto"/>
          </w:tcPr>
          <w:p w14:paraId="2420662E" w14:textId="77777777" w:rsidR="00353DA0" w:rsidRPr="00B2594D" w:rsidRDefault="00353DA0"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09FCBDB8" w14:textId="77777777" w:rsidR="00353DA0" w:rsidRPr="00084AFB" w:rsidRDefault="00353DA0"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02A57DDF" w14:textId="17C057D7" w:rsidR="00353DA0" w:rsidRPr="00B2594D"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53DA0" w:rsidRPr="00084AFB" w14:paraId="7AE9F36E" w14:textId="21DA7522" w:rsidTr="00353DA0">
        <w:tc>
          <w:tcPr>
            <w:tcW w:w="4600" w:type="dxa"/>
            <w:shd w:val="clear" w:color="auto" w:fill="auto"/>
          </w:tcPr>
          <w:p w14:paraId="64125A3A" w14:textId="77777777" w:rsidR="00353DA0" w:rsidRPr="00B2594D" w:rsidRDefault="00353DA0" w:rsidP="003352DF">
            <w:pPr>
              <w:pStyle w:val="ListParagraph"/>
              <w:ind w:left="0"/>
              <w:rPr>
                <w:rFonts w:cs="Arial"/>
                <w:b/>
                <w:sz w:val="18"/>
                <w:szCs w:val="18"/>
              </w:rPr>
            </w:pPr>
            <w:r w:rsidRPr="00B2594D">
              <w:rPr>
                <w:rFonts w:cs="Arial"/>
                <w:b/>
                <w:sz w:val="18"/>
                <w:szCs w:val="18"/>
              </w:rPr>
              <w:t>PO</w:t>
            </w:r>
            <w:r>
              <w:rPr>
                <w:rFonts w:cs="Arial"/>
                <w:b/>
                <w:sz w:val="18"/>
                <w:szCs w:val="18"/>
              </w:rPr>
              <w:t>11</w:t>
            </w:r>
          </w:p>
          <w:p w14:paraId="2F1C5A35" w14:textId="77777777" w:rsidR="00353DA0" w:rsidRPr="00262303" w:rsidRDefault="00353DA0"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601" w:type="dxa"/>
            <w:shd w:val="clear" w:color="auto" w:fill="auto"/>
          </w:tcPr>
          <w:p w14:paraId="6DBD75BF" w14:textId="77777777" w:rsidR="00353DA0" w:rsidRPr="00B2594D" w:rsidRDefault="00353DA0"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185B2011" w14:textId="77777777" w:rsidR="00353DA0" w:rsidRPr="00084AFB" w:rsidRDefault="00353DA0"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54CC57C5" w14:textId="3AD670DC" w:rsidR="00353DA0" w:rsidRPr="00B2594D" w:rsidRDefault="00353D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03C48CA4"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353DA0">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59512378"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353DA0">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46C84DD0"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353DA0">
      <w:rPr>
        <w:b/>
        <w:noProof/>
        <w:sz w:val="14"/>
        <w:szCs w:val="14"/>
      </w:rPr>
      <w:t>6.2.3</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353DA0">
      <w:rPr>
        <w:b/>
        <w:noProof/>
        <w:sz w:val="14"/>
        <w:szCs w:val="14"/>
      </w:rPr>
      <w:t>High density residential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5927F6EC"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353DA0">
      <w:rPr>
        <w:b/>
        <w:noProof/>
        <w:sz w:val="14"/>
        <w:szCs w:val="14"/>
      </w:rPr>
      <w:t>6.2.3</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353DA0">
      <w:rPr>
        <w:b/>
        <w:noProof/>
        <w:sz w:val="14"/>
        <w:szCs w:val="14"/>
      </w:rPr>
      <w:t>High density residential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353DA0">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944289"/>
    <w:multiLevelType w:val="hybridMultilevel"/>
    <w:tmpl w:val="FA56593C"/>
    <w:lvl w:ilvl="0" w:tplc="65CE2454">
      <w:start w:val="1"/>
      <w:numFmt w:val="lowerLetter"/>
      <w:lvlText w:val="(%1)"/>
      <w:lvlJc w:val="left"/>
      <w:pPr>
        <w:ind w:left="720" w:hanging="360"/>
      </w:pPr>
      <w:rPr>
        <w:rFonts w:hint="default"/>
      </w:rPr>
    </w:lvl>
    <w:lvl w:ilvl="1" w:tplc="CCAC9D8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6"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9"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6"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4"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5"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37503354">
    <w:abstractNumId w:val="115"/>
  </w:num>
  <w:num w:numId="2" w16cid:durableId="1421440352">
    <w:abstractNumId w:val="9"/>
  </w:num>
  <w:num w:numId="3" w16cid:durableId="936058334">
    <w:abstractNumId w:val="101"/>
  </w:num>
  <w:num w:numId="4" w16cid:durableId="1675646996">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055474577">
    <w:abstractNumId w:val="98"/>
  </w:num>
  <w:num w:numId="6" w16cid:durableId="1295453218">
    <w:abstractNumId w:val="112"/>
  </w:num>
  <w:num w:numId="7" w16cid:durableId="1648821377">
    <w:abstractNumId w:val="90"/>
  </w:num>
  <w:num w:numId="8" w16cid:durableId="1038161149">
    <w:abstractNumId w:val="66"/>
  </w:num>
  <w:num w:numId="9" w16cid:durableId="2041272497">
    <w:abstractNumId w:val="110"/>
  </w:num>
  <w:num w:numId="10" w16cid:durableId="741758975">
    <w:abstractNumId w:val="79"/>
  </w:num>
  <w:num w:numId="11" w16cid:durableId="2078240399">
    <w:abstractNumId w:val="143"/>
  </w:num>
  <w:num w:numId="12" w16cid:durableId="1342858546">
    <w:abstractNumId w:val="59"/>
  </w:num>
  <w:num w:numId="13" w16cid:durableId="2048946526">
    <w:abstractNumId w:val="53"/>
  </w:num>
  <w:num w:numId="14" w16cid:durableId="1792826096">
    <w:abstractNumId w:val="74"/>
  </w:num>
  <w:num w:numId="15" w16cid:durableId="1569917359">
    <w:abstractNumId w:val="43"/>
  </w:num>
  <w:num w:numId="16" w16cid:durableId="1084955950">
    <w:abstractNumId w:val="40"/>
  </w:num>
  <w:num w:numId="17" w16cid:durableId="1373505227">
    <w:abstractNumId w:val="141"/>
  </w:num>
  <w:num w:numId="18" w16cid:durableId="587419698">
    <w:abstractNumId w:val="87"/>
  </w:num>
  <w:num w:numId="19" w16cid:durableId="1886674493">
    <w:abstractNumId w:val="80"/>
  </w:num>
  <w:num w:numId="20" w16cid:durableId="1863351464">
    <w:abstractNumId w:val="21"/>
  </w:num>
  <w:num w:numId="21" w16cid:durableId="1120535183">
    <w:abstractNumId w:val="35"/>
  </w:num>
  <w:num w:numId="22" w16cid:durableId="121770059">
    <w:abstractNumId w:val="29"/>
  </w:num>
  <w:num w:numId="23" w16cid:durableId="1942184915">
    <w:abstractNumId w:val="23"/>
  </w:num>
  <w:num w:numId="24" w16cid:durableId="501554913">
    <w:abstractNumId w:val="28"/>
  </w:num>
  <w:num w:numId="25" w16cid:durableId="1699430614">
    <w:abstractNumId w:val="14"/>
  </w:num>
  <w:num w:numId="26" w16cid:durableId="2106338379">
    <w:abstractNumId w:val="94"/>
  </w:num>
  <w:num w:numId="27" w16cid:durableId="1838106204">
    <w:abstractNumId w:val="96"/>
  </w:num>
  <w:num w:numId="28" w16cid:durableId="1662537761">
    <w:abstractNumId w:val="95"/>
  </w:num>
  <w:num w:numId="29" w16cid:durableId="1312176677">
    <w:abstractNumId w:val="22"/>
  </w:num>
  <w:num w:numId="30" w16cid:durableId="552085141">
    <w:abstractNumId w:val="68"/>
  </w:num>
  <w:num w:numId="31" w16cid:durableId="1499997122">
    <w:abstractNumId w:val="55"/>
  </w:num>
  <w:num w:numId="32" w16cid:durableId="71121004">
    <w:abstractNumId w:val="91"/>
  </w:num>
  <w:num w:numId="33" w16cid:durableId="34815555">
    <w:abstractNumId w:val="84"/>
  </w:num>
  <w:num w:numId="34" w16cid:durableId="791364360">
    <w:abstractNumId w:val="26"/>
  </w:num>
  <w:num w:numId="35" w16cid:durableId="668215500">
    <w:abstractNumId w:val="46"/>
  </w:num>
  <w:num w:numId="36" w16cid:durableId="1599943792">
    <w:abstractNumId w:val="109"/>
  </w:num>
  <w:num w:numId="37" w16cid:durableId="381102398">
    <w:abstractNumId w:val="24"/>
  </w:num>
  <w:num w:numId="38" w16cid:durableId="1892963411">
    <w:abstractNumId w:val="140"/>
  </w:num>
  <w:num w:numId="39" w16cid:durableId="114372377">
    <w:abstractNumId w:val="105"/>
  </w:num>
  <w:num w:numId="40" w16cid:durableId="1344162946">
    <w:abstractNumId w:val="42"/>
  </w:num>
  <w:num w:numId="41" w16cid:durableId="1825664609">
    <w:abstractNumId w:val="7"/>
  </w:num>
  <w:num w:numId="42" w16cid:durableId="1709142886">
    <w:abstractNumId w:val="76"/>
  </w:num>
  <w:num w:numId="43" w16cid:durableId="1181241582">
    <w:abstractNumId w:val="136"/>
  </w:num>
  <w:num w:numId="44" w16cid:durableId="755516989">
    <w:abstractNumId w:val="133"/>
  </w:num>
  <w:num w:numId="45" w16cid:durableId="666132189">
    <w:abstractNumId w:val="104"/>
  </w:num>
  <w:num w:numId="46" w16cid:durableId="1926452264">
    <w:abstractNumId w:val="130"/>
  </w:num>
  <w:num w:numId="47" w16cid:durableId="1527794147">
    <w:abstractNumId w:val="60"/>
  </w:num>
  <w:num w:numId="48" w16cid:durableId="1160000164">
    <w:abstractNumId w:val="70"/>
  </w:num>
  <w:num w:numId="49" w16cid:durableId="419639671">
    <w:abstractNumId w:val="134"/>
  </w:num>
  <w:num w:numId="50" w16cid:durableId="1990015568">
    <w:abstractNumId w:val="37"/>
  </w:num>
  <w:num w:numId="51" w16cid:durableId="1345479867">
    <w:abstractNumId w:val="72"/>
  </w:num>
  <w:num w:numId="52" w16cid:durableId="1921282825">
    <w:abstractNumId w:val="135"/>
  </w:num>
  <w:num w:numId="53" w16cid:durableId="1690718443">
    <w:abstractNumId w:val="99"/>
  </w:num>
  <w:num w:numId="54" w16cid:durableId="599528213">
    <w:abstractNumId w:val="17"/>
  </w:num>
  <w:num w:numId="55" w16cid:durableId="1942178022">
    <w:abstractNumId w:val="25"/>
  </w:num>
  <w:num w:numId="56" w16cid:durableId="1282415365">
    <w:abstractNumId w:val="106"/>
  </w:num>
  <w:num w:numId="57" w16cid:durableId="1190603342">
    <w:abstractNumId w:val="69"/>
  </w:num>
  <w:num w:numId="58" w16cid:durableId="1616521131">
    <w:abstractNumId w:val="73"/>
  </w:num>
  <w:num w:numId="59" w16cid:durableId="1028263348">
    <w:abstractNumId w:val="54"/>
  </w:num>
  <w:num w:numId="60" w16cid:durableId="1403335628">
    <w:abstractNumId w:val="4"/>
  </w:num>
  <w:num w:numId="61" w16cid:durableId="327515572">
    <w:abstractNumId w:val="83"/>
  </w:num>
  <w:num w:numId="62" w16cid:durableId="1511990927">
    <w:abstractNumId w:val="51"/>
  </w:num>
  <w:num w:numId="63" w16cid:durableId="1729188059">
    <w:abstractNumId w:val="10"/>
  </w:num>
  <w:num w:numId="64" w16cid:durableId="1326741609">
    <w:abstractNumId w:val="121"/>
  </w:num>
  <w:num w:numId="65" w16cid:durableId="1337806073">
    <w:abstractNumId w:val="114"/>
  </w:num>
  <w:num w:numId="66" w16cid:durableId="926307896">
    <w:abstractNumId w:val="67"/>
  </w:num>
  <w:num w:numId="67" w16cid:durableId="1080373503">
    <w:abstractNumId w:val="122"/>
  </w:num>
  <w:num w:numId="68" w16cid:durableId="1999842611">
    <w:abstractNumId w:val="61"/>
  </w:num>
  <w:num w:numId="69" w16cid:durableId="2117556895">
    <w:abstractNumId w:val="50"/>
  </w:num>
  <w:num w:numId="70" w16cid:durableId="76097136">
    <w:abstractNumId w:val="77"/>
  </w:num>
  <w:num w:numId="71" w16cid:durableId="2036927495">
    <w:abstractNumId w:val="49"/>
  </w:num>
  <w:num w:numId="72" w16cid:durableId="9568843">
    <w:abstractNumId w:val="126"/>
  </w:num>
  <w:num w:numId="73" w16cid:durableId="1448428387">
    <w:abstractNumId w:val="93"/>
  </w:num>
  <w:num w:numId="74" w16cid:durableId="1374697765">
    <w:abstractNumId w:val="131"/>
  </w:num>
  <w:num w:numId="75" w16cid:durableId="1164126321">
    <w:abstractNumId w:val="16"/>
  </w:num>
  <w:num w:numId="76" w16cid:durableId="55517090">
    <w:abstractNumId w:val="45"/>
  </w:num>
  <w:num w:numId="77" w16cid:durableId="1379167008">
    <w:abstractNumId w:val="102"/>
  </w:num>
  <w:num w:numId="78" w16cid:durableId="2040929631">
    <w:abstractNumId w:val="137"/>
  </w:num>
  <w:num w:numId="79" w16cid:durableId="1899590473">
    <w:abstractNumId w:val="11"/>
  </w:num>
  <w:num w:numId="80" w16cid:durableId="415177667">
    <w:abstractNumId w:val="117"/>
  </w:num>
  <w:num w:numId="81" w16cid:durableId="704909554">
    <w:abstractNumId w:val="119"/>
  </w:num>
  <w:num w:numId="82" w16cid:durableId="2028751290">
    <w:abstractNumId w:val="65"/>
  </w:num>
  <w:num w:numId="83" w16cid:durableId="551888845">
    <w:abstractNumId w:val="12"/>
  </w:num>
  <w:num w:numId="84" w16cid:durableId="2022735496">
    <w:abstractNumId w:val="129"/>
  </w:num>
  <w:num w:numId="85" w16cid:durableId="1067074571">
    <w:abstractNumId w:val="145"/>
  </w:num>
  <w:num w:numId="86" w16cid:durableId="1747068704">
    <w:abstractNumId w:val="138"/>
  </w:num>
  <w:num w:numId="87" w16cid:durableId="821770310">
    <w:abstractNumId w:val="32"/>
  </w:num>
  <w:num w:numId="88" w16cid:durableId="1176459650">
    <w:abstractNumId w:val="33"/>
  </w:num>
  <w:num w:numId="89" w16cid:durableId="677663014">
    <w:abstractNumId w:val="62"/>
  </w:num>
  <w:num w:numId="90" w16cid:durableId="1984003492">
    <w:abstractNumId w:val="64"/>
  </w:num>
  <w:num w:numId="91" w16cid:durableId="2006854577">
    <w:abstractNumId w:val="44"/>
  </w:num>
  <w:num w:numId="92" w16cid:durableId="1391423393">
    <w:abstractNumId w:val="58"/>
  </w:num>
  <w:num w:numId="93" w16cid:durableId="134877997">
    <w:abstractNumId w:val="92"/>
  </w:num>
  <w:num w:numId="94" w16cid:durableId="1802723437">
    <w:abstractNumId w:val="113"/>
  </w:num>
  <w:num w:numId="95" w16cid:durableId="1204907907">
    <w:abstractNumId w:val="111"/>
  </w:num>
  <w:num w:numId="96" w16cid:durableId="1562714991">
    <w:abstractNumId w:val="63"/>
  </w:num>
  <w:num w:numId="97" w16cid:durableId="170877254">
    <w:abstractNumId w:val="13"/>
  </w:num>
  <w:num w:numId="98" w16cid:durableId="1962612218">
    <w:abstractNumId w:val="120"/>
  </w:num>
  <w:num w:numId="99" w16cid:durableId="461270236">
    <w:abstractNumId w:val="36"/>
  </w:num>
  <w:num w:numId="100" w16cid:durableId="500391721">
    <w:abstractNumId w:val="56"/>
  </w:num>
  <w:num w:numId="101" w16cid:durableId="1107384802">
    <w:abstractNumId w:val="142"/>
  </w:num>
  <w:num w:numId="102" w16cid:durableId="1843859492">
    <w:abstractNumId w:val="100"/>
  </w:num>
  <w:num w:numId="103" w16cid:durableId="267854064">
    <w:abstractNumId w:val="38"/>
  </w:num>
  <w:num w:numId="104" w16cid:durableId="1761948227">
    <w:abstractNumId w:val="127"/>
  </w:num>
  <w:num w:numId="105" w16cid:durableId="1440680601">
    <w:abstractNumId w:val="39"/>
  </w:num>
  <w:num w:numId="106" w16cid:durableId="86774094">
    <w:abstractNumId w:val="52"/>
  </w:num>
  <w:num w:numId="107" w16cid:durableId="1436973466">
    <w:abstractNumId w:val="146"/>
  </w:num>
  <w:num w:numId="108" w16cid:durableId="508914817">
    <w:abstractNumId w:val="132"/>
  </w:num>
  <w:num w:numId="109" w16cid:durableId="18971524">
    <w:abstractNumId w:val="34"/>
  </w:num>
  <w:num w:numId="110" w16cid:durableId="120152421">
    <w:abstractNumId w:val="0"/>
  </w:num>
  <w:num w:numId="111" w16cid:durableId="318658828">
    <w:abstractNumId w:val="78"/>
  </w:num>
  <w:num w:numId="112" w16cid:durableId="1440031297">
    <w:abstractNumId w:val="88"/>
  </w:num>
  <w:num w:numId="113" w16cid:durableId="191695396">
    <w:abstractNumId w:val="47"/>
  </w:num>
  <w:num w:numId="114" w16cid:durableId="1892377295">
    <w:abstractNumId w:val="27"/>
  </w:num>
  <w:num w:numId="115" w16cid:durableId="1552962883">
    <w:abstractNumId w:val="97"/>
  </w:num>
  <w:num w:numId="116" w16cid:durableId="64648160">
    <w:abstractNumId w:val="85"/>
  </w:num>
  <w:num w:numId="117" w16cid:durableId="1349527310">
    <w:abstractNumId w:val="81"/>
  </w:num>
  <w:num w:numId="118" w16cid:durableId="1808738203">
    <w:abstractNumId w:val="139"/>
  </w:num>
  <w:num w:numId="119" w16cid:durableId="664671938">
    <w:abstractNumId w:val="3"/>
  </w:num>
  <w:num w:numId="120" w16cid:durableId="2045403674">
    <w:abstractNumId w:val="107"/>
  </w:num>
  <w:num w:numId="121" w16cid:durableId="190535477">
    <w:abstractNumId w:val="123"/>
  </w:num>
  <w:num w:numId="122" w16cid:durableId="770442561">
    <w:abstractNumId w:val="103"/>
  </w:num>
  <w:num w:numId="123" w16cid:durableId="1907644881">
    <w:abstractNumId w:val="5"/>
  </w:num>
  <w:num w:numId="124" w16cid:durableId="1040781480">
    <w:abstractNumId w:val="71"/>
  </w:num>
  <w:num w:numId="125" w16cid:durableId="879051947">
    <w:abstractNumId w:val="82"/>
  </w:num>
  <w:num w:numId="126" w16cid:durableId="2081099391">
    <w:abstractNumId w:val="116"/>
  </w:num>
  <w:num w:numId="127" w16cid:durableId="933442418">
    <w:abstractNumId w:val="108"/>
  </w:num>
  <w:num w:numId="128" w16cid:durableId="990867809">
    <w:abstractNumId w:val="2"/>
  </w:num>
  <w:num w:numId="129" w16cid:durableId="390545879">
    <w:abstractNumId w:val="57"/>
  </w:num>
  <w:num w:numId="130" w16cid:durableId="1672565906">
    <w:abstractNumId w:val="1"/>
  </w:num>
  <w:num w:numId="131" w16cid:durableId="44181821">
    <w:abstractNumId w:val="144"/>
  </w:num>
  <w:num w:numId="132" w16cid:durableId="710227804">
    <w:abstractNumId w:val="147"/>
  </w:num>
  <w:num w:numId="133" w16cid:durableId="1974481598">
    <w:abstractNumId w:val="20"/>
  </w:num>
  <w:num w:numId="134" w16cid:durableId="1450009518">
    <w:abstractNumId w:val="30"/>
  </w:num>
  <w:num w:numId="135" w16cid:durableId="974918937">
    <w:abstractNumId w:val="118"/>
  </w:num>
  <w:num w:numId="136" w16cid:durableId="1813063614">
    <w:abstractNumId w:val="6"/>
  </w:num>
  <w:num w:numId="137" w16cid:durableId="1569924512">
    <w:abstractNumId w:val="128"/>
  </w:num>
  <w:num w:numId="138" w16cid:durableId="775446394">
    <w:abstractNumId w:val="15"/>
  </w:num>
  <w:num w:numId="139" w16cid:durableId="2084715566">
    <w:abstractNumId w:val="48"/>
  </w:num>
  <w:num w:numId="140" w16cid:durableId="1553271872">
    <w:abstractNumId w:val="75"/>
  </w:num>
  <w:num w:numId="141" w16cid:durableId="750394985">
    <w:abstractNumId w:val="31"/>
  </w:num>
  <w:num w:numId="142" w16cid:durableId="906960349">
    <w:abstractNumId w:val="8"/>
  </w:num>
  <w:num w:numId="143" w16cid:durableId="282273139">
    <w:abstractNumId w:val="125"/>
  </w:num>
  <w:num w:numId="144" w16cid:durableId="431242913">
    <w:abstractNumId w:val="86"/>
  </w:num>
  <w:num w:numId="145" w16cid:durableId="1253972743">
    <w:abstractNumId w:val="89"/>
  </w:num>
  <w:num w:numId="146" w16cid:durableId="371150441">
    <w:abstractNumId w:val="18"/>
  </w:num>
  <w:num w:numId="147" w16cid:durableId="807404707">
    <w:abstractNumId w:val="19"/>
  </w:num>
  <w:num w:numId="148" w16cid:durableId="336730285">
    <w:abstractNumId w:val="12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3DA0"/>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17C08"/>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D3E6CB2B-DDA7-456E-9BD0-8EE329A22A1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JPK</dc:creator>
  <cp:keywords/>
  <dc:description/>
  <cp:lastModifiedBy>Bethany Williams-Holthouse</cp:lastModifiedBy>
  <cp:revision>2</cp:revision>
  <cp:lastPrinted>2020-01-20T01:12:00Z</cp:lastPrinted>
  <dcterms:created xsi:type="dcterms:W3CDTF">2023-03-14T23:51:00Z</dcterms:created>
  <dcterms:modified xsi:type="dcterms:W3CDTF">2023-03-14T23:51:00Z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