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07107885"/>
        <w:docPartObj>
          <w:docPartGallery w:val="Cover Pages"/>
          <w:docPartUnique/>
        </w:docPartObj>
      </w:sdtPr>
      <w:sdtEndPr/>
      <w:sdtContent>
        <w:p w14:paraId="2BB26C75" w14:textId="77777777" w:rsidR="007371C6" w:rsidRPr="00F06E45" w:rsidRDefault="007371C6" w:rsidP="00F06E45">
          <w:pPr>
            <w:rPr>
              <w:color w:val="5B9BD5" w:themeColor="accent1"/>
            </w:rPr>
          </w:pPr>
        </w:p>
        <w:p w14:paraId="76F78FF4" w14:textId="77777777" w:rsidR="007371C6" w:rsidRPr="00F06E45" w:rsidRDefault="007371C6" w:rsidP="00F06E45"/>
        <w:p w14:paraId="125A8079" w14:textId="77777777" w:rsidR="007371C6" w:rsidRPr="00F06E45" w:rsidRDefault="007371C6" w:rsidP="00F06E45">
          <w:pPr>
            <w:tabs>
              <w:tab w:val="left" w:pos="2822"/>
            </w:tabs>
          </w:pPr>
          <w:r w:rsidRPr="00F06E45">
            <w:tab/>
          </w:r>
          <w:r w:rsidRPr="00F06E45">
            <w:tab/>
          </w:r>
          <w:r w:rsidRPr="00F06E45">
            <w:tab/>
          </w:r>
          <w:r w:rsidRPr="00F06E45">
            <w:tab/>
          </w:r>
        </w:p>
        <w:p w14:paraId="34FF6D1C" w14:textId="77777777" w:rsidR="007371C6" w:rsidRPr="00F06E45" w:rsidRDefault="007371C6" w:rsidP="00F06E45">
          <w:pPr>
            <w:tabs>
              <w:tab w:val="left" w:pos="2822"/>
            </w:tabs>
          </w:pPr>
          <w:r w:rsidRPr="00F06E45">
            <w:tab/>
          </w:r>
        </w:p>
        <w:p w14:paraId="4609AC21" w14:textId="77777777" w:rsidR="007371C6" w:rsidRPr="00F06E45" w:rsidRDefault="007371C6" w:rsidP="00F06E45"/>
        <w:p w14:paraId="7C1D4979" w14:textId="77777777" w:rsidR="007371C6" w:rsidRPr="00F06E45" w:rsidRDefault="007371C6" w:rsidP="00F06E45"/>
        <w:p w14:paraId="0A989ED9" w14:textId="77777777" w:rsidR="007371C6" w:rsidRPr="00F06E45" w:rsidRDefault="007371C6" w:rsidP="00F06E45"/>
        <w:p w14:paraId="1C128FED" w14:textId="77777777" w:rsidR="007371C6" w:rsidRPr="00F06E45" w:rsidRDefault="007371C6" w:rsidP="00F06E45">
          <w:r w:rsidRPr="00F06E45">
            <w:rPr>
              <w:noProof/>
              <w:lang w:eastAsia="en-AU"/>
            </w:rPr>
            <w:drawing>
              <wp:anchor distT="0" distB="0" distL="114300" distR="114300" simplePos="0" relativeHeight="251666432" behindDoc="0" locked="0" layoutInCell="1" allowOverlap="1" wp14:anchorId="0FCE8745" wp14:editId="01281698">
                <wp:simplePos x="0" y="0"/>
                <wp:positionH relativeFrom="page">
                  <wp:posOffset>2929890</wp:posOffset>
                </wp:positionH>
                <wp:positionV relativeFrom="paragraph">
                  <wp:posOffset>14605</wp:posOffset>
                </wp:positionV>
                <wp:extent cx="4146550" cy="2530475"/>
                <wp:effectExtent l="0" t="0" r="0" b="3175"/>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Pr="00F06E45">
            <w:rPr>
              <w:noProof/>
              <w:lang w:eastAsia="en-AU"/>
            </w:rPr>
            <w:drawing>
              <wp:anchor distT="0" distB="0" distL="114300" distR="114300" simplePos="0" relativeHeight="251660288" behindDoc="1" locked="0" layoutInCell="1" allowOverlap="1" wp14:anchorId="79F7855B" wp14:editId="27C3E07C">
                <wp:simplePos x="0" y="0"/>
                <wp:positionH relativeFrom="page">
                  <wp:align>right</wp:align>
                </wp:positionH>
                <wp:positionV relativeFrom="paragraph">
                  <wp:posOffset>1249680</wp:posOffset>
                </wp:positionV>
                <wp:extent cx="6534150" cy="1059815"/>
                <wp:effectExtent l="0" t="0" r="0" b="6985"/>
                <wp:wrapTight wrapText="bothSides">
                  <wp:wrapPolygon edited="0">
                    <wp:start x="0" y="0"/>
                    <wp:lineTo x="0" y="21354"/>
                    <wp:lineTo x="21537" y="21354"/>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34150" cy="1059815"/>
                        </a:xfrm>
                        <a:prstGeom prst="rect">
                          <a:avLst/>
                        </a:prstGeom>
                      </pic:spPr>
                    </pic:pic>
                  </a:graphicData>
                </a:graphic>
                <wp14:sizeRelH relativeFrom="margin">
                  <wp14:pctWidth>0</wp14:pctWidth>
                </wp14:sizeRelH>
                <wp14:sizeRelV relativeFrom="margin">
                  <wp14:pctHeight>0</wp14:pctHeight>
                </wp14:sizeRelV>
              </wp:anchor>
            </w:drawing>
          </w:r>
          <w:r w:rsidRPr="00F06E45">
            <w:rPr>
              <w:noProof/>
              <w:lang w:eastAsia="en-AU"/>
            </w:rPr>
            <w:drawing>
              <wp:anchor distT="0" distB="0" distL="114300" distR="114300" simplePos="0" relativeHeight="251659264" behindDoc="1" locked="0" layoutInCell="1" allowOverlap="1" wp14:anchorId="2087ADC5" wp14:editId="1022254D">
                <wp:simplePos x="0" y="0"/>
                <wp:positionH relativeFrom="page">
                  <wp:align>left</wp:align>
                </wp:positionH>
                <wp:positionV relativeFrom="paragraph">
                  <wp:posOffset>208915</wp:posOffset>
                </wp:positionV>
                <wp:extent cx="5177790" cy="1062990"/>
                <wp:effectExtent l="0" t="0" r="3810" b="3810"/>
                <wp:wrapTight wrapText="bothSides">
                  <wp:wrapPolygon edited="0">
                    <wp:start x="0" y="0"/>
                    <wp:lineTo x="0" y="21290"/>
                    <wp:lineTo x="21536" y="21290"/>
                    <wp:lineTo x="215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7790" cy="1062990"/>
                        </a:xfrm>
                        <a:prstGeom prst="rect">
                          <a:avLst/>
                        </a:prstGeom>
                      </pic:spPr>
                    </pic:pic>
                  </a:graphicData>
                </a:graphic>
                <wp14:sizeRelH relativeFrom="margin">
                  <wp14:pctWidth>0</wp14:pctWidth>
                </wp14:sizeRelH>
                <wp14:sizeRelV relativeFrom="margin">
                  <wp14:pctHeight>0</wp14:pctHeight>
                </wp14:sizeRelV>
              </wp:anchor>
            </w:drawing>
          </w:r>
          <w:r w:rsidRPr="00F06E45">
            <w:rPr>
              <w:noProof/>
              <w:lang w:eastAsia="en-AU"/>
            </w:rPr>
            <w:drawing>
              <wp:anchor distT="0" distB="0" distL="114300" distR="114300" simplePos="0" relativeHeight="251665408" behindDoc="1" locked="0" layoutInCell="1" allowOverlap="1" wp14:anchorId="08FDC06F" wp14:editId="09CC246A">
                <wp:simplePos x="0" y="0"/>
                <wp:positionH relativeFrom="page">
                  <wp:align>right</wp:align>
                </wp:positionH>
                <wp:positionV relativeFrom="paragraph">
                  <wp:posOffset>198408</wp:posOffset>
                </wp:positionV>
                <wp:extent cx="5493385" cy="1052830"/>
                <wp:effectExtent l="0" t="0" r="0" b="0"/>
                <wp:wrapTight wrapText="bothSides">
                  <wp:wrapPolygon edited="0">
                    <wp:start x="0" y="0"/>
                    <wp:lineTo x="0" y="21105"/>
                    <wp:lineTo x="21498" y="21105"/>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3385" cy="1052830"/>
                        </a:xfrm>
                        <a:prstGeom prst="rect">
                          <a:avLst/>
                        </a:prstGeom>
                      </pic:spPr>
                    </pic:pic>
                  </a:graphicData>
                </a:graphic>
                <wp14:sizeRelH relativeFrom="margin">
                  <wp14:pctWidth>0</wp14:pctWidth>
                </wp14:sizeRelH>
                <wp14:sizeRelV relativeFrom="margin">
                  <wp14:pctHeight>0</wp14:pctHeight>
                </wp14:sizeRelV>
              </wp:anchor>
            </w:drawing>
          </w:r>
          <w:r w:rsidRPr="00F06E45">
            <w:rPr>
              <w:noProof/>
              <w:lang w:eastAsia="en-AU"/>
            </w:rPr>
            <w:drawing>
              <wp:anchor distT="0" distB="0" distL="114300" distR="114300" simplePos="0" relativeHeight="251664384" behindDoc="1" locked="0" layoutInCell="1" allowOverlap="1" wp14:anchorId="779DB1EC" wp14:editId="77BFAC82">
                <wp:simplePos x="0" y="0"/>
                <wp:positionH relativeFrom="page">
                  <wp:align>left</wp:align>
                </wp:positionH>
                <wp:positionV relativeFrom="paragraph">
                  <wp:posOffset>1260071</wp:posOffset>
                </wp:positionV>
                <wp:extent cx="5264150" cy="1059815"/>
                <wp:effectExtent l="0" t="0" r="0" b="6985"/>
                <wp:wrapTight wrapText="bothSides">
                  <wp:wrapPolygon edited="0">
                    <wp:start x="0" y="0"/>
                    <wp:lineTo x="0" y="21354"/>
                    <wp:lineTo x="21496" y="21354"/>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4150" cy="1059815"/>
                        </a:xfrm>
                        <a:prstGeom prst="rect">
                          <a:avLst/>
                        </a:prstGeom>
                      </pic:spPr>
                    </pic:pic>
                  </a:graphicData>
                </a:graphic>
                <wp14:sizeRelH relativeFrom="margin">
                  <wp14:pctWidth>0</wp14:pctWidth>
                </wp14:sizeRelH>
                <wp14:sizeRelV relativeFrom="margin">
                  <wp14:pctHeight>0</wp14:pctHeight>
                </wp14:sizeRelV>
              </wp:anchor>
            </w:drawing>
          </w:r>
        </w:p>
        <w:p w14:paraId="0F282734" w14:textId="77777777" w:rsidR="007371C6" w:rsidRPr="00F06E45" w:rsidRDefault="007371C6" w:rsidP="00F06E45"/>
        <w:p w14:paraId="1274C0E6" w14:textId="77777777" w:rsidR="007371C6" w:rsidRPr="00F06E45" w:rsidRDefault="007371C6" w:rsidP="00F06E45"/>
        <w:p w14:paraId="2418E437" w14:textId="77777777" w:rsidR="007371C6" w:rsidRPr="00F06E45" w:rsidRDefault="007371C6" w:rsidP="00F06E45"/>
        <w:p w14:paraId="69F7CF58" w14:textId="77777777" w:rsidR="007371C6" w:rsidRPr="00F06E45" w:rsidRDefault="007371C6" w:rsidP="00F06E45"/>
        <w:p w14:paraId="62DA5A1A" w14:textId="77777777" w:rsidR="007371C6" w:rsidRPr="00F06E45" w:rsidRDefault="007371C6" w:rsidP="00F06E45">
          <w:r w:rsidRPr="00F06E45">
            <w:rPr>
              <w:noProof/>
              <w:lang w:eastAsia="en-AU"/>
            </w:rPr>
            <w:drawing>
              <wp:anchor distT="0" distB="0" distL="114300" distR="114300" simplePos="0" relativeHeight="251662336" behindDoc="0" locked="0" layoutInCell="1" allowOverlap="1" wp14:anchorId="0F49E826" wp14:editId="215BA318">
                <wp:simplePos x="0" y="0"/>
                <wp:positionH relativeFrom="page">
                  <wp:posOffset>396875</wp:posOffset>
                </wp:positionH>
                <wp:positionV relativeFrom="paragraph">
                  <wp:posOffset>261620</wp:posOffset>
                </wp:positionV>
                <wp:extent cx="2792730" cy="1154430"/>
                <wp:effectExtent l="0" t="0" r="7620" b="7620"/>
                <wp:wrapSquare wrapText="bothSides"/>
                <wp:docPr id="9" name="Picture 9" descr="C:\Users\kresha.hodges\AppData\Local\Microsoft\Windows\Temporary Internet Files\Content.IE5\UFWYV91J\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sha.hodges\AppData\Local\Microsoft\Windows\Temporary Internet Files\Content.IE5\UFWYV91J\logo clear backgrou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73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F904D" w14:textId="77777777" w:rsidR="007371C6" w:rsidRPr="00F06E45" w:rsidRDefault="007371C6" w:rsidP="00F06E45"/>
        <w:p w14:paraId="690FD9A6" w14:textId="77777777" w:rsidR="007371C6" w:rsidRPr="00F06E45" w:rsidRDefault="007371C6" w:rsidP="00F06E45"/>
        <w:p w14:paraId="201DA2ED" w14:textId="77777777" w:rsidR="007371C6" w:rsidRPr="00F06E45" w:rsidRDefault="007371C6" w:rsidP="00F06E45"/>
        <w:p w14:paraId="2C002DF9" w14:textId="77777777" w:rsidR="007371C6" w:rsidRPr="00F06E45" w:rsidRDefault="007371C6" w:rsidP="00F06E45"/>
        <w:p w14:paraId="1DF07510" w14:textId="77777777" w:rsidR="007371C6" w:rsidRPr="00F06E45" w:rsidRDefault="007371C6" w:rsidP="00F06E45"/>
        <w:p w14:paraId="2CC7A4DB" w14:textId="77777777" w:rsidR="007371C6" w:rsidRPr="00F06E45" w:rsidRDefault="007371C6" w:rsidP="00F06E45"/>
        <w:p w14:paraId="020C2853" w14:textId="77777777" w:rsidR="007371C6" w:rsidRPr="00F06E45" w:rsidRDefault="007371C6" w:rsidP="00F06E45"/>
        <w:p w14:paraId="2773A590" w14:textId="77777777" w:rsidR="007371C6" w:rsidRPr="00F06E45" w:rsidRDefault="007371C6" w:rsidP="00F06E45">
          <w:pPr>
            <w:tabs>
              <w:tab w:val="left" w:pos="698"/>
            </w:tabs>
          </w:pPr>
          <w:r w:rsidRPr="00F06E45">
            <w:tab/>
          </w:r>
        </w:p>
        <w:p w14:paraId="1AA33BA4" w14:textId="77777777" w:rsidR="007371C6" w:rsidRPr="00F06E45" w:rsidRDefault="007371C6" w:rsidP="00F06E45">
          <w:pPr>
            <w:tabs>
              <w:tab w:val="left" w:pos="698"/>
            </w:tabs>
          </w:pPr>
        </w:p>
        <w:p w14:paraId="0333C126" w14:textId="77777777" w:rsidR="007371C6" w:rsidRPr="00F06E45" w:rsidRDefault="007371C6" w:rsidP="00F06E45">
          <w:pPr>
            <w:tabs>
              <w:tab w:val="left" w:pos="698"/>
            </w:tabs>
          </w:pPr>
        </w:p>
        <w:p w14:paraId="7385759D" w14:textId="77777777" w:rsidR="007371C6" w:rsidRPr="00F06E45" w:rsidRDefault="007371C6" w:rsidP="00F06E45">
          <w:pPr>
            <w:spacing w:after="0" w:line="240" w:lineRule="auto"/>
            <w:ind w:left="851"/>
            <w:rPr>
              <w:rFonts w:cs="Agenda-Medium"/>
              <w:b/>
              <w:sz w:val="32"/>
              <w:szCs w:val="32"/>
            </w:rPr>
          </w:pPr>
        </w:p>
        <w:p w14:paraId="61FE0BAF" w14:textId="77777777" w:rsidR="007371C6" w:rsidRPr="00F06E45" w:rsidRDefault="007371C6" w:rsidP="00F06E45">
          <w:pPr>
            <w:spacing w:after="0" w:line="240" w:lineRule="auto"/>
            <w:ind w:left="851"/>
            <w:rPr>
              <w:rFonts w:cs="Agenda-Medium"/>
              <w:b/>
              <w:sz w:val="32"/>
              <w:szCs w:val="32"/>
            </w:rPr>
          </w:pPr>
        </w:p>
        <w:p w14:paraId="6A132EE2" w14:textId="77777777" w:rsidR="007371C6" w:rsidRPr="00F06E45" w:rsidRDefault="007371C6" w:rsidP="00F06E45">
          <w:pPr>
            <w:spacing w:after="0" w:line="240" w:lineRule="auto"/>
            <w:ind w:left="851"/>
            <w:rPr>
              <w:rFonts w:cs="Agenda-Medium"/>
              <w:b/>
              <w:sz w:val="32"/>
              <w:szCs w:val="32"/>
            </w:rPr>
          </w:pPr>
        </w:p>
        <w:p w14:paraId="7CFA8D08" w14:textId="77777777" w:rsidR="007371C6" w:rsidRPr="00F06E45" w:rsidRDefault="007371C6" w:rsidP="00F06E45">
          <w:pPr>
            <w:spacing w:after="0" w:line="240" w:lineRule="auto"/>
            <w:ind w:left="851"/>
            <w:rPr>
              <w:rFonts w:cs="Agenda-Medium"/>
              <w:b/>
              <w:sz w:val="32"/>
              <w:szCs w:val="32"/>
            </w:rPr>
          </w:pPr>
        </w:p>
        <w:p w14:paraId="3301728E" w14:textId="77777777" w:rsidR="007371C6" w:rsidRPr="00F06E45" w:rsidRDefault="007371C6" w:rsidP="00F06E45">
          <w:pPr>
            <w:spacing w:after="0" w:line="240" w:lineRule="auto"/>
            <w:ind w:left="851"/>
            <w:rPr>
              <w:rFonts w:cs="Agenda-Medium"/>
              <w:b/>
              <w:sz w:val="32"/>
              <w:szCs w:val="32"/>
            </w:rPr>
          </w:pPr>
        </w:p>
        <w:p w14:paraId="599474CC" w14:textId="77777777" w:rsidR="007371C6" w:rsidRPr="00F06E45" w:rsidRDefault="007371C6" w:rsidP="00F06E45">
          <w:pPr>
            <w:spacing w:after="0" w:line="240" w:lineRule="auto"/>
            <w:ind w:left="851"/>
            <w:rPr>
              <w:rFonts w:cs="Agenda-Medium"/>
              <w:b/>
              <w:sz w:val="32"/>
              <w:szCs w:val="32"/>
            </w:rPr>
          </w:pPr>
        </w:p>
        <w:p w14:paraId="2F518D54" w14:textId="77777777" w:rsidR="007371C6" w:rsidRPr="00F06E45" w:rsidRDefault="007371C6" w:rsidP="00F06E45">
          <w:pPr>
            <w:spacing w:after="0" w:line="240" w:lineRule="auto"/>
            <w:ind w:left="851"/>
            <w:rPr>
              <w:rFonts w:cs="Agenda-Medium"/>
              <w:b/>
              <w:sz w:val="32"/>
              <w:szCs w:val="32"/>
            </w:rPr>
          </w:pPr>
        </w:p>
        <w:p w14:paraId="66A79379" w14:textId="77777777" w:rsidR="007371C6" w:rsidRPr="00F06E45" w:rsidRDefault="007371C6" w:rsidP="00F06E45">
          <w:pPr>
            <w:spacing w:after="0" w:line="240" w:lineRule="auto"/>
            <w:ind w:left="851"/>
            <w:rPr>
              <w:rFonts w:cs="Agenda-Medium"/>
              <w:b/>
              <w:sz w:val="32"/>
              <w:szCs w:val="32"/>
            </w:rPr>
          </w:pPr>
        </w:p>
        <w:p w14:paraId="45D17F7E" w14:textId="77777777" w:rsidR="007371C6" w:rsidRPr="00F06E45" w:rsidRDefault="007371C6" w:rsidP="00F06E45">
          <w:pPr>
            <w:spacing w:after="0" w:line="240" w:lineRule="auto"/>
            <w:ind w:left="851"/>
            <w:rPr>
              <w:rFonts w:cs="Agenda-Medium"/>
              <w:b/>
              <w:sz w:val="32"/>
              <w:szCs w:val="32"/>
            </w:rPr>
          </w:pPr>
        </w:p>
        <w:p w14:paraId="1114EC41" w14:textId="77777777" w:rsidR="007371C6" w:rsidRPr="00F06E45" w:rsidRDefault="007371C6" w:rsidP="00F06E45">
          <w:pPr>
            <w:spacing w:after="0" w:line="240" w:lineRule="auto"/>
            <w:ind w:left="851"/>
            <w:rPr>
              <w:rFonts w:cs="Agenda-Medium"/>
              <w:b/>
              <w:sz w:val="32"/>
              <w:szCs w:val="32"/>
            </w:rPr>
          </w:pPr>
          <w:r w:rsidRPr="00F06E45">
            <w:rPr>
              <w:noProof/>
              <w:lang w:eastAsia="en-AU"/>
            </w:rPr>
            <mc:AlternateContent>
              <mc:Choice Requires="wps">
                <w:drawing>
                  <wp:anchor distT="45720" distB="45720" distL="114300" distR="114300" simplePos="0" relativeHeight="251663360" behindDoc="0" locked="0" layoutInCell="1" allowOverlap="1" wp14:anchorId="538C866A" wp14:editId="510D8146">
                    <wp:simplePos x="0" y="0"/>
                    <wp:positionH relativeFrom="page">
                      <wp:posOffset>5198321</wp:posOffset>
                    </wp:positionH>
                    <wp:positionV relativeFrom="paragraph">
                      <wp:posOffset>358775</wp:posOffset>
                    </wp:positionV>
                    <wp:extent cx="5359400" cy="849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849630"/>
                            </a:xfrm>
                            <a:prstGeom prst="rect">
                              <a:avLst/>
                            </a:prstGeom>
                            <a:noFill/>
                            <a:ln w="9525">
                              <a:noFill/>
                              <a:miter lim="800000"/>
                              <a:headEnd/>
                              <a:tailEnd/>
                            </a:ln>
                          </wps:spPr>
                          <wps:txbx>
                            <w:txbxContent>
                              <w:p w14:paraId="0A6286CD" w14:textId="77777777" w:rsidR="008D2064" w:rsidRPr="001D5B26" w:rsidRDefault="008D2064" w:rsidP="007371C6">
                                <w:pPr>
                                  <w:rPr>
                                    <w:b/>
                                    <w:color w:val="1F4E79" w:themeColor="accent1" w:themeShade="80"/>
                                    <w:sz w:val="44"/>
                                    <w:szCs w:val="44"/>
                                  </w:rPr>
                                </w:pPr>
                                <w:r w:rsidRPr="001D5B26">
                                  <w:rPr>
                                    <w:b/>
                                    <w:color w:val="1F4E79" w:themeColor="accent1" w:themeShade="80"/>
                                    <w:sz w:val="44"/>
                                    <w:szCs w:val="44"/>
                                  </w:rPr>
                                  <w:t>1</w:t>
                                </w:r>
                                <w:r w:rsidRPr="001D5B26">
                                  <w:rPr>
                                    <w:b/>
                                    <w:color w:val="1F4E79" w:themeColor="accent1" w:themeShade="80"/>
                                    <w:sz w:val="44"/>
                                    <w:szCs w:val="44"/>
                                    <w:vertAlign w:val="superscript"/>
                                  </w:rPr>
                                  <w:t>st</w:t>
                                </w:r>
                                <w:r w:rsidRPr="001D5B26">
                                  <w:rPr>
                                    <w:b/>
                                    <w:color w:val="1F4E79" w:themeColor="accent1" w:themeShade="80"/>
                                    <w:sz w:val="44"/>
                                    <w:szCs w:val="44"/>
                                  </w:rPr>
                                  <w:t xml:space="preserve"> Quarter Operational Report 2015 -2016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866A" id="_x0000_t202" coordsize="21600,21600" o:spt="202" path="m,l,21600r21600,l21600,xe">
                    <v:stroke joinstyle="miter"/>
                    <v:path gradientshapeok="t" o:connecttype="rect"/>
                  </v:shapetype>
                  <v:shape id="Text Box 2" o:spid="_x0000_s1026" type="#_x0000_t202" style="position:absolute;left:0;text-align:left;margin-left:409.3pt;margin-top:28.25pt;width:422pt;height:66.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" filled="f" stroked="f">
                    <v:textbox>
                      <w:txbxContent>
                        <w:p w14:paraId="0A6286CD" w14:textId="77777777" w:rsidR="008D2064" w:rsidRPr="001D5B26" w:rsidRDefault="008D2064" w:rsidP="007371C6">
                          <w:pPr>
                            <w:rPr>
                              <w:b/>
                              <w:color w:val="1F4E79" w:themeColor="accent1" w:themeShade="80"/>
                              <w:sz w:val="44"/>
                              <w:szCs w:val="44"/>
                            </w:rPr>
                          </w:pPr>
                          <w:r w:rsidRPr="001D5B26">
                            <w:rPr>
                              <w:b/>
                              <w:color w:val="1F4E79" w:themeColor="accent1" w:themeShade="80"/>
                              <w:sz w:val="44"/>
                              <w:szCs w:val="44"/>
                            </w:rPr>
                            <w:t>1</w:t>
                          </w:r>
                          <w:r w:rsidRPr="001D5B26">
                            <w:rPr>
                              <w:b/>
                              <w:color w:val="1F4E79" w:themeColor="accent1" w:themeShade="80"/>
                              <w:sz w:val="44"/>
                              <w:szCs w:val="44"/>
                              <w:vertAlign w:val="superscript"/>
                            </w:rPr>
                            <w:t>st</w:t>
                          </w:r>
                          <w:r w:rsidRPr="001D5B26">
                            <w:rPr>
                              <w:b/>
                              <w:color w:val="1F4E79" w:themeColor="accent1" w:themeShade="80"/>
                              <w:sz w:val="44"/>
                              <w:szCs w:val="44"/>
                            </w:rPr>
                            <w:t xml:space="preserve"> Quarter Operational Report 2015 -2016</w:t>
                          </w:r>
                        </w:p>
                      </w:txbxContent>
                    </v:textbox>
                    <w10:wrap type="square" anchorx="page"/>
                  </v:shape>
                </w:pict>
              </mc:Fallback>
            </mc:AlternateContent>
          </w:r>
        </w:p>
        <w:p w14:paraId="6AB8272B" w14:textId="77777777" w:rsidR="007371C6" w:rsidRPr="00F06E45" w:rsidRDefault="007371C6" w:rsidP="00F06E45">
          <w:pPr>
            <w:spacing w:after="0" w:line="240" w:lineRule="auto"/>
            <w:ind w:left="851"/>
            <w:rPr>
              <w:rFonts w:cs="Agenda-Medium"/>
              <w:b/>
              <w:sz w:val="32"/>
              <w:szCs w:val="32"/>
            </w:rPr>
          </w:pPr>
        </w:p>
        <w:p w14:paraId="35C3873F" w14:textId="77777777" w:rsidR="007371C6" w:rsidRPr="00F06E45" w:rsidRDefault="007371C6" w:rsidP="00F06E45">
          <w:pPr>
            <w:spacing w:after="0" w:line="240" w:lineRule="auto"/>
            <w:ind w:left="851"/>
            <w:rPr>
              <w:rFonts w:cs="Agenda-Medium"/>
              <w:b/>
              <w:sz w:val="32"/>
              <w:szCs w:val="32"/>
            </w:rPr>
          </w:pPr>
        </w:p>
        <w:p w14:paraId="29284192" w14:textId="77777777" w:rsidR="007371C6" w:rsidRPr="00F06E45" w:rsidRDefault="007371C6" w:rsidP="00F06E45">
          <w:pPr>
            <w:spacing w:after="0" w:line="240" w:lineRule="auto"/>
            <w:ind w:left="851"/>
            <w:rPr>
              <w:rFonts w:cs="Agenda-Medium"/>
              <w:b/>
              <w:sz w:val="32"/>
              <w:szCs w:val="32"/>
            </w:rPr>
          </w:pPr>
        </w:p>
        <w:p w14:paraId="08685509" w14:textId="77777777" w:rsidR="007371C6" w:rsidRPr="00F06E45" w:rsidRDefault="007371C6" w:rsidP="00F06E45">
          <w:pPr>
            <w:spacing w:after="0" w:line="240" w:lineRule="auto"/>
            <w:ind w:left="851"/>
            <w:rPr>
              <w:rFonts w:cs="Agenda-Medium"/>
              <w:b/>
              <w:color w:val="1F4E79" w:themeColor="accent1" w:themeShade="80"/>
              <w:sz w:val="32"/>
              <w:szCs w:val="32"/>
            </w:rPr>
          </w:pPr>
          <w:r w:rsidRPr="00F06E45">
            <w:rPr>
              <w:rFonts w:cs="Agenda-Medium"/>
              <w:b/>
              <w:color w:val="1F4E79" w:themeColor="accent1" w:themeShade="80"/>
              <w:sz w:val="32"/>
              <w:szCs w:val="32"/>
            </w:rPr>
            <w:t xml:space="preserve">Introduction </w:t>
          </w:r>
        </w:p>
        <w:p w14:paraId="2592E954" w14:textId="77777777" w:rsidR="007371C6" w:rsidRPr="00F06E45" w:rsidRDefault="007371C6" w:rsidP="00F06E45">
          <w:pPr>
            <w:spacing w:after="0" w:line="240" w:lineRule="auto"/>
            <w:ind w:left="851"/>
            <w:rPr>
              <w:rFonts w:cs="Agenda-Medium"/>
              <w:b/>
              <w:sz w:val="32"/>
              <w:szCs w:val="32"/>
            </w:rPr>
          </w:pPr>
        </w:p>
        <w:p w14:paraId="100DF1B1" w14:textId="77777777" w:rsidR="007371C6" w:rsidRPr="00F06E45" w:rsidRDefault="007371C6" w:rsidP="00F06E45">
          <w:pPr>
            <w:tabs>
              <w:tab w:val="left" w:pos="851"/>
            </w:tabs>
            <w:ind w:left="851"/>
            <w:jc w:val="both"/>
            <w:rPr>
              <w:rFonts w:cs="Agenda-Light"/>
              <w:color w:val="000000"/>
              <w:sz w:val="24"/>
              <w:szCs w:val="24"/>
            </w:rPr>
          </w:pPr>
          <w:r w:rsidRPr="00F06E45">
            <w:rPr>
              <w:sz w:val="24"/>
              <w:szCs w:val="24"/>
            </w:rPr>
            <w:t xml:space="preserve">Bundaberg Regional Council’s </w:t>
          </w:r>
          <w:r w:rsidRPr="00F06E45">
            <w:rPr>
              <w:rFonts w:cs="Agenda-Bold"/>
              <w:bCs/>
              <w:sz w:val="24"/>
              <w:szCs w:val="24"/>
            </w:rPr>
            <w:t>Performance Reports provide quarterly assessment of progress towards implementing Bundaberg Regional Council’s Corporate Plan 2014-2019 and 2015-2016 Operational Plan. It is a legislative requirement under the Local Government Act 2009 and Local Government Regulation 2012.</w:t>
          </w:r>
          <w:r w:rsidRPr="00F06E45">
            <w:rPr>
              <w:rFonts w:cs="Agenda-Light"/>
              <w:color w:val="000000"/>
              <w:sz w:val="24"/>
              <w:szCs w:val="24"/>
            </w:rPr>
            <w:t xml:space="preserve"> This 1st Quarter Report provides an evaluation of the contribution of Council’s services and initiatives to the delivery of 2014-2019 Corporate Plan Outcomes during the 2015-2016 1st Quarter. </w:t>
          </w:r>
        </w:p>
        <w:p w14:paraId="01FDD34B" w14:textId="77777777" w:rsidR="007371C6" w:rsidRPr="00F06E45" w:rsidRDefault="00A7572C" w:rsidP="00F06E45">
          <w:pPr>
            <w:pStyle w:val="NoSpacing"/>
          </w:pPr>
          <w:r w:rsidRPr="00F06E45">
            <w:rPr>
              <w:noProof/>
              <w:lang w:eastAsia="en-AU"/>
            </w:rPr>
            <w:drawing>
              <wp:inline distT="0" distB="0" distL="0" distR="0" wp14:anchorId="0E25426F" wp14:editId="4672544C">
                <wp:extent cx="4500880" cy="24841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0880" cy="2484120"/>
                        </a:xfrm>
                        <a:prstGeom prst="rect">
                          <a:avLst/>
                        </a:prstGeom>
                      </pic:spPr>
                    </pic:pic>
                  </a:graphicData>
                </a:graphic>
              </wp:inline>
            </w:drawing>
          </w:r>
          <w:r w:rsidR="007371C6" w:rsidRPr="00F06E45">
            <w:t xml:space="preserve">        </w:t>
          </w:r>
        </w:p>
        <w:p w14:paraId="019F9C5F" w14:textId="77777777" w:rsidR="007371C6" w:rsidRPr="00F06E45" w:rsidRDefault="007371C6" w:rsidP="00F06E45">
          <w:pPr>
            <w:ind w:left="851"/>
            <w:jc w:val="both"/>
            <w:rPr>
              <w:i/>
              <w:sz w:val="20"/>
              <w:szCs w:val="20"/>
            </w:rPr>
          </w:pPr>
          <w:r w:rsidRPr="00F06E45">
            <w:rPr>
              <w:i/>
              <w:sz w:val="20"/>
              <w:szCs w:val="20"/>
            </w:rPr>
            <w:t xml:space="preserve">Corporate Planning Framework </w:t>
          </w:r>
        </w:p>
        <w:p w14:paraId="633E9DDC" w14:textId="77777777" w:rsidR="007371C6" w:rsidRPr="00F06E45" w:rsidRDefault="007371C6" w:rsidP="00F06E45">
          <w:pPr>
            <w:spacing w:after="200" w:line="276" w:lineRule="auto"/>
            <w:ind w:left="851"/>
            <w:rPr>
              <w:rFonts w:ascii="Calibri" w:eastAsia="Calibri" w:hAnsi="Calibri" w:cs="Times New Roman"/>
              <w:b/>
              <w:color w:val="FFFFFF"/>
              <w:sz w:val="56"/>
              <w:szCs w:val="56"/>
            </w:rPr>
          </w:pPr>
          <w:r w:rsidRPr="00F06E45">
            <w:rPr>
              <w:rFonts w:ascii="Calibri" w:eastAsia="Calibri" w:hAnsi="Calibri" w:cs="Times New Roman"/>
              <w:b/>
              <w:color w:val="FFFFFF"/>
              <w:sz w:val="56"/>
              <w:szCs w:val="56"/>
            </w:rPr>
            <w:t xml:space="preserve">     </w:t>
          </w:r>
        </w:p>
        <w:p w14:paraId="743AFE58" w14:textId="77777777" w:rsidR="007371C6" w:rsidRPr="00F06E45" w:rsidRDefault="007371C6" w:rsidP="00F06E45">
          <w:pPr>
            <w:spacing w:after="200" w:line="276" w:lineRule="auto"/>
            <w:ind w:left="851"/>
            <w:rPr>
              <w:rFonts w:ascii="Calibri" w:eastAsia="Calibri" w:hAnsi="Calibri" w:cs="Times New Roman"/>
              <w:b/>
              <w:color w:val="FFFFFF"/>
              <w:sz w:val="56"/>
              <w:szCs w:val="56"/>
            </w:rPr>
          </w:pPr>
        </w:p>
        <w:p w14:paraId="163C659D" w14:textId="77777777" w:rsidR="007371C6" w:rsidRPr="00F06E45" w:rsidRDefault="007371C6" w:rsidP="00F06E45">
          <w:pPr>
            <w:spacing w:after="0" w:line="240" w:lineRule="auto"/>
            <w:ind w:left="-108"/>
            <w:rPr>
              <w:rFonts w:ascii="Calibri" w:eastAsia="Calibri" w:hAnsi="Calibri" w:cs="Times New Roman"/>
              <w:b/>
            </w:rPr>
          </w:pPr>
          <w:r w:rsidRPr="00F06E45">
            <w:rPr>
              <w:rFonts w:ascii="Calibri" w:eastAsia="Calibri" w:hAnsi="Calibri" w:cs="Times New Roman"/>
              <w:b/>
            </w:rPr>
            <w:t xml:space="preserve">                        </w:t>
          </w:r>
        </w:p>
        <w:p w14:paraId="26130464" w14:textId="77777777" w:rsidR="007371C6" w:rsidRPr="00F06E45" w:rsidRDefault="007371C6" w:rsidP="00F06E45">
          <w:pPr>
            <w:spacing w:after="200" w:line="276" w:lineRule="auto"/>
            <w:ind w:left="851"/>
            <w:rPr>
              <w:rFonts w:ascii="Calibri" w:eastAsia="Calibri" w:hAnsi="Calibri" w:cs="Times New Roman"/>
              <w:b/>
              <w:color w:val="FFFFFF"/>
              <w:sz w:val="56"/>
              <w:szCs w:val="56"/>
            </w:rPr>
          </w:pPr>
        </w:p>
        <w:p w14:paraId="429C2753" w14:textId="77777777" w:rsidR="007371C6" w:rsidRPr="00F06E45" w:rsidRDefault="00A7572C" w:rsidP="00F06E45">
          <w:pPr>
            <w:spacing w:after="200" w:line="276" w:lineRule="auto"/>
            <w:ind w:left="851"/>
            <w:rPr>
              <w:sz w:val="24"/>
              <w:szCs w:val="24"/>
            </w:rPr>
          </w:pPr>
          <w:r w:rsidRPr="00F06E45">
            <w:rPr>
              <w:noProof/>
              <w:lang w:eastAsia="en-AU"/>
            </w:rPr>
            <w:drawing>
              <wp:anchor distT="0" distB="0" distL="114300" distR="114300" simplePos="0" relativeHeight="251668480" behindDoc="1" locked="0" layoutInCell="1" allowOverlap="1" wp14:anchorId="2B18B563" wp14:editId="6DF35F45">
                <wp:simplePos x="0" y="0"/>
                <wp:positionH relativeFrom="margin">
                  <wp:align>right</wp:align>
                </wp:positionH>
                <wp:positionV relativeFrom="paragraph">
                  <wp:posOffset>327025</wp:posOffset>
                </wp:positionV>
                <wp:extent cx="3002915" cy="1992630"/>
                <wp:effectExtent l="0" t="0" r="0" b="7620"/>
                <wp:wrapTight wrapText="bothSides">
                  <wp:wrapPolygon edited="0">
                    <wp:start x="10414" y="0"/>
                    <wp:lineTo x="5618" y="1859"/>
                    <wp:lineTo x="4659" y="2478"/>
                    <wp:lineTo x="4659" y="6608"/>
                    <wp:lineTo x="3837" y="9912"/>
                    <wp:lineTo x="3563" y="10738"/>
                    <wp:lineTo x="3700" y="11564"/>
                    <wp:lineTo x="4659" y="13216"/>
                    <wp:lineTo x="4659" y="19205"/>
                    <wp:lineTo x="5618" y="19824"/>
                    <wp:lineTo x="9318" y="19824"/>
                    <wp:lineTo x="10277" y="21476"/>
                    <wp:lineTo x="10414" y="21476"/>
                    <wp:lineTo x="11099" y="21476"/>
                    <wp:lineTo x="11236" y="21476"/>
                    <wp:lineTo x="12195" y="19824"/>
                    <wp:lineTo x="16306" y="19824"/>
                    <wp:lineTo x="17402" y="19205"/>
                    <wp:lineTo x="17128" y="13216"/>
                    <wp:lineTo x="17676" y="12597"/>
                    <wp:lineTo x="17951" y="10738"/>
                    <wp:lineTo x="17676" y="9912"/>
                    <wp:lineTo x="17128" y="6608"/>
                    <wp:lineTo x="17402" y="2478"/>
                    <wp:lineTo x="16169" y="1859"/>
                    <wp:lineTo x="11099" y="0"/>
                    <wp:lineTo x="10414" y="0"/>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7371C6" w:rsidRPr="00F06E45">
            <w:rPr>
              <w:rFonts w:ascii="Calibri" w:eastAsia="Calibri" w:hAnsi="Calibri" w:cs="Times New Roman"/>
              <w:b/>
              <w:color w:val="FFFFFF"/>
              <w:sz w:val="56"/>
              <w:szCs w:val="56"/>
            </w:rPr>
            <w:t xml:space="preserve">     </w:t>
          </w:r>
        </w:p>
        <w:p w14:paraId="7B9D816D" w14:textId="77777777" w:rsidR="007371C6" w:rsidRPr="00F06E45" w:rsidRDefault="007371C6" w:rsidP="00F06E45">
          <w:pPr>
            <w:ind w:left="851"/>
            <w:jc w:val="both"/>
            <w:rPr>
              <w:sz w:val="24"/>
              <w:szCs w:val="24"/>
            </w:rPr>
          </w:pPr>
        </w:p>
        <w:p w14:paraId="647B307A" w14:textId="77777777" w:rsidR="007371C6" w:rsidRPr="00F06E45" w:rsidRDefault="007371C6" w:rsidP="00F06E45">
          <w:pPr>
            <w:ind w:left="851"/>
            <w:jc w:val="both"/>
            <w:rPr>
              <w:sz w:val="24"/>
              <w:szCs w:val="24"/>
            </w:rPr>
          </w:pPr>
        </w:p>
        <w:p w14:paraId="64FF9827" w14:textId="77777777" w:rsidR="007371C6" w:rsidRPr="00F06E45" w:rsidRDefault="007371C6" w:rsidP="00F06E45">
          <w:pPr>
            <w:ind w:left="851"/>
            <w:jc w:val="both"/>
            <w:rPr>
              <w:sz w:val="24"/>
              <w:szCs w:val="24"/>
            </w:rPr>
          </w:pPr>
        </w:p>
        <w:p w14:paraId="3C7CF639" w14:textId="77777777" w:rsidR="007371C6" w:rsidRPr="00F06E45" w:rsidRDefault="007371C6" w:rsidP="00F06E45">
          <w:pPr>
            <w:ind w:left="851"/>
            <w:jc w:val="both"/>
            <w:rPr>
              <w:sz w:val="24"/>
              <w:szCs w:val="24"/>
            </w:rPr>
          </w:pPr>
        </w:p>
        <w:p w14:paraId="20FEAB52" w14:textId="77777777" w:rsidR="007371C6" w:rsidRPr="00F06E45" w:rsidRDefault="007371C6" w:rsidP="00F06E45">
          <w:pPr>
            <w:ind w:left="851"/>
            <w:jc w:val="both"/>
            <w:rPr>
              <w:sz w:val="24"/>
              <w:szCs w:val="24"/>
            </w:rPr>
          </w:pPr>
        </w:p>
        <w:p w14:paraId="64FF2E9F" w14:textId="77777777" w:rsidR="007371C6" w:rsidRPr="00F06E45" w:rsidRDefault="00A7572C" w:rsidP="00F06E45">
          <w:pPr>
            <w:rPr>
              <w:i/>
              <w:sz w:val="20"/>
              <w:szCs w:val="20"/>
            </w:rPr>
          </w:pPr>
          <w:r w:rsidRPr="00F06E45">
            <w:rPr>
              <w:noProof/>
              <w:lang w:eastAsia="en-AU"/>
            </w:rPr>
            <w:drawing>
              <wp:anchor distT="0" distB="0" distL="114300" distR="114300" simplePos="0" relativeHeight="251669504" behindDoc="0" locked="0" layoutInCell="1" allowOverlap="1" wp14:anchorId="2C9ABEC6" wp14:editId="47956A33">
                <wp:simplePos x="0" y="0"/>
                <wp:positionH relativeFrom="margin">
                  <wp:posOffset>5461000</wp:posOffset>
                </wp:positionH>
                <wp:positionV relativeFrom="paragraph">
                  <wp:posOffset>257810</wp:posOffset>
                </wp:positionV>
                <wp:extent cx="1652270" cy="682625"/>
                <wp:effectExtent l="0" t="0" r="5080" b="3175"/>
                <wp:wrapSquare wrapText="bothSides"/>
                <wp:docPr id="2" name="Picture 2" descr="C:\Users\kresha.hodges\AppData\Local\Microsoft\Windows\Temporary Internet Files\Content.IE5\UFWYV91J\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sha.hodges\AppData\Local\Microsoft\Windows\Temporary Internet Files\Content.IE5\UFWYV91J\logo clear backgroun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27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6EB1" w14:textId="77777777" w:rsidR="007371C6" w:rsidRPr="00F06E45" w:rsidRDefault="007371C6" w:rsidP="00F06E45">
          <w:pPr>
            <w:ind w:left="851"/>
            <w:jc w:val="both"/>
            <w:rPr>
              <w:sz w:val="24"/>
              <w:szCs w:val="24"/>
            </w:rPr>
          </w:pPr>
        </w:p>
        <w:p w14:paraId="6E1F4979" w14:textId="77777777" w:rsidR="00A7572C" w:rsidRPr="00F06E45" w:rsidRDefault="00A7572C" w:rsidP="00F06E45">
          <w:pPr>
            <w:jc w:val="center"/>
            <w:rPr>
              <w:i/>
              <w:sz w:val="20"/>
              <w:szCs w:val="20"/>
            </w:rPr>
          </w:pPr>
          <w:r w:rsidRPr="00F06E45">
            <w:rPr>
              <w:i/>
              <w:sz w:val="20"/>
              <w:szCs w:val="20"/>
            </w:rPr>
            <w:t>Quadruple Bottom-line</w:t>
          </w:r>
        </w:p>
        <w:p w14:paraId="4152AA9B" w14:textId="77777777" w:rsidR="00A7572C" w:rsidRPr="00F06E45" w:rsidRDefault="00A7572C" w:rsidP="00F06E45">
          <w:pPr>
            <w:ind w:left="851"/>
            <w:jc w:val="both"/>
            <w:rPr>
              <w:sz w:val="24"/>
              <w:szCs w:val="24"/>
            </w:rPr>
          </w:pPr>
        </w:p>
        <w:p w14:paraId="1B67DBB2" w14:textId="77777777" w:rsidR="00A7572C" w:rsidRPr="00F06E45" w:rsidRDefault="00A7572C" w:rsidP="00F06E45">
          <w:pPr>
            <w:ind w:left="851"/>
            <w:jc w:val="both"/>
            <w:rPr>
              <w:sz w:val="24"/>
              <w:szCs w:val="24"/>
            </w:rPr>
          </w:pPr>
        </w:p>
        <w:p w14:paraId="7A63F7E7" w14:textId="77777777" w:rsidR="007371C6" w:rsidRPr="00F06E45" w:rsidRDefault="007371C6" w:rsidP="00F06E45">
          <w:pPr>
            <w:ind w:left="851"/>
            <w:jc w:val="both"/>
            <w:rPr>
              <w:sz w:val="24"/>
              <w:szCs w:val="24"/>
            </w:rPr>
          </w:pPr>
          <w:r w:rsidRPr="00F06E45">
            <w:rPr>
              <w:sz w:val="24"/>
              <w:szCs w:val="24"/>
            </w:rPr>
            <w:t xml:space="preserve">This Performance Report is divided into four key areas which reflect our community </w:t>
          </w:r>
          <w:r w:rsidRPr="00F06E45">
            <w:rPr>
              <w:i/>
              <w:sz w:val="24"/>
              <w:szCs w:val="24"/>
            </w:rPr>
            <w:t>Values</w:t>
          </w:r>
          <w:r w:rsidRPr="00F06E45">
            <w:rPr>
              <w:sz w:val="24"/>
              <w:szCs w:val="24"/>
            </w:rPr>
            <w:t xml:space="preserve"> as described in </w:t>
          </w:r>
          <w:r w:rsidRPr="00F06E45">
            <w:rPr>
              <w:i/>
              <w:sz w:val="24"/>
              <w:szCs w:val="24"/>
            </w:rPr>
            <w:t>Bundaberg Region 2031.</w:t>
          </w:r>
          <w:r w:rsidRPr="00F06E45">
            <w:rPr>
              <w:sz w:val="24"/>
              <w:szCs w:val="24"/>
            </w:rPr>
            <w:t xml:space="preserve"> </w:t>
          </w:r>
          <w:r w:rsidRPr="00F06E45">
            <w:rPr>
              <w:rFonts w:cs="Agenda-Light"/>
              <w:color w:val="000000"/>
              <w:sz w:val="24"/>
              <w:szCs w:val="24"/>
            </w:rPr>
            <w:t>Key Performance Indicators within this document report and monitor the work of Council, and also provide trend and base-comparison data, which supports management to improve the efficiency and effectiveness of Council’s operations.</w:t>
          </w:r>
        </w:p>
        <w:p w14:paraId="682A5A9E" w14:textId="77777777" w:rsidR="007371C6" w:rsidRPr="00F06E45" w:rsidRDefault="007371C6" w:rsidP="00F06E45">
          <w:pPr>
            <w:ind w:left="851"/>
            <w:jc w:val="both"/>
            <w:rPr>
              <w:sz w:val="24"/>
              <w:szCs w:val="24"/>
            </w:rPr>
          </w:pPr>
        </w:p>
        <w:p w14:paraId="3BE3496C" w14:textId="77777777" w:rsidR="007371C6" w:rsidRPr="00F06E45" w:rsidRDefault="007371C6" w:rsidP="00F06E45">
          <w:pPr>
            <w:ind w:left="851"/>
            <w:jc w:val="both"/>
            <w:rPr>
              <w:sz w:val="24"/>
              <w:szCs w:val="24"/>
            </w:rPr>
          </w:pPr>
        </w:p>
        <w:p w14:paraId="19848EE6" w14:textId="77777777" w:rsidR="007371C6" w:rsidRPr="00F06E45" w:rsidRDefault="007371C6" w:rsidP="00F06E45">
          <w:pPr>
            <w:ind w:left="851"/>
            <w:jc w:val="both"/>
            <w:rPr>
              <w:sz w:val="24"/>
              <w:szCs w:val="24"/>
            </w:rPr>
          </w:pPr>
        </w:p>
        <w:p w14:paraId="0D6ADF28" w14:textId="77777777" w:rsidR="007371C6" w:rsidRPr="00F06E45" w:rsidRDefault="007371C6" w:rsidP="00F06E45">
          <w:pPr>
            <w:spacing w:after="200" w:line="276" w:lineRule="auto"/>
            <w:rPr>
              <w:rFonts w:ascii="Times New Roman" w:eastAsia="Calibri" w:hAnsi="Times New Roman" w:cs="Times New Roman"/>
              <w:b/>
              <w:i/>
              <w:color w:val="E36C0A"/>
              <w:sz w:val="28"/>
              <w:szCs w:val="28"/>
            </w:rPr>
            <w:sectPr w:rsidR="007371C6" w:rsidRPr="00F06E45" w:rsidSect="000F71F5">
              <w:pgSz w:w="16838" w:h="11906" w:orient="landscape"/>
              <w:pgMar w:top="0" w:right="1387" w:bottom="709" w:left="567" w:header="708" w:footer="173" w:gutter="0"/>
              <w:pgNumType w:start="0"/>
              <w:cols w:num="2" w:space="708"/>
              <w:titlePg/>
              <w:docGrid w:linePitch="360"/>
            </w:sectPr>
          </w:pPr>
        </w:p>
        <w:p w14:paraId="57FFAD97" w14:textId="77777777" w:rsidR="007371C6" w:rsidRPr="00F06E45" w:rsidRDefault="007371C6" w:rsidP="00F06E45">
          <w:pPr>
            <w:tabs>
              <w:tab w:val="left" w:pos="698"/>
            </w:tabs>
          </w:pPr>
        </w:p>
        <w:p w14:paraId="06B34C35" w14:textId="77777777" w:rsidR="007371C6" w:rsidRPr="00F06E45" w:rsidRDefault="007371C6" w:rsidP="00F06E45">
          <w:pPr>
            <w:spacing w:after="0" w:line="240" w:lineRule="auto"/>
            <w:ind w:left="851"/>
            <w:rPr>
              <w:rFonts w:cs="Agenda-Medium"/>
              <w:b/>
              <w:sz w:val="32"/>
              <w:szCs w:val="32"/>
            </w:rPr>
          </w:pPr>
          <w:r w:rsidRPr="00F06E45">
            <w:rPr>
              <w:i/>
              <w:noProof/>
              <w:lang w:eastAsia="en-AU"/>
            </w:rPr>
            <w:drawing>
              <wp:anchor distT="0" distB="0" distL="114300" distR="114300" simplePos="0" relativeHeight="251667456" behindDoc="1" locked="0" layoutInCell="1" allowOverlap="1" wp14:anchorId="4A18102D" wp14:editId="18316C89">
                <wp:simplePos x="0" y="0"/>
                <wp:positionH relativeFrom="page">
                  <wp:align>left</wp:align>
                </wp:positionH>
                <wp:positionV relativeFrom="paragraph">
                  <wp:posOffset>68232</wp:posOffset>
                </wp:positionV>
                <wp:extent cx="9851390" cy="4483100"/>
                <wp:effectExtent l="0" t="0" r="0" b="0"/>
                <wp:wrapTight wrapText="bothSides">
                  <wp:wrapPolygon edited="0">
                    <wp:start x="2130" y="0"/>
                    <wp:lineTo x="2088" y="184"/>
                    <wp:lineTo x="2047" y="13217"/>
                    <wp:lineTo x="835" y="13309"/>
                    <wp:lineTo x="835" y="13768"/>
                    <wp:lineTo x="2047" y="14686"/>
                    <wp:lineTo x="2047" y="20743"/>
                    <wp:lineTo x="2130" y="21478"/>
                    <wp:lineTo x="6683" y="21478"/>
                    <wp:lineTo x="6725" y="21478"/>
                    <wp:lineTo x="6767" y="17623"/>
                    <wp:lineTo x="10024" y="17623"/>
                    <wp:lineTo x="21469" y="16521"/>
                    <wp:lineTo x="21511" y="14594"/>
                    <wp:lineTo x="14953" y="13217"/>
                    <wp:lineTo x="16039" y="13217"/>
                    <wp:lineTo x="17167" y="12483"/>
                    <wp:lineTo x="17209" y="10739"/>
                    <wp:lineTo x="6767" y="10280"/>
                    <wp:lineTo x="6725" y="184"/>
                    <wp:lineTo x="6683" y="0"/>
                    <wp:lineTo x="2130"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F06E45">
            <w:tab/>
          </w:r>
        </w:p>
        <w:p w14:paraId="277F3245" w14:textId="77777777" w:rsidR="007371C6" w:rsidRPr="00F06E45" w:rsidRDefault="007371C6" w:rsidP="00F06E45">
          <w:pPr>
            <w:tabs>
              <w:tab w:val="left" w:pos="1347"/>
            </w:tabs>
            <w:rPr>
              <w:i/>
            </w:rPr>
          </w:pPr>
        </w:p>
        <w:p w14:paraId="55B85090" w14:textId="77777777" w:rsidR="007371C6" w:rsidRPr="00F06E45" w:rsidRDefault="007371C6" w:rsidP="00F06E45">
          <w:pPr>
            <w:autoSpaceDE w:val="0"/>
            <w:autoSpaceDN w:val="0"/>
            <w:adjustRightInd w:val="0"/>
            <w:spacing w:after="0" w:line="240" w:lineRule="auto"/>
            <w:jc w:val="both"/>
            <w:rPr>
              <w:rFonts w:cs="Agenda-Light"/>
              <w:color w:val="000000"/>
              <w:sz w:val="24"/>
              <w:szCs w:val="24"/>
            </w:rPr>
          </w:pPr>
          <w:r w:rsidRPr="00F06E45">
            <w:rPr>
              <w:i/>
            </w:rPr>
            <w:tab/>
          </w:r>
        </w:p>
        <w:p w14:paraId="1AF799CD" w14:textId="77777777" w:rsidR="007371C6" w:rsidRPr="00F06E45" w:rsidRDefault="007371C6" w:rsidP="00F06E45">
          <w:pPr>
            <w:autoSpaceDE w:val="0"/>
            <w:autoSpaceDN w:val="0"/>
            <w:adjustRightInd w:val="0"/>
            <w:spacing w:after="0" w:line="240" w:lineRule="auto"/>
            <w:jc w:val="both"/>
            <w:rPr>
              <w:rFonts w:cs="Agenda-Light"/>
              <w:color w:val="000000"/>
              <w:sz w:val="24"/>
              <w:szCs w:val="24"/>
            </w:rPr>
          </w:pPr>
        </w:p>
        <w:p w14:paraId="27D4201F" w14:textId="77777777" w:rsidR="007371C6" w:rsidRPr="00F06E45" w:rsidRDefault="007371C6" w:rsidP="00F06E45">
          <w:pPr>
            <w:autoSpaceDE w:val="0"/>
            <w:autoSpaceDN w:val="0"/>
            <w:adjustRightInd w:val="0"/>
            <w:spacing w:after="0" w:line="240" w:lineRule="auto"/>
            <w:jc w:val="both"/>
            <w:rPr>
              <w:rFonts w:cs="Agenda-Light"/>
              <w:color w:val="000000"/>
              <w:sz w:val="24"/>
              <w:szCs w:val="24"/>
            </w:rPr>
          </w:pPr>
        </w:p>
        <w:tbl>
          <w:tblPr>
            <w:tblStyle w:val="TableGrid"/>
            <w:tblpPr w:leftFromText="180" w:rightFromText="180" w:vertAnchor="text" w:horzAnchor="margin" w:tblpXSpec="center" w:tblpY="5828"/>
            <w:tblW w:w="0" w:type="auto"/>
            <w:tblLook w:val="04A0" w:firstRow="1" w:lastRow="0" w:firstColumn="1" w:lastColumn="0" w:noHBand="0" w:noVBand="1"/>
          </w:tblPr>
          <w:tblGrid>
            <w:gridCol w:w="1273"/>
            <w:gridCol w:w="2139"/>
            <w:gridCol w:w="10786"/>
          </w:tblGrid>
          <w:tr w:rsidR="007371C6" w:rsidRPr="00F06E45" w14:paraId="1608D397" w14:textId="77777777" w:rsidTr="00063500">
            <w:trPr>
              <w:trHeight w:val="192"/>
            </w:trPr>
            <w:tc>
              <w:tcPr>
                <w:tcW w:w="1273" w:type="dxa"/>
                <w:tcBorders>
                  <w:top w:val="single" w:sz="18" w:space="0" w:color="2E74B5" w:themeColor="accent1" w:themeShade="BF"/>
                  <w:left w:val="nil"/>
                  <w:bottom w:val="single" w:sz="12" w:space="0" w:color="2E74B5" w:themeColor="accent1" w:themeShade="BF"/>
                  <w:right w:val="nil"/>
                </w:tcBorders>
                <w:shd w:val="clear" w:color="auto" w:fill="BDD6EE" w:themeFill="accent1" w:themeFillTint="66"/>
              </w:tcPr>
              <w:p w14:paraId="0FE10627" w14:textId="77777777" w:rsidR="007371C6" w:rsidRPr="00F06E45" w:rsidRDefault="007371C6" w:rsidP="00F06E45">
                <w:pPr>
                  <w:rPr>
                    <w:rFonts w:cs="Aharoni"/>
                    <w:b/>
                    <w:color w:val="1F4E79" w:themeColor="accent1" w:themeShade="80"/>
                    <w:sz w:val="20"/>
                    <w:szCs w:val="20"/>
                  </w:rPr>
                </w:pPr>
                <w:r w:rsidRPr="00F06E45">
                  <w:rPr>
                    <w:rFonts w:cs="Aharoni"/>
                    <w:b/>
                    <w:color w:val="1F4E79" w:themeColor="accent1" w:themeShade="80"/>
                    <w:sz w:val="20"/>
                    <w:szCs w:val="20"/>
                  </w:rPr>
                  <w:t xml:space="preserve">Indicator </w:t>
                </w:r>
              </w:p>
            </w:tc>
            <w:tc>
              <w:tcPr>
                <w:tcW w:w="2139" w:type="dxa"/>
                <w:tcBorders>
                  <w:top w:val="single" w:sz="18" w:space="0" w:color="2E74B5" w:themeColor="accent1" w:themeShade="BF"/>
                  <w:left w:val="nil"/>
                  <w:bottom w:val="single" w:sz="12" w:space="0" w:color="2E74B5" w:themeColor="accent1" w:themeShade="BF"/>
                  <w:right w:val="nil"/>
                </w:tcBorders>
                <w:shd w:val="clear" w:color="auto" w:fill="BDD6EE" w:themeFill="accent1" w:themeFillTint="66"/>
              </w:tcPr>
              <w:p w14:paraId="46B5C52F" w14:textId="77777777" w:rsidR="007371C6" w:rsidRPr="00F06E45" w:rsidRDefault="007371C6" w:rsidP="00F06E45">
                <w:pPr>
                  <w:rPr>
                    <w:rFonts w:cs="Aharoni"/>
                    <w:b/>
                    <w:color w:val="1F4E79" w:themeColor="accent1" w:themeShade="80"/>
                    <w:sz w:val="20"/>
                    <w:szCs w:val="20"/>
                  </w:rPr>
                </w:pPr>
                <w:r w:rsidRPr="00F06E45">
                  <w:rPr>
                    <w:rFonts w:cs="Aharoni"/>
                    <w:b/>
                    <w:color w:val="1F4E79" w:themeColor="accent1" w:themeShade="80"/>
                    <w:sz w:val="20"/>
                    <w:szCs w:val="20"/>
                  </w:rPr>
                  <w:t xml:space="preserve">Status </w:t>
                </w:r>
              </w:p>
            </w:tc>
            <w:tc>
              <w:tcPr>
                <w:tcW w:w="10786" w:type="dxa"/>
                <w:tcBorders>
                  <w:top w:val="single" w:sz="18" w:space="0" w:color="2E74B5" w:themeColor="accent1" w:themeShade="BF"/>
                  <w:left w:val="nil"/>
                  <w:bottom w:val="single" w:sz="12" w:space="0" w:color="2E74B5" w:themeColor="accent1" w:themeShade="BF"/>
                  <w:right w:val="nil"/>
                </w:tcBorders>
                <w:shd w:val="clear" w:color="auto" w:fill="BDD6EE" w:themeFill="accent1" w:themeFillTint="66"/>
              </w:tcPr>
              <w:p w14:paraId="465A6CB2" w14:textId="77777777" w:rsidR="007371C6" w:rsidRPr="00F06E45" w:rsidRDefault="007371C6" w:rsidP="00F06E45">
                <w:pPr>
                  <w:rPr>
                    <w:rFonts w:cs="Aharoni"/>
                    <w:b/>
                    <w:color w:val="1F4E79" w:themeColor="accent1" w:themeShade="80"/>
                    <w:sz w:val="20"/>
                    <w:szCs w:val="20"/>
                  </w:rPr>
                </w:pPr>
                <w:r w:rsidRPr="00F06E45">
                  <w:rPr>
                    <w:rFonts w:cs="Aharoni"/>
                    <w:b/>
                    <w:color w:val="1F4E79" w:themeColor="accent1" w:themeShade="80"/>
                    <w:sz w:val="20"/>
                    <w:szCs w:val="20"/>
                  </w:rPr>
                  <w:t xml:space="preserve">Indicator meaning </w:t>
                </w:r>
              </w:p>
            </w:tc>
          </w:tr>
          <w:tr w:rsidR="007371C6" w:rsidRPr="00F06E45" w14:paraId="339FB118" w14:textId="77777777" w:rsidTr="00063500">
            <w:trPr>
              <w:trHeight w:val="383"/>
            </w:trPr>
            <w:tc>
              <w:tcPr>
                <w:tcW w:w="1273" w:type="dxa"/>
                <w:tcBorders>
                  <w:top w:val="single" w:sz="12" w:space="0" w:color="2E74B5" w:themeColor="accent1" w:themeShade="BF"/>
                  <w:left w:val="nil"/>
                  <w:bottom w:val="single" w:sz="12" w:space="0" w:color="2E74B5" w:themeColor="accent1" w:themeShade="BF"/>
                  <w:right w:val="nil"/>
                </w:tcBorders>
              </w:tcPr>
              <w:p w14:paraId="6BAA030C" w14:textId="77777777" w:rsidR="007371C6" w:rsidRPr="00F06E45" w:rsidRDefault="007371C6" w:rsidP="00F06E45">
                <w:pPr>
                  <w:rPr>
                    <w:rFonts w:cs="Aharoni"/>
                    <w:color w:val="1F4E79" w:themeColor="accent1" w:themeShade="80"/>
                    <w:sz w:val="20"/>
                    <w:szCs w:val="20"/>
                  </w:rPr>
                </w:pPr>
                <w:r w:rsidRPr="00F06E45">
                  <w:rPr>
                    <w:rFonts w:cs="Aharoni"/>
                    <w:noProof/>
                    <w:color w:val="1F4E79" w:themeColor="accent1" w:themeShade="80"/>
                    <w:sz w:val="20"/>
                    <w:szCs w:val="20"/>
                    <w:lang w:eastAsia="en-AU"/>
                  </w:rPr>
                  <w:drawing>
                    <wp:anchor distT="0" distB="0" distL="114300" distR="114300" simplePos="0" relativeHeight="251675648" behindDoc="1" locked="0" layoutInCell="1" allowOverlap="1" wp14:anchorId="3B1D839C" wp14:editId="764EC838">
                      <wp:simplePos x="0" y="0"/>
                      <wp:positionH relativeFrom="column">
                        <wp:posOffset>110490</wp:posOffset>
                      </wp:positionH>
                      <wp:positionV relativeFrom="paragraph">
                        <wp:posOffset>19050</wp:posOffset>
                      </wp:positionV>
                      <wp:extent cx="221615" cy="158115"/>
                      <wp:effectExtent l="0" t="0" r="6985" b="0"/>
                      <wp:wrapTight wrapText="bothSides">
                        <wp:wrapPolygon edited="0">
                          <wp:start x="0" y="0"/>
                          <wp:lineTo x="0" y="18217"/>
                          <wp:lineTo x="20424" y="18217"/>
                          <wp:lineTo x="204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2139" w:type="dxa"/>
                <w:tcBorders>
                  <w:top w:val="single" w:sz="12" w:space="0" w:color="2E74B5" w:themeColor="accent1" w:themeShade="BF"/>
                  <w:left w:val="nil"/>
                  <w:bottom w:val="single" w:sz="12" w:space="0" w:color="2E74B5" w:themeColor="accent1" w:themeShade="BF"/>
                  <w:right w:val="nil"/>
                </w:tcBorders>
              </w:tcPr>
              <w:p w14:paraId="7443D03A"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On track</w:t>
                </w:r>
              </w:p>
            </w:tc>
            <w:tc>
              <w:tcPr>
                <w:tcW w:w="10786" w:type="dxa"/>
                <w:tcBorders>
                  <w:top w:val="single" w:sz="12" w:space="0" w:color="2E74B5" w:themeColor="accent1" w:themeShade="BF"/>
                  <w:left w:val="nil"/>
                  <w:bottom w:val="single" w:sz="12" w:space="0" w:color="2E74B5" w:themeColor="accent1" w:themeShade="BF"/>
                  <w:right w:val="nil"/>
                </w:tcBorders>
              </w:tcPr>
              <w:p w14:paraId="68983E6C"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 xml:space="preserve">Initiative is proceeding to plan with no indication of future impediments. </w:t>
                </w:r>
              </w:p>
            </w:tc>
          </w:tr>
          <w:tr w:rsidR="007371C6" w:rsidRPr="00F06E45" w14:paraId="6D46B3BB" w14:textId="77777777" w:rsidTr="00063500">
            <w:trPr>
              <w:trHeight w:val="290"/>
            </w:trPr>
            <w:tc>
              <w:tcPr>
                <w:tcW w:w="1273" w:type="dxa"/>
                <w:tcBorders>
                  <w:top w:val="single" w:sz="12" w:space="0" w:color="2E74B5" w:themeColor="accent1" w:themeShade="BF"/>
                  <w:left w:val="nil"/>
                  <w:bottom w:val="single" w:sz="12" w:space="0" w:color="2E74B5" w:themeColor="accent1" w:themeShade="BF"/>
                  <w:right w:val="nil"/>
                </w:tcBorders>
              </w:tcPr>
              <w:p w14:paraId="1059A2DD" w14:textId="77777777" w:rsidR="007371C6" w:rsidRPr="00F06E45" w:rsidRDefault="007371C6" w:rsidP="00F06E45">
                <w:pPr>
                  <w:rPr>
                    <w:rFonts w:cs="Aharoni"/>
                    <w:color w:val="1F4E79" w:themeColor="accent1" w:themeShade="80"/>
                    <w:sz w:val="20"/>
                    <w:szCs w:val="20"/>
                  </w:rPr>
                </w:pPr>
                <w:r w:rsidRPr="00F06E45">
                  <w:rPr>
                    <w:rFonts w:cs="Aharoni"/>
                    <w:noProof/>
                    <w:color w:val="1F4E79" w:themeColor="accent1" w:themeShade="80"/>
                    <w:sz w:val="20"/>
                    <w:szCs w:val="20"/>
                    <w:lang w:eastAsia="en-AU"/>
                  </w:rPr>
                  <w:drawing>
                    <wp:anchor distT="0" distB="0" distL="114300" distR="114300" simplePos="0" relativeHeight="251676672" behindDoc="1" locked="0" layoutInCell="1" allowOverlap="1" wp14:anchorId="4763F04C" wp14:editId="6006796F">
                      <wp:simplePos x="0" y="0"/>
                      <wp:positionH relativeFrom="column">
                        <wp:posOffset>98630</wp:posOffset>
                      </wp:positionH>
                      <wp:positionV relativeFrom="paragraph">
                        <wp:posOffset>328</wp:posOffset>
                      </wp:positionV>
                      <wp:extent cx="185420" cy="188595"/>
                      <wp:effectExtent l="0" t="0" r="5080" b="1905"/>
                      <wp:wrapTight wrapText="bothSides">
                        <wp:wrapPolygon edited="0">
                          <wp:start x="4438" y="0"/>
                          <wp:lineTo x="0" y="6545"/>
                          <wp:lineTo x="0" y="19636"/>
                          <wp:lineTo x="19973" y="19636"/>
                          <wp:lineTo x="19973" y="6545"/>
                          <wp:lineTo x="15534" y="0"/>
                          <wp:lineTo x="443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r_PNG159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420" cy="188595"/>
                              </a:xfrm>
                              <a:prstGeom prst="rect">
                                <a:avLst/>
                              </a:prstGeom>
                            </pic:spPr>
                          </pic:pic>
                        </a:graphicData>
                      </a:graphic>
                      <wp14:sizeRelH relativeFrom="margin">
                        <wp14:pctWidth>0</wp14:pctWidth>
                      </wp14:sizeRelH>
                      <wp14:sizeRelV relativeFrom="margin">
                        <wp14:pctHeight>0</wp14:pctHeight>
                      </wp14:sizeRelV>
                    </wp:anchor>
                  </w:drawing>
                </w:r>
              </w:p>
            </w:tc>
            <w:tc>
              <w:tcPr>
                <w:tcW w:w="2139" w:type="dxa"/>
                <w:tcBorders>
                  <w:top w:val="single" w:sz="12" w:space="0" w:color="2E74B5" w:themeColor="accent1" w:themeShade="BF"/>
                  <w:left w:val="nil"/>
                  <w:bottom w:val="single" w:sz="12" w:space="0" w:color="2E74B5" w:themeColor="accent1" w:themeShade="BF"/>
                  <w:right w:val="nil"/>
                </w:tcBorders>
              </w:tcPr>
              <w:p w14:paraId="59C9B427"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Completed</w:t>
                </w:r>
              </w:p>
            </w:tc>
            <w:tc>
              <w:tcPr>
                <w:tcW w:w="10786" w:type="dxa"/>
                <w:tcBorders>
                  <w:top w:val="single" w:sz="12" w:space="0" w:color="2E74B5" w:themeColor="accent1" w:themeShade="BF"/>
                  <w:left w:val="nil"/>
                  <w:bottom w:val="single" w:sz="12" w:space="0" w:color="2E74B5" w:themeColor="accent1" w:themeShade="BF"/>
                  <w:right w:val="nil"/>
                </w:tcBorders>
              </w:tcPr>
              <w:p w14:paraId="2A111B07"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Initiative has been completed.</w:t>
                </w:r>
              </w:p>
            </w:tc>
          </w:tr>
          <w:tr w:rsidR="007371C6" w:rsidRPr="00F06E45" w14:paraId="45764F96" w14:textId="77777777" w:rsidTr="00063500">
            <w:trPr>
              <w:trHeight w:val="446"/>
            </w:trPr>
            <w:tc>
              <w:tcPr>
                <w:tcW w:w="1273" w:type="dxa"/>
                <w:tcBorders>
                  <w:top w:val="single" w:sz="12" w:space="0" w:color="2E74B5" w:themeColor="accent1" w:themeShade="BF"/>
                  <w:left w:val="nil"/>
                  <w:bottom w:val="single" w:sz="12" w:space="0" w:color="2E74B5" w:themeColor="accent1" w:themeShade="BF"/>
                  <w:right w:val="nil"/>
                </w:tcBorders>
              </w:tcPr>
              <w:p w14:paraId="4C6A051E" w14:textId="77777777" w:rsidR="007371C6" w:rsidRPr="00F06E45" w:rsidRDefault="007371C6" w:rsidP="00F06E45">
                <w:pPr>
                  <w:rPr>
                    <w:rFonts w:cs="Aharoni"/>
                    <w:color w:val="1F4E79" w:themeColor="accent1" w:themeShade="80"/>
                    <w:sz w:val="20"/>
                    <w:szCs w:val="20"/>
                  </w:rPr>
                </w:pPr>
                <w:r w:rsidRPr="00F06E45">
                  <w:rPr>
                    <w:rFonts w:cs="Aharoni"/>
                    <w:noProof/>
                    <w:color w:val="1F4E79" w:themeColor="accent1" w:themeShade="80"/>
                    <w:sz w:val="20"/>
                    <w:szCs w:val="20"/>
                    <w:lang w:eastAsia="en-AU"/>
                  </w:rPr>
                  <w:drawing>
                    <wp:anchor distT="0" distB="0" distL="114300" distR="114300" simplePos="0" relativeHeight="251677696" behindDoc="1" locked="0" layoutInCell="1" allowOverlap="1" wp14:anchorId="736D91C1" wp14:editId="4D7D91AC">
                      <wp:simplePos x="0" y="0"/>
                      <wp:positionH relativeFrom="column">
                        <wp:posOffset>120323</wp:posOffset>
                      </wp:positionH>
                      <wp:positionV relativeFrom="paragraph">
                        <wp:posOffset>60960</wp:posOffset>
                      </wp:positionV>
                      <wp:extent cx="143510" cy="143510"/>
                      <wp:effectExtent l="0" t="0" r="8890" b="8890"/>
                      <wp:wrapTight wrapText="bothSides">
                        <wp:wrapPolygon edited="0">
                          <wp:start x="0" y="0"/>
                          <wp:lineTo x="0" y="20071"/>
                          <wp:lineTo x="20071" y="20071"/>
                          <wp:lineTo x="200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2139" w:type="dxa"/>
                <w:tcBorders>
                  <w:top w:val="single" w:sz="12" w:space="0" w:color="2E74B5" w:themeColor="accent1" w:themeShade="BF"/>
                  <w:left w:val="nil"/>
                  <w:bottom w:val="single" w:sz="12" w:space="0" w:color="2E74B5" w:themeColor="accent1" w:themeShade="BF"/>
                  <w:right w:val="nil"/>
                </w:tcBorders>
              </w:tcPr>
              <w:p w14:paraId="1A53373A"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Monitor</w:t>
                </w:r>
              </w:p>
            </w:tc>
            <w:tc>
              <w:tcPr>
                <w:tcW w:w="10786" w:type="dxa"/>
                <w:tcBorders>
                  <w:top w:val="single" w:sz="12" w:space="0" w:color="2E74B5" w:themeColor="accent1" w:themeShade="BF"/>
                  <w:left w:val="nil"/>
                  <w:bottom w:val="single" w:sz="12" w:space="0" w:color="2E74B5" w:themeColor="accent1" w:themeShade="BF"/>
                  <w:right w:val="nil"/>
                </w:tcBorders>
              </w:tcPr>
              <w:p w14:paraId="057A720F"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Progress is not as expected but action is being/has been taken and is expected to be back on track within the next quarter or financial year.</w:t>
                </w:r>
              </w:p>
            </w:tc>
          </w:tr>
          <w:tr w:rsidR="007371C6" w:rsidRPr="00F06E45" w14:paraId="25A3C782" w14:textId="77777777" w:rsidTr="00063500">
            <w:trPr>
              <w:trHeight w:val="264"/>
            </w:trPr>
            <w:tc>
              <w:tcPr>
                <w:tcW w:w="1273" w:type="dxa"/>
                <w:tcBorders>
                  <w:top w:val="single" w:sz="12" w:space="0" w:color="2E74B5" w:themeColor="accent1" w:themeShade="BF"/>
                  <w:left w:val="nil"/>
                  <w:bottom w:val="single" w:sz="12" w:space="0" w:color="2E74B5" w:themeColor="accent1" w:themeShade="BF"/>
                  <w:right w:val="nil"/>
                </w:tcBorders>
              </w:tcPr>
              <w:p w14:paraId="66D818CA" w14:textId="77777777" w:rsidR="007371C6" w:rsidRPr="00F06E45" w:rsidRDefault="007371C6" w:rsidP="00F06E45">
                <w:pPr>
                  <w:rPr>
                    <w:rFonts w:cs="Aharoni"/>
                    <w:noProof/>
                    <w:color w:val="1F4E79" w:themeColor="accent1" w:themeShade="80"/>
                    <w:sz w:val="20"/>
                    <w:szCs w:val="20"/>
                    <w:lang w:eastAsia="en-AU"/>
                  </w:rPr>
                </w:pPr>
                <w:r w:rsidRPr="00F06E45">
                  <w:rPr>
                    <w:rFonts w:cs="Aharoni"/>
                    <w:noProof/>
                    <w:color w:val="1F4E79" w:themeColor="accent1" w:themeShade="80"/>
                    <w:sz w:val="20"/>
                    <w:szCs w:val="20"/>
                    <w:lang w:eastAsia="en-AU"/>
                  </w:rPr>
                  <w:drawing>
                    <wp:anchor distT="0" distB="0" distL="114300" distR="114300" simplePos="0" relativeHeight="251682816" behindDoc="1" locked="0" layoutInCell="1" allowOverlap="1" wp14:anchorId="654A575D" wp14:editId="7006697E">
                      <wp:simplePos x="0" y="0"/>
                      <wp:positionH relativeFrom="column">
                        <wp:posOffset>80318</wp:posOffset>
                      </wp:positionH>
                      <wp:positionV relativeFrom="paragraph">
                        <wp:posOffset>595</wp:posOffset>
                      </wp:positionV>
                      <wp:extent cx="221941" cy="221941"/>
                      <wp:effectExtent l="0" t="0" r="6985" b="6985"/>
                      <wp:wrapTight wrapText="bothSides">
                        <wp:wrapPolygon edited="0">
                          <wp:start x="0" y="0"/>
                          <wp:lineTo x="0" y="20424"/>
                          <wp:lineTo x="20424" y="20424"/>
                          <wp:lineTo x="20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41" cy="221941"/>
                              </a:xfrm>
                              <a:prstGeom prst="rect">
                                <a:avLst/>
                              </a:prstGeom>
                            </pic:spPr>
                          </pic:pic>
                        </a:graphicData>
                      </a:graphic>
                    </wp:anchor>
                  </w:drawing>
                </w:r>
              </w:p>
            </w:tc>
            <w:tc>
              <w:tcPr>
                <w:tcW w:w="2139" w:type="dxa"/>
                <w:tcBorders>
                  <w:top w:val="single" w:sz="12" w:space="0" w:color="2E74B5" w:themeColor="accent1" w:themeShade="BF"/>
                  <w:left w:val="nil"/>
                  <w:bottom w:val="single" w:sz="12" w:space="0" w:color="2E74B5" w:themeColor="accent1" w:themeShade="BF"/>
                  <w:right w:val="nil"/>
                </w:tcBorders>
              </w:tcPr>
              <w:p w14:paraId="0B3BDB6C"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 xml:space="preserve">Trend </w:t>
                </w:r>
              </w:p>
            </w:tc>
            <w:tc>
              <w:tcPr>
                <w:tcW w:w="10786" w:type="dxa"/>
                <w:tcBorders>
                  <w:top w:val="single" w:sz="12" w:space="0" w:color="2E74B5" w:themeColor="accent1" w:themeShade="BF"/>
                  <w:left w:val="nil"/>
                  <w:bottom w:val="single" w:sz="12" w:space="0" w:color="2E74B5" w:themeColor="accent1" w:themeShade="BF"/>
                  <w:right w:val="nil"/>
                </w:tcBorders>
              </w:tcPr>
              <w:p w14:paraId="125D7024"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 xml:space="preserve">This data is being collected for observation and analysis. </w:t>
                </w:r>
              </w:p>
            </w:tc>
          </w:tr>
          <w:tr w:rsidR="007371C6" w:rsidRPr="00F06E45" w14:paraId="0CB06577" w14:textId="77777777" w:rsidTr="00063500">
            <w:trPr>
              <w:trHeight w:val="329"/>
            </w:trPr>
            <w:tc>
              <w:tcPr>
                <w:tcW w:w="1273" w:type="dxa"/>
                <w:tcBorders>
                  <w:top w:val="single" w:sz="12" w:space="0" w:color="2E74B5" w:themeColor="accent1" w:themeShade="BF"/>
                  <w:left w:val="nil"/>
                  <w:bottom w:val="single" w:sz="18" w:space="0" w:color="2E74B5" w:themeColor="accent1" w:themeShade="BF"/>
                  <w:right w:val="nil"/>
                </w:tcBorders>
              </w:tcPr>
              <w:p w14:paraId="17298312" w14:textId="77777777" w:rsidR="007371C6" w:rsidRPr="00F06E45" w:rsidRDefault="007371C6" w:rsidP="00F06E45">
                <w:pPr>
                  <w:rPr>
                    <w:rFonts w:cs="Aharoni"/>
                    <w:color w:val="1F4E79" w:themeColor="accent1" w:themeShade="80"/>
                    <w:sz w:val="20"/>
                    <w:szCs w:val="20"/>
                  </w:rPr>
                </w:pPr>
                <w:r w:rsidRPr="00F06E45">
                  <w:rPr>
                    <w:rFonts w:cs="Aharoni"/>
                    <w:noProof/>
                    <w:color w:val="1F4E79" w:themeColor="accent1" w:themeShade="80"/>
                    <w:sz w:val="20"/>
                    <w:szCs w:val="20"/>
                    <w:lang w:eastAsia="en-AU"/>
                  </w:rPr>
                  <w:drawing>
                    <wp:anchor distT="0" distB="0" distL="114300" distR="114300" simplePos="0" relativeHeight="251678720" behindDoc="1" locked="0" layoutInCell="1" allowOverlap="1" wp14:anchorId="4109F764" wp14:editId="36649178">
                      <wp:simplePos x="0" y="0"/>
                      <wp:positionH relativeFrom="column">
                        <wp:posOffset>109200</wp:posOffset>
                      </wp:positionH>
                      <wp:positionV relativeFrom="paragraph">
                        <wp:posOffset>286</wp:posOffset>
                      </wp:positionV>
                      <wp:extent cx="142875" cy="142875"/>
                      <wp:effectExtent l="0" t="0" r="9525" b="9525"/>
                      <wp:wrapTight wrapText="bothSides">
                        <wp:wrapPolygon edited="0">
                          <wp:start x="0" y="0"/>
                          <wp:lineTo x="0" y="20160"/>
                          <wp:lineTo x="20160" y="20160"/>
                          <wp:lineTo x="201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Cro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p>
            </w:tc>
            <w:tc>
              <w:tcPr>
                <w:tcW w:w="2139" w:type="dxa"/>
                <w:tcBorders>
                  <w:top w:val="single" w:sz="12" w:space="0" w:color="2E74B5" w:themeColor="accent1" w:themeShade="BF"/>
                  <w:left w:val="nil"/>
                  <w:bottom w:val="single" w:sz="18" w:space="0" w:color="2E74B5" w:themeColor="accent1" w:themeShade="BF"/>
                  <w:right w:val="nil"/>
                </w:tcBorders>
              </w:tcPr>
              <w:p w14:paraId="2E960FE6"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Action required</w:t>
                </w:r>
              </w:p>
            </w:tc>
            <w:tc>
              <w:tcPr>
                <w:tcW w:w="10786" w:type="dxa"/>
                <w:tcBorders>
                  <w:top w:val="single" w:sz="12" w:space="0" w:color="2E74B5" w:themeColor="accent1" w:themeShade="BF"/>
                  <w:left w:val="nil"/>
                  <w:bottom w:val="single" w:sz="18" w:space="0" w:color="2E74B5" w:themeColor="accent1" w:themeShade="BF"/>
                  <w:right w:val="nil"/>
                </w:tcBorders>
              </w:tcPr>
              <w:p w14:paraId="4DECB389" w14:textId="77777777" w:rsidR="007371C6" w:rsidRPr="00F06E45" w:rsidRDefault="007371C6" w:rsidP="00F06E45">
                <w:pPr>
                  <w:rPr>
                    <w:rFonts w:cs="Aharoni"/>
                    <w:color w:val="1F4E79" w:themeColor="accent1" w:themeShade="80"/>
                    <w:sz w:val="20"/>
                    <w:szCs w:val="20"/>
                  </w:rPr>
                </w:pPr>
                <w:r w:rsidRPr="00F06E45">
                  <w:rPr>
                    <w:rFonts w:cs="Aharoni"/>
                    <w:color w:val="1F4E79" w:themeColor="accent1" w:themeShade="80"/>
                    <w:sz w:val="20"/>
                    <w:szCs w:val="20"/>
                  </w:rPr>
                  <w:t xml:space="preserve">Progress is significantly behind schedule or is rated ‘closely monitor’. Decisive action is required to get back on track.  </w:t>
                </w:r>
              </w:p>
            </w:tc>
          </w:tr>
        </w:tbl>
        <w:p w14:paraId="66313FC6" w14:textId="77777777" w:rsidR="007371C6" w:rsidRPr="00F06E45" w:rsidRDefault="007371C6" w:rsidP="00F06E45">
          <w:pPr>
            <w:tabs>
              <w:tab w:val="left" w:pos="1347"/>
            </w:tabs>
            <w:rPr>
              <w:i/>
            </w:rPr>
            <w:sectPr w:rsidR="007371C6" w:rsidRPr="00F06E45" w:rsidSect="000F71F5">
              <w:footerReference w:type="default" r:id="rId36"/>
              <w:pgSz w:w="16838" w:h="11906" w:orient="landscape"/>
              <w:pgMar w:top="0" w:right="678" w:bottom="0" w:left="567" w:header="708" w:footer="173" w:gutter="0"/>
              <w:pgNumType w:start="0"/>
              <w:cols w:space="708"/>
              <w:titlePg/>
              <w:docGrid w:linePitch="360"/>
            </w:sectPr>
          </w:pPr>
          <w:r w:rsidRPr="00F06E45">
            <w:rPr>
              <w:i/>
              <w:noProof/>
              <w:lang w:eastAsia="en-AU"/>
            </w:rPr>
            <mc:AlternateContent>
              <mc:Choice Requires="wps">
                <w:drawing>
                  <wp:anchor distT="45720" distB="45720" distL="114300" distR="114300" simplePos="0" relativeHeight="251672576" behindDoc="0" locked="0" layoutInCell="1" allowOverlap="1" wp14:anchorId="4B2D6FC6" wp14:editId="2925EE33">
                    <wp:simplePos x="0" y="0"/>
                    <wp:positionH relativeFrom="column">
                      <wp:posOffset>7067550</wp:posOffset>
                    </wp:positionH>
                    <wp:positionV relativeFrom="paragraph">
                      <wp:posOffset>3386664</wp:posOffset>
                    </wp:positionV>
                    <wp:extent cx="1485900" cy="2571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7175"/>
                            </a:xfrm>
                            <a:prstGeom prst="rect">
                              <a:avLst/>
                            </a:prstGeom>
                            <a:solidFill>
                              <a:srgbClr val="FFFFFF"/>
                            </a:solidFill>
                            <a:ln w="9525">
                              <a:noFill/>
                              <a:miter lim="800000"/>
                              <a:headEnd/>
                              <a:tailEnd/>
                            </a:ln>
                          </wps:spPr>
                          <wps:txbx>
                            <w:txbxContent>
                              <w:p w14:paraId="4A2810B1" w14:textId="77777777" w:rsidR="008D2064" w:rsidRPr="00BC12A8" w:rsidRDefault="008D2064" w:rsidP="007371C6">
                                <w:pPr>
                                  <w:rPr>
                                    <w:i/>
                                    <w:sz w:val="20"/>
                                    <w:szCs w:val="20"/>
                                  </w:rPr>
                                </w:pPr>
                                <w:r>
                                  <w:rPr>
                                    <w:i/>
                                    <w:sz w:val="20"/>
                                    <w:szCs w:val="20"/>
                                  </w:rPr>
                                  <w:t>Meaning of Status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6FC6" id="_x0000_s1027" type="#_x0000_t202" style="position:absolute;margin-left:556.5pt;margin-top:266.65pt;width:117pt;height:2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" stroked="f">
                    <v:textbox>
                      <w:txbxContent>
                        <w:p w14:paraId="4A2810B1" w14:textId="77777777" w:rsidR="008D2064" w:rsidRPr="00BC12A8" w:rsidRDefault="008D2064" w:rsidP="007371C6">
                          <w:pPr>
                            <w:rPr>
                              <w:i/>
                              <w:sz w:val="20"/>
                              <w:szCs w:val="20"/>
                            </w:rPr>
                          </w:pPr>
                          <w:r>
                            <w:rPr>
                              <w:i/>
                              <w:sz w:val="20"/>
                              <w:szCs w:val="20"/>
                            </w:rPr>
                            <w:t>Meaning of Status Codes</w:t>
                          </w:r>
                        </w:p>
                      </w:txbxContent>
                    </v:textbox>
                    <w10:wrap type="square"/>
                  </v:shape>
                </w:pict>
              </mc:Fallback>
            </mc:AlternateContent>
          </w:r>
          <w:r w:rsidRPr="00F06E45">
            <w:rPr>
              <w:i/>
              <w:noProof/>
              <w:lang w:eastAsia="en-AU"/>
            </w:rPr>
            <mc:AlternateContent>
              <mc:Choice Requires="wps">
                <w:drawing>
                  <wp:anchor distT="45720" distB="45720" distL="114300" distR="114300" simplePos="0" relativeHeight="251671552" behindDoc="0" locked="0" layoutInCell="1" allowOverlap="1" wp14:anchorId="2F2FEA41" wp14:editId="5C3A7D47">
                    <wp:simplePos x="0" y="0"/>
                    <wp:positionH relativeFrom="column">
                      <wp:posOffset>3054985</wp:posOffset>
                    </wp:positionH>
                    <wp:positionV relativeFrom="paragraph">
                      <wp:posOffset>2800350</wp:posOffset>
                    </wp:positionV>
                    <wp:extent cx="1694815" cy="1404620"/>
                    <wp:effectExtent l="0" t="0" r="63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04620"/>
                            </a:xfrm>
                            <a:prstGeom prst="rect">
                              <a:avLst/>
                            </a:prstGeom>
                            <a:solidFill>
                              <a:srgbClr val="FFFFFF"/>
                            </a:solidFill>
                            <a:ln w="9525">
                              <a:noFill/>
                              <a:miter lim="800000"/>
                              <a:headEnd/>
                              <a:tailEnd/>
                            </a:ln>
                          </wps:spPr>
                          <wps:txbx>
                            <w:txbxContent>
                              <w:p w14:paraId="0C974138" w14:textId="77777777" w:rsidR="008D2064" w:rsidRDefault="008D2064" w:rsidP="007371C6">
                                <w:r>
                                  <w:rPr>
                                    <w:i/>
                                    <w:sz w:val="20"/>
                                    <w:szCs w:val="20"/>
                                  </w:rPr>
                                  <w:t>Organisational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FEA41" id="_x0000_s1028" type="#_x0000_t202" style="position:absolute;margin-left:240.55pt;margin-top:220.5pt;width:133.4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" stroked="f">
                    <v:textbox style="mso-fit-shape-to-text:t">
                      <w:txbxContent>
                        <w:p w14:paraId="0C974138" w14:textId="77777777" w:rsidR="008D2064" w:rsidRDefault="008D2064" w:rsidP="007371C6">
                          <w:r>
                            <w:rPr>
                              <w:i/>
                              <w:sz w:val="20"/>
                              <w:szCs w:val="20"/>
                            </w:rPr>
                            <w:t>Organisational Structure</w:t>
                          </w:r>
                        </w:p>
                      </w:txbxContent>
                    </v:textbox>
                    <w10:wrap type="square"/>
                  </v:shape>
                </w:pict>
              </mc:Fallback>
            </mc:AlternateContent>
          </w:r>
        </w:p>
        <w:tbl>
          <w:tblPr>
            <w:tblpPr w:leftFromText="187" w:rightFromText="187" w:horzAnchor="margin" w:tblpXSpec="center" w:tblpYSpec="bottom"/>
            <w:tblW w:w="3857" w:type="pct"/>
            <w:tblLook w:val="04A0" w:firstRow="1" w:lastRow="0" w:firstColumn="1" w:lastColumn="0" w:noHBand="0" w:noVBand="1"/>
          </w:tblPr>
          <w:tblGrid>
            <w:gridCol w:w="12028"/>
          </w:tblGrid>
          <w:tr w:rsidR="007371C6" w:rsidRPr="00F06E45" w14:paraId="6567FE21" w14:textId="77777777" w:rsidTr="00063500">
            <w:tc>
              <w:tcPr>
                <w:tcW w:w="12028" w:type="dxa"/>
                <w:tcMar>
                  <w:top w:w="216" w:type="dxa"/>
                  <w:left w:w="115" w:type="dxa"/>
                  <w:bottom w:w="216" w:type="dxa"/>
                  <w:right w:w="115" w:type="dxa"/>
                </w:tcMar>
              </w:tcPr>
              <w:p w14:paraId="0A687BF4" w14:textId="77777777" w:rsidR="007371C6" w:rsidRPr="00F06E45" w:rsidRDefault="007371C6" w:rsidP="00F06E45">
                <w:pPr>
                  <w:pStyle w:val="NoSpacing"/>
                  <w:rPr>
                    <w:color w:val="5B9BD5" w:themeColor="accent1"/>
                  </w:rPr>
                </w:pPr>
              </w:p>
            </w:tc>
          </w:tr>
        </w:tbl>
        <w:p w14:paraId="618D248F" w14:textId="77777777" w:rsidR="007371C6" w:rsidRPr="00F06E45" w:rsidRDefault="00566B21" w:rsidP="00F06E45"/>
      </w:sdtContent>
    </w:sdt>
    <w:p w14:paraId="7EC0635A"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E36C0A"/>
          <w:sz w:val="28"/>
          <w:szCs w:val="28"/>
        </w:rPr>
        <w:t>A connected community, full of life</w:t>
      </w:r>
      <w:r w:rsidRPr="00F06E45">
        <w:rPr>
          <w:rFonts w:ascii="Times New Roman" w:eastAsia="Calibri" w:hAnsi="Times New Roman" w:cs="Times New Roman"/>
          <w:b/>
        </w:rPr>
        <w:t xml:space="preserve"> </w:t>
      </w:r>
      <w:r w:rsidRPr="00F06E45">
        <w:rPr>
          <w:rFonts w:ascii="Times New Roman" w:eastAsia="Calibri" w:hAnsi="Times New Roman" w:cs="Times New Roman"/>
          <w:b/>
        </w:rPr>
        <w:tab/>
      </w:r>
      <w:r w:rsidRPr="00F06E45">
        <w:rPr>
          <w:rFonts w:ascii="Times New Roman" w:eastAsia="Calibri" w:hAnsi="Times New Roman" w:cs="Times New Roman"/>
          <w:b/>
        </w:rPr>
        <w:tab/>
      </w:r>
      <w:r w:rsidRPr="00F06E45">
        <w:rPr>
          <w:rFonts w:ascii="Times New Roman" w:eastAsia="Calibri" w:hAnsi="Times New Roman" w:cs="Times New Roman"/>
          <w:b/>
        </w:rPr>
        <w:tab/>
      </w:r>
      <w:r w:rsidRPr="00F06E45">
        <w:rPr>
          <w:rFonts w:ascii="Times New Roman" w:eastAsia="Calibri" w:hAnsi="Times New Roman" w:cs="Times New Roman"/>
          <w:b/>
        </w:rPr>
        <w:tab/>
        <w:t xml:space="preserve">             safeguarding our wellbeing, connecting our community, enhancing our quality lifestyle</w:t>
      </w:r>
    </w:p>
    <w:tbl>
      <w:tblPr>
        <w:tblStyle w:val="TableGrid1"/>
        <w:tblpPr w:leftFromText="180" w:rightFromText="180" w:vertAnchor="text" w:horzAnchor="margin" w:tblpY="130"/>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694"/>
        <w:gridCol w:w="3683"/>
        <w:gridCol w:w="872"/>
        <w:gridCol w:w="693"/>
        <w:gridCol w:w="705"/>
        <w:gridCol w:w="5812"/>
      </w:tblGrid>
      <w:tr w:rsidR="007371C6" w:rsidRPr="00F06E45" w14:paraId="4E1E8782" w14:textId="77777777" w:rsidTr="00063500">
        <w:trPr>
          <w:trHeight w:val="253"/>
        </w:trPr>
        <w:tc>
          <w:tcPr>
            <w:tcW w:w="15593" w:type="dxa"/>
            <w:gridSpan w:val="7"/>
            <w:tcBorders>
              <w:top w:val="single" w:sz="18" w:space="0" w:color="E36C0A"/>
              <w:bottom w:val="single" w:sz="18" w:space="0" w:color="E36C0A"/>
            </w:tcBorders>
            <w:shd w:val="clear" w:color="auto" w:fill="F4B083" w:themeFill="accent2" w:themeFillTint="99"/>
          </w:tcPr>
          <w:p w14:paraId="35B078FE" w14:textId="77777777" w:rsidR="007371C6" w:rsidRPr="00F06E45" w:rsidRDefault="007371C6" w:rsidP="00F06E45">
            <w:pPr>
              <w:tabs>
                <w:tab w:val="left" w:pos="2235"/>
              </w:tabs>
              <w:rPr>
                <w:rFonts w:ascii="Calibri" w:eastAsia="Calibri" w:hAnsi="Calibri" w:cs="Times New Roman"/>
                <w:b/>
              </w:rPr>
            </w:pPr>
            <w:r w:rsidRPr="00F06E45">
              <w:rPr>
                <w:rFonts w:ascii="Calibri" w:eastAsia="Calibri" w:hAnsi="Calibri" w:cs="Times New Roman"/>
                <w:b/>
              </w:rPr>
              <w:t xml:space="preserve">Outcome 1.1 A safe active and healthy community </w:t>
            </w:r>
          </w:p>
        </w:tc>
      </w:tr>
      <w:tr w:rsidR="007371C6" w:rsidRPr="00F06E45" w14:paraId="5A48E6C5" w14:textId="77777777" w:rsidTr="00063500">
        <w:trPr>
          <w:trHeight w:val="210"/>
        </w:trPr>
        <w:tc>
          <w:tcPr>
            <w:tcW w:w="15593" w:type="dxa"/>
            <w:gridSpan w:val="7"/>
            <w:tcBorders>
              <w:top w:val="single" w:sz="18" w:space="0" w:color="E36C0A"/>
              <w:bottom w:val="single" w:sz="18" w:space="0" w:color="E36C0A"/>
            </w:tcBorders>
          </w:tcPr>
          <w:p w14:paraId="04415AE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1.1.2 Support preventative public health programs to minimise the exposure of the community to health risks</w:t>
            </w:r>
          </w:p>
        </w:tc>
      </w:tr>
      <w:tr w:rsidR="007371C6" w:rsidRPr="00F06E45" w14:paraId="5F54180B" w14:textId="77777777" w:rsidTr="00063500">
        <w:trPr>
          <w:trHeight w:val="196"/>
        </w:trPr>
        <w:tc>
          <w:tcPr>
            <w:tcW w:w="1134" w:type="dxa"/>
            <w:tcBorders>
              <w:top w:val="single" w:sz="18" w:space="0" w:color="E36C0A"/>
            </w:tcBorders>
            <w:shd w:val="clear" w:color="auto" w:fill="auto"/>
          </w:tcPr>
          <w:p w14:paraId="39C9FCC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shd w:val="clear" w:color="auto" w:fill="auto"/>
          </w:tcPr>
          <w:p w14:paraId="14F2C5F2"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3" w:type="dxa"/>
            <w:tcBorders>
              <w:top w:val="single" w:sz="18" w:space="0" w:color="E36C0A"/>
            </w:tcBorders>
            <w:shd w:val="clear" w:color="auto" w:fill="auto"/>
          </w:tcPr>
          <w:p w14:paraId="40A0871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72" w:type="dxa"/>
            <w:tcBorders>
              <w:top w:val="single" w:sz="18" w:space="0" w:color="E36C0A"/>
            </w:tcBorders>
            <w:shd w:val="clear" w:color="auto" w:fill="auto"/>
          </w:tcPr>
          <w:p w14:paraId="696C583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693" w:type="dxa"/>
            <w:tcBorders>
              <w:top w:val="single" w:sz="18" w:space="0" w:color="E36C0A"/>
            </w:tcBorders>
            <w:shd w:val="clear" w:color="auto" w:fill="auto"/>
          </w:tcPr>
          <w:p w14:paraId="7C806F3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5" w:type="dxa"/>
            <w:tcBorders>
              <w:top w:val="single" w:sz="18" w:space="0" w:color="E36C0A"/>
            </w:tcBorders>
            <w:shd w:val="clear" w:color="auto" w:fill="auto"/>
          </w:tcPr>
          <w:p w14:paraId="6638B21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Status </w:t>
            </w:r>
          </w:p>
        </w:tc>
        <w:tc>
          <w:tcPr>
            <w:tcW w:w="5812" w:type="dxa"/>
            <w:tcBorders>
              <w:top w:val="single" w:sz="18" w:space="0" w:color="E36C0A"/>
            </w:tcBorders>
          </w:tcPr>
          <w:p w14:paraId="28159724" w14:textId="77777777" w:rsidR="007371C6" w:rsidRPr="00F06E45" w:rsidRDefault="007371C6" w:rsidP="00F06E45">
            <w:pPr>
              <w:ind w:left="34"/>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587E86AE" w14:textId="77777777" w:rsidTr="00063500">
        <w:trPr>
          <w:trHeight w:val="407"/>
        </w:trPr>
        <w:tc>
          <w:tcPr>
            <w:tcW w:w="1134" w:type="dxa"/>
            <w:tcBorders>
              <w:bottom w:val="single" w:sz="18" w:space="0" w:color="E36C0A"/>
            </w:tcBorders>
            <w:shd w:val="clear" w:color="auto" w:fill="auto"/>
          </w:tcPr>
          <w:p w14:paraId="382B414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Libraries, Arts &amp; Theatre </w:t>
            </w:r>
          </w:p>
        </w:tc>
        <w:tc>
          <w:tcPr>
            <w:tcW w:w="2694" w:type="dxa"/>
            <w:tcBorders>
              <w:bottom w:val="single" w:sz="18" w:space="0" w:color="E36C0A"/>
            </w:tcBorders>
            <w:shd w:val="clear" w:color="auto" w:fill="auto"/>
          </w:tcPr>
          <w:p w14:paraId="6E740E1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Theatre:  Community Engagement</w:t>
            </w:r>
          </w:p>
          <w:p w14:paraId="754E801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3683" w:type="dxa"/>
            <w:tcBorders>
              <w:bottom w:val="single" w:sz="18" w:space="0" w:color="E36C0A"/>
            </w:tcBorders>
            <w:shd w:val="clear" w:color="auto" w:fill="auto"/>
          </w:tcPr>
          <w:p w14:paraId="5F95FC67"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Number of cinema and theatre patrons visiting the Moncrieff Theatre.</w:t>
            </w:r>
          </w:p>
        </w:tc>
        <w:tc>
          <w:tcPr>
            <w:tcW w:w="872" w:type="dxa"/>
            <w:tcBorders>
              <w:bottom w:val="single" w:sz="18" w:space="0" w:color="E36C0A"/>
            </w:tcBorders>
            <w:shd w:val="clear" w:color="auto" w:fill="auto"/>
          </w:tcPr>
          <w:p w14:paraId="1800DED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8000</w:t>
            </w:r>
          </w:p>
        </w:tc>
        <w:tc>
          <w:tcPr>
            <w:tcW w:w="693" w:type="dxa"/>
            <w:tcBorders>
              <w:bottom w:val="single" w:sz="18" w:space="0" w:color="E36C0A"/>
            </w:tcBorders>
            <w:shd w:val="clear" w:color="auto" w:fill="auto"/>
          </w:tcPr>
          <w:p w14:paraId="7472061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16,119</w:t>
            </w:r>
          </w:p>
        </w:tc>
        <w:tc>
          <w:tcPr>
            <w:tcW w:w="705" w:type="dxa"/>
            <w:tcBorders>
              <w:bottom w:val="single" w:sz="18" w:space="0" w:color="E36C0A"/>
            </w:tcBorders>
            <w:shd w:val="clear" w:color="auto" w:fill="auto"/>
          </w:tcPr>
          <w:p w14:paraId="5560A9B3"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76000" behindDoc="1" locked="0" layoutInCell="1" allowOverlap="1" wp14:anchorId="4AE4F970" wp14:editId="4D422610">
                  <wp:simplePos x="0" y="0"/>
                  <wp:positionH relativeFrom="column">
                    <wp:posOffset>-635</wp:posOffset>
                  </wp:positionH>
                  <wp:positionV relativeFrom="paragraph">
                    <wp:posOffset>121285</wp:posOffset>
                  </wp:positionV>
                  <wp:extent cx="203835" cy="145415"/>
                  <wp:effectExtent l="0" t="0" r="5715" b="6985"/>
                  <wp:wrapTight wrapText="bothSides">
                    <wp:wrapPolygon edited="0">
                      <wp:start x="0" y="0"/>
                      <wp:lineTo x="0" y="19808"/>
                      <wp:lineTo x="20187" y="19808"/>
                      <wp:lineTo x="2018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Borders>
              <w:bottom w:val="single" w:sz="18" w:space="0" w:color="E36C0A"/>
            </w:tcBorders>
          </w:tcPr>
          <w:p w14:paraId="785B0FE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figure represents total audience numbers across all programs. Attendance to shows and programs was exceptionally high this quarter. School holiday programs, which included workshops (during two school holiday periods) were very popular. There was also a higher than usual number of commercial venue hires for live performances. Advertising campaigns have proved successful in raising our profile and we are receiving very positive feedback from our local community regarding recent innovations in program content.</w:t>
            </w:r>
          </w:p>
        </w:tc>
      </w:tr>
      <w:tr w:rsidR="007371C6" w:rsidRPr="00F06E45" w14:paraId="55485758" w14:textId="77777777" w:rsidTr="00063500">
        <w:trPr>
          <w:trHeight w:val="210"/>
        </w:trPr>
        <w:tc>
          <w:tcPr>
            <w:tcW w:w="9781" w:type="dxa"/>
            <w:gridSpan w:val="6"/>
            <w:tcBorders>
              <w:top w:val="single" w:sz="18" w:space="0" w:color="E36C0A"/>
              <w:bottom w:val="single" w:sz="18" w:space="0" w:color="E36C0A"/>
            </w:tcBorders>
            <w:shd w:val="clear" w:color="auto" w:fill="auto"/>
          </w:tcPr>
          <w:p w14:paraId="0901B90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1.1.2 Support preventative public health programs to minimise the exposure of the community to health risks</w:t>
            </w:r>
          </w:p>
        </w:tc>
        <w:tc>
          <w:tcPr>
            <w:tcW w:w="5812" w:type="dxa"/>
            <w:tcBorders>
              <w:top w:val="single" w:sz="18" w:space="0" w:color="E36C0A"/>
              <w:bottom w:val="single" w:sz="18" w:space="0" w:color="E36C0A"/>
            </w:tcBorders>
          </w:tcPr>
          <w:p w14:paraId="2223DFAB" w14:textId="77777777" w:rsidR="007371C6" w:rsidRPr="00F06E45" w:rsidRDefault="007371C6" w:rsidP="00F06E45">
            <w:pPr>
              <w:ind w:left="-108"/>
              <w:rPr>
                <w:rFonts w:ascii="Calibri" w:eastAsia="Calibri" w:hAnsi="Calibri" w:cs="Times New Roman"/>
                <w:b/>
                <w:sz w:val="18"/>
                <w:szCs w:val="18"/>
              </w:rPr>
            </w:pPr>
          </w:p>
        </w:tc>
      </w:tr>
      <w:tr w:rsidR="007371C6" w:rsidRPr="00F06E45" w14:paraId="2F6F2C92" w14:textId="77777777" w:rsidTr="00063500">
        <w:trPr>
          <w:trHeight w:val="172"/>
        </w:trPr>
        <w:tc>
          <w:tcPr>
            <w:tcW w:w="1134" w:type="dxa"/>
            <w:tcBorders>
              <w:top w:val="single" w:sz="18" w:space="0" w:color="E36C0A"/>
            </w:tcBorders>
            <w:shd w:val="clear" w:color="auto" w:fill="auto"/>
          </w:tcPr>
          <w:p w14:paraId="534BBBF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shd w:val="clear" w:color="auto" w:fill="auto"/>
          </w:tcPr>
          <w:p w14:paraId="1B76A2E9"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3" w:type="dxa"/>
            <w:tcBorders>
              <w:top w:val="single" w:sz="18" w:space="0" w:color="E36C0A"/>
            </w:tcBorders>
            <w:shd w:val="clear" w:color="auto" w:fill="auto"/>
          </w:tcPr>
          <w:p w14:paraId="3154969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72" w:type="dxa"/>
            <w:tcBorders>
              <w:top w:val="single" w:sz="18" w:space="0" w:color="E36C0A"/>
            </w:tcBorders>
            <w:shd w:val="clear" w:color="auto" w:fill="auto"/>
          </w:tcPr>
          <w:p w14:paraId="1522FA4D"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693" w:type="dxa"/>
            <w:tcBorders>
              <w:top w:val="single" w:sz="18" w:space="0" w:color="E36C0A"/>
            </w:tcBorders>
            <w:shd w:val="clear" w:color="auto" w:fill="auto"/>
          </w:tcPr>
          <w:p w14:paraId="79E919B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5" w:type="dxa"/>
            <w:tcBorders>
              <w:top w:val="single" w:sz="18" w:space="0" w:color="E36C0A"/>
            </w:tcBorders>
            <w:shd w:val="clear" w:color="auto" w:fill="auto"/>
          </w:tcPr>
          <w:p w14:paraId="7E8C4EBA"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 xml:space="preserve">Status </w:t>
            </w:r>
          </w:p>
        </w:tc>
        <w:tc>
          <w:tcPr>
            <w:tcW w:w="5812" w:type="dxa"/>
            <w:tcBorders>
              <w:top w:val="single" w:sz="18" w:space="0" w:color="E36C0A"/>
            </w:tcBorders>
          </w:tcPr>
          <w:p w14:paraId="67B54043"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178567D0" w14:textId="77777777" w:rsidTr="00063500">
        <w:trPr>
          <w:trHeight w:val="913"/>
        </w:trPr>
        <w:tc>
          <w:tcPr>
            <w:tcW w:w="1134" w:type="dxa"/>
            <w:shd w:val="clear" w:color="auto" w:fill="auto"/>
          </w:tcPr>
          <w:p w14:paraId="570DBBE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Parks, Sport &amp; Natural Areas</w:t>
            </w:r>
          </w:p>
        </w:tc>
        <w:tc>
          <w:tcPr>
            <w:tcW w:w="2694" w:type="dxa"/>
            <w:shd w:val="clear" w:color="auto" w:fill="auto"/>
          </w:tcPr>
          <w:p w14:paraId="44EE3EB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Sport: Physical Activity &amp; Preventative Health</w:t>
            </w:r>
          </w:p>
        </w:tc>
        <w:tc>
          <w:tcPr>
            <w:tcW w:w="3683" w:type="dxa"/>
            <w:shd w:val="clear" w:color="auto" w:fill="auto"/>
          </w:tcPr>
          <w:p w14:paraId="02E9F73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physical activity and preventative health initiatives delivered by Council. </w:t>
            </w:r>
          </w:p>
          <w:p w14:paraId="64BD9394"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872" w:type="dxa"/>
            <w:shd w:val="clear" w:color="auto" w:fill="auto"/>
          </w:tcPr>
          <w:p w14:paraId="57D3811D"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Quarterly</w:t>
            </w:r>
          </w:p>
          <w:p w14:paraId="680D190A"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25</w:t>
            </w:r>
          </w:p>
        </w:tc>
        <w:tc>
          <w:tcPr>
            <w:tcW w:w="693" w:type="dxa"/>
            <w:shd w:val="clear" w:color="auto" w:fill="auto"/>
          </w:tcPr>
          <w:p w14:paraId="598676DD"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p>
          <w:p w14:paraId="168ADB2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26</w:t>
            </w:r>
          </w:p>
        </w:tc>
        <w:tc>
          <w:tcPr>
            <w:tcW w:w="705" w:type="dxa"/>
            <w:shd w:val="clear" w:color="auto" w:fill="auto"/>
          </w:tcPr>
          <w:p w14:paraId="6805F2A1"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000000" w:themeColor="text1"/>
                <w:sz w:val="16"/>
                <w:szCs w:val="16"/>
              </w:rPr>
            </w:pPr>
            <w:r w:rsidRPr="00F06E45">
              <w:rPr>
                <w:rFonts w:cs="Aharoni"/>
                <w:noProof/>
                <w:color w:val="1F4E79" w:themeColor="accent1" w:themeShade="80"/>
                <w:sz w:val="20"/>
                <w:szCs w:val="20"/>
                <w:lang w:eastAsia="en-AU"/>
              </w:rPr>
              <w:drawing>
                <wp:anchor distT="0" distB="0" distL="114300" distR="114300" simplePos="0" relativeHeight="251740160" behindDoc="1" locked="0" layoutInCell="1" allowOverlap="1" wp14:anchorId="7DBB0E9F" wp14:editId="0C2CEFA9">
                  <wp:simplePos x="0" y="0"/>
                  <wp:positionH relativeFrom="column">
                    <wp:posOffset>-635</wp:posOffset>
                  </wp:positionH>
                  <wp:positionV relativeFrom="paragraph">
                    <wp:posOffset>121285</wp:posOffset>
                  </wp:positionV>
                  <wp:extent cx="203835" cy="145415"/>
                  <wp:effectExtent l="0" t="0" r="5715" b="6985"/>
                  <wp:wrapTight wrapText="bothSides">
                    <wp:wrapPolygon edited="0">
                      <wp:start x="0" y="0"/>
                      <wp:lineTo x="0" y="19808"/>
                      <wp:lineTo x="20187" y="19808"/>
                      <wp:lineTo x="20187"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473A02A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000000" w:themeColor="text1"/>
                <w:sz w:val="16"/>
                <w:szCs w:val="16"/>
              </w:rPr>
            </w:pPr>
            <w:r w:rsidRPr="00F06E45">
              <w:rPr>
                <w:rFonts w:ascii="Calibri" w:eastAsia="Calibri" w:hAnsi="Calibri" w:cs="Times New Roman"/>
                <w:color w:val="000000" w:themeColor="text1"/>
                <w:sz w:val="16"/>
                <w:szCs w:val="16"/>
              </w:rPr>
              <w:t xml:space="preserve">Initiatives include the </w:t>
            </w:r>
            <w:r w:rsidRPr="00F06E45">
              <w:rPr>
                <w:rFonts w:ascii="Calibri" w:eastAsia="Calibri" w:hAnsi="Calibri" w:cs="Times New Roman"/>
                <w:i/>
                <w:color w:val="000000" w:themeColor="text1"/>
                <w:sz w:val="16"/>
                <w:szCs w:val="16"/>
              </w:rPr>
              <w:t>Recreate Newsletter</w:t>
            </w:r>
            <w:r w:rsidRPr="00F06E45">
              <w:rPr>
                <w:rFonts w:ascii="Calibri" w:eastAsia="Calibri" w:hAnsi="Calibri" w:cs="Times New Roman"/>
                <w:color w:val="000000" w:themeColor="text1"/>
                <w:sz w:val="16"/>
                <w:szCs w:val="16"/>
              </w:rPr>
              <w:t xml:space="preserve">, weekly Enews, </w:t>
            </w:r>
            <w:r w:rsidRPr="00F06E45">
              <w:rPr>
                <w:rFonts w:ascii="Calibri" w:eastAsia="Calibri" w:hAnsi="Calibri" w:cs="Times New Roman"/>
                <w:i/>
                <w:color w:val="000000" w:themeColor="text1"/>
                <w:sz w:val="16"/>
                <w:szCs w:val="16"/>
              </w:rPr>
              <w:t>Moveit</w:t>
            </w:r>
            <w:r w:rsidRPr="00F06E45">
              <w:rPr>
                <w:rFonts w:ascii="Calibri" w:eastAsia="Calibri" w:hAnsi="Calibri" w:cs="Times New Roman"/>
                <w:color w:val="000000" w:themeColor="text1"/>
                <w:sz w:val="16"/>
                <w:szCs w:val="16"/>
              </w:rPr>
              <w:t xml:space="preserve"> campaign, ongoing support/liaison with sporting organisations, and promotion of key sporting events such as grand finals.  This quarter BRC Sport and Recreation webpages were redeveloped for a more user friendly environment.   </w:t>
            </w:r>
          </w:p>
        </w:tc>
      </w:tr>
      <w:tr w:rsidR="007371C6" w:rsidRPr="00F06E45" w14:paraId="3CF93D75" w14:textId="77777777" w:rsidTr="00063500">
        <w:trPr>
          <w:trHeight w:val="815"/>
        </w:trPr>
        <w:tc>
          <w:tcPr>
            <w:tcW w:w="1134" w:type="dxa"/>
            <w:shd w:val="clear" w:color="auto" w:fill="auto"/>
          </w:tcPr>
          <w:p w14:paraId="73EC5C8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Waste &amp; Health Services</w:t>
            </w:r>
          </w:p>
          <w:p w14:paraId="4DA7335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2694" w:type="dxa"/>
            <w:shd w:val="clear" w:color="auto" w:fill="auto"/>
          </w:tcPr>
          <w:p w14:paraId="226A3BC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Environmental Health: Environmental Monitoring &amp; Community Preparedness</w:t>
            </w:r>
          </w:p>
        </w:tc>
        <w:tc>
          <w:tcPr>
            <w:tcW w:w="3683" w:type="dxa"/>
            <w:shd w:val="clear" w:color="auto" w:fill="auto"/>
          </w:tcPr>
          <w:p w14:paraId="6084BFB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Percentage Environmental Monitoring &amp; Community Preparedness programs have been effectively completed. Programs include: Vector and Environmental monitoring and Disaster Management preparations.</w:t>
            </w:r>
          </w:p>
        </w:tc>
        <w:tc>
          <w:tcPr>
            <w:tcW w:w="872" w:type="dxa"/>
            <w:shd w:val="clear" w:color="auto" w:fill="auto"/>
          </w:tcPr>
          <w:p w14:paraId="5FBCFCE5"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Annually</w:t>
            </w:r>
          </w:p>
          <w:p w14:paraId="703EB65A"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100%</w:t>
            </w:r>
          </w:p>
        </w:tc>
        <w:tc>
          <w:tcPr>
            <w:tcW w:w="693" w:type="dxa"/>
            <w:shd w:val="clear" w:color="auto" w:fill="auto"/>
          </w:tcPr>
          <w:p w14:paraId="30E6A0B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YTD</w:t>
            </w:r>
          </w:p>
          <w:p w14:paraId="1AB17137"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0%</w:t>
            </w:r>
          </w:p>
        </w:tc>
        <w:tc>
          <w:tcPr>
            <w:tcW w:w="705" w:type="dxa"/>
            <w:shd w:val="clear" w:color="auto" w:fill="auto"/>
          </w:tcPr>
          <w:p w14:paraId="24511CCE" w14:textId="77777777" w:rsidR="007371C6" w:rsidRPr="00F06E45" w:rsidRDefault="007371C6" w:rsidP="00F06E45">
            <w:pPr>
              <w:tabs>
                <w:tab w:val="left" w:pos="3828"/>
                <w:tab w:val="left" w:pos="7513"/>
                <w:tab w:val="left" w:pos="8505"/>
                <w:tab w:val="left" w:pos="9072"/>
                <w:tab w:val="left" w:pos="9214"/>
                <w:tab w:val="left" w:pos="9923"/>
              </w:tabs>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9136" behindDoc="1" locked="0" layoutInCell="1" allowOverlap="1" wp14:anchorId="32F2F0A6" wp14:editId="2D06EA5F">
                  <wp:simplePos x="0" y="0"/>
                  <wp:positionH relativeFrom="column">
                    <wp:posOffset>-635</wp:posOffset>
                  </wp:positionH>
                  <wp:positionV relativeFrom="paragraph">
                    <wp:posOffset>128270</wp:posOffset>
                  </wp:positionV>
                  <wp:extent cx="203835" cy="145415"/>
                  <wp:effectExtent l="0" t="0" r="5715" b="6985"/>
                  <wp:wrapTight wrapText="bothSides">
                    <wp:wrapPolygon edited="0">
                      <wp:start x="0" y="0"/>
                      <wp:lineTo x="0" y="19808"/>
                      <wp:lineTo x="20187" y="19808"/>
                      <wp:lineTo x="201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56CACBC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808080" w:themeColor="background1" w:themeShade="80"/>
                <w:sz w:val="16"/>
                <w:szCs w:val="16"/>
              </w:rPr>
            </w:pPr>
            <w:r w:rsidRPr="00F06E45">
              <w:rPr>
                <w:rFonts w:ascii="Calibri" w:eastAsia="Calibri" w:hAnsi="Calibri" w:cs="Times New Roman"/>
                <w:color w:val="000000" w:themeColor="text1"/>
                <w:sz w:val="16"/>
                <w:szCs w:val="16"/>
              </w:rPr>
              <w:t>The vector monitoring program is scheduled to commence from the 3 November to April 2016. No activities have occurred to date.</w:t>
            </w:r>
          </w:p>
        </w:tc>
      </w:tr>
      <w:tr w:rsidR="007371C6" w:rsidRPr="00F06E45" w14:paraId="5A69D7A9" w14:textId="77777777" w:rsidTr="00063500">
        <w:trPr>
          <w:trHeight w:val="210"/>
        </w:trPr>
        <w:tc>
          <w:tcPr>
            <w:tcW w:w="15593" w:type="dxa"/>
            <w:gridSpan w:val="7"/>
            <w:tcBorders>
              <w:top w:val="single" w:sz="18" w:space="0" w:color="E36C0A"/>
              <w:bottom w:val="single" w:sz="18" w:space="0" w:color="E36C0A"/>
            </w:tcBorders>
            <w:shd w:val="clear" w:color="auto" w:fill="auto"/>
          </w:tcPr>
          <w:p w14:paraId="40B77E02"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Strategy 1.1.3 Support a safe living environment for the community through public safety initiatives and measures</w:t>
            </w:r>
          </w:p>
        </w:tc>
      </w:tr>
      <w:tr w:rsidR="007371C6" w:rsidRPr="00F06E45" w14:paraId="6A6D7205" w14:textId="77777777" w:rsidTr="00063500">
        <w:trPr>
          <w:trHeight w:val="210"/>
        </w:trPr>
        <w:tc>
          <w:tcPr>
            <w:tcW w:w="1134" w:type="dxa"/>
            <w:tcBorders>
              <w:top w:val="single" w:sz="18" w:space="0" w:color="E36C0A"/>
            </w:tcBorders>
            <w:shd w:val="clear" w:color="auto" w:fill="auto"/>
          </w:tcPr>
          <w:p w14:paraId="29834C6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shd w:val="clear" w:color="auto" w:fill="auto"/>
          </w:tcPr>
          <w:p w14:paraId="2D17F03A"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3" w:type="dxa"/>
            <w:tcBorders>
              <w:top w:val="single" w:sz="18" w:space="0" w:color="E36C0A"/>
            </w:tcBorders>
            <w:shd w:val="clear" w:color="auto" w:fill="auto"/>
          </w:tcPr>
          <w:p w14:paraId="0A67B9DD"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72" w:type="dxa"/>
            <w:tcBorders>
              <w:top w:val="single" w:sz="18" w:space="0" w:color="E36C0A"/>
            </w:tcBorders>
            <w:shd w:val="clear" w:color="auto" w:fill="auto"/>
          </w:tcPr>
          <w:p w14:paraId="4852102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693" w:type="dxa"/>
            <w:tcBorders>
              <w:top w:val="single" w:sz="18" w:space="0" w:color="E36C0A"/>
            </w:tcBorders>
            <w:shd w:val="clear" w:color="auto" w:fill="auto"/>
          </w:tcPr>
          <w:p w14:paraId="0F418859"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5" w:type="dxa"/>
            <w:tcBorders>
              <w:top w:val="single" w:sz="18" w:space="0" w:color="E36C0A"/>
            </w:tcBorders>
            <w:shd w:val="clear" w:color="auto" w:fill="auto"/>
          </w:tcPr>
          <w:p w14:paraId="6018875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 xml:space="preserve">Status </w:t>
            </w:r>
          </w:p>
        </w:tc>
        <w:tc>
          <w:tcPr>
            <w:tcW w:w="5812" w:type="dxa"/>
            <w:tcBorders>
              <w:top w:val="single" w:sz="18" w:space="0" w:color="E36C0A"/>
            </w:tcBorders>
          </w:tcPr>
          <w:p w14:paraId="280BDEC2"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5A5AECC" w14:textId="77777777" w:rsidTr="00063500">
        <w:trPr>
          <w:trHeight w:val="426"/>
        </w:trPr>
        <w:tc>
          <w:tcPr>
            <w:tcW w:w="1134" w:type="dxa"/>
            <w:shd w:val="clear" w:color="auto" w:fill="auto"/>
          </w:tcPr>
          <w:p w14:paraId="03BC16D7"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 xml:space="preserve">Waste &amp; Health  Services </w:t>
            </w:r>
          </w:p>
          <w:p w14:paraId="61C4F49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2694" w:type="dxa"/>
            <w:shd w:val="clear" w:color="auto" w:fill="auto"/>
          </w:tcPr>
          <w:p w14:paraId="5BE857CA"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Environmental Health: Licencing Assessment &amp; Approvals: Health Licensing Inspections</w:t>
            </w:r>
          </w:p>
        </w:tc>
        <w:tc>
          <w:tcPr>
            <w:tcW w:w="3683" w:type="dxa"/>
            <w:shd w:val="clear" w:color="auto" w:fill="auto"/>
          </w:tcPr>
          <w:p w14:paraId="7B7CC1C9"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Percentage of inspections completed against the anticipated number of inspections for the year.</w:t>
            </w:r>
          </w:p>
        </w:tc>
        <w:tc>
          <w:tcPr>
            <w:tcW w:w="872" w:type="dxa"/>
            <w:shd w:val="clear" w:color="auto" w:fill="auto"/>
          </w:tcPr>
          <w:p w14:paraId="7C23415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Annually</w:t>
            </w:r>
          </w:p>
          <w:p w14:paraId="6F8D9FA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98%</w:t>
            </w:r>
          </w:p>
        </w:tc>
        <w:tc>
          <w:tcPr>
            <w:tcW w:w="693" w:type="dxa"/>
            <w:shd w:val="clear" w:color="auto" w:fill="auto"/>
          </w:tcPr>
          <w:p w14:paraId="2732EB24"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YTD</w:t>
            </w:r>
          </w:p>
          <w:p w14:paraId="6773885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20%</w:t>
            </w:r>
          </w:p>
        </w:tc>
        <w:tc>
          <w:tcPr>
            <w:tcW w:w="705" w:type="dxa"/>
            <w:shd w:val="clear" w:color="auto" w:fill="auto"/>
          </w:tcPr>
          <w:p w14:paraId="5642374A"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8112" behindDoc="1" locked="0" layoutInCell="1" allowOverlap="1" wp14:anchorId="7D59FEB9" wp14:editId="008DF29A">
                  <wp:simplePos x="0" y="0"/>
                  <wp:positionH relativeFrom="column">
                    <wp:posOffset>-635</wp:posOffset>
                  </wp:positionH>
                  <wp:positionV relativeFrom="paragraph">
                    <wp:posOffset>127635</wp:posOffset>
                  </wp:positionV>
                  <wp:extent cx="203835" cy="145415"/>
                  <wp:effectExtent l="0" t="0" r="5715" b="6985"/>
                  <wp:wrapTight wrapText="bothSides">
                    <wp:wrapPolygon edited="0">
                      <wp:start x="0" y="0"/>
                      <wp:lineTo x="0" y="19808"/>
                      <wp:lineTo x="20187" y="19808"/>
                      <wp:lineTo x="20187"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454FE8E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808080" w:themeColor="background1" w:themeShade="80"/>
                <w:sz w:val="16"/>
                <w:szCs w:val="16"/>
              </w:rPr>
            </w:pPr>
            <w:r w:rsidRPr="00F06E45">
              <w:rPr>
                <w:rFonts w:ascii="Calibri" w:eastAsia="Calibri" w:hAnsi="Calibri" w:cs="Times New Roman"/>
                <w:color w:val="000000" w:themeColor="text1"/>
                <w:sz w:val="16"/>
                <w:szCs w:val="16"/>
              </w:rPr>
              <w:t>Licencing Assessment &amp; Approvals include</w:t>
            </w:r>
            <w:r w:rsidRPr="00F06E45">
              <w:rPr>
                <w:rFonts w:ascii="Calibri" w:eastAsia="Calibri" w:hAnsi="Calibri" w:cs="Times New Roman"/>
                <w:i/>
                <w:color w:val="000000" w:themeColor="text1"/>
                <w:sz w:val="16"/>
                <w:szCs w:val="16"/>
              </w:rPr>
              <w:t xml:space="preserve"> Environmentally Relevant Activities</w:t>
            </w:r>
            <w:r w:rsidRPr="00F06E45">
              <w:rPr>
                <w:rFonts w:ascii="Calibri" w:eastAsia="Calibri" w:hAnsi="Calibri" w:cs="Times New Roman"/>
                <w:color w:val="000000" w:themeColor="text1"/>
                <w:sz w:val="16"/>
                <w:szCs w:val="16"/>
              </w:rPr>
              <w:t xml:space="preserve"> (ERAs) inspections, </w:t>
            </w:r>
            <w:r w:rsidRPr="00F06E45">
              <w:rPr>
                <w:rFonts w:ascii="Calibri" w:eastAsia="Calibri" w:hAnsi="Calibri" w:cs="Times New Roman"/>
                <w:i/>
                <w:color w:val="000000" w:themeColor="text1"/>
                <w:sz w:val="16"/>
                <w:szCs w:val="16"/>
              </w:rPr>
              <w:t xml:space="preserve">Personal Appearance Service </w:t>
            </w:r>
            <w:r w:rsidRPr="00F06E45">
              <w:rPr>
                <w:rFonts w:ascii="Calibri" w:eastAsia="Calibri" w:hAnsi="Calibri" w:cs="Times New Roman"/>
                <w:color w:val="000000" w:themeColor="text1"/>
                <w:sz w:val="16"/>
                <w:szCs w:val="16"/>
              </w:rPr>
              <w:t xml:space="preserve">and </w:t>
            </w:r>
            <w:r w:rsidRPr="00F06E45">
              <w:rPr>
                <w:rFonts w:ascii="Calibri" w:eastAsia="Calibri" w:hAnsi="Calibri" w:cs="Times New Roman"/>
                <w:i/>
                <w:color w:val="000000" w:themeColor="text1"/>
                <w:sz w:val="16"/>
                <w:szCs w:val="16"/>
              </w:rPr>
              <w:t>Eat Safe</w:t>
            </w:r>
            <w:r w:rsidRPr="00F06E45">
              <w:rPr>
                <w:rFonts w:ascii="Calibri" w:eastAsia="Calibri" w:hAnsi="Calibri" w:cs="Times New Roman"/>
                <w:color w:val="000000" w:themeColor="text1"/>
                <w:sz w:val="16"/>
                <w:szCs w:val="16"/>
              </w:rPr>
              <w:t xml:space="preserve"> inspections, and </w:t>
            </w:r>
            <w:r w:rsidRPr="00F06E45">
              <w:rPr>
                <w:rFonts w:ascii="Calibri" w:eastAsia="Calibri" w:hAnsi="Calibri" w:cs="Times New Roman"/>
                <w:i/>
                <w:color w:val="000000" w:themeColor="text1"/>
                <w:sz w:val="16"/>
                <w:szCs w:val="16"/>
              </w:rPr>
              <w:t>Local Law Approvals.</w:t>
            </w:r>
            <w:r w:rsidRPr="00F06E45">
              <w:rPr>
                <w:color w:val="000000" w:themeColor="text1"/>
                <w:sz w:val="16"/>
                <w:szCs w:val="16"/>
              </w:rPr>
              <w:t xml:space="preserve"> 20% of inspections have occurred to date. Many food inspections are planned for early 2016.</w:t>
            </w:r>
          </w:p>
        </w:tc>
      </w:tr>
      <w:tr w:rsidR="007371C6" w:rsidRPr="00F06E45" w14:paraId="4E221E70" w14:textId="77777777" w:rsidTr="00063500">
        <w:trPr>
          <w:trHeight w:val="548"/>
        </w:trPr>
        <w:tc>
          <w:tcPr>
            <w:tcW w:w="1134" w:type="dxa"/>
            <w:shd w:val="clear" w:color="auto" w:fill="auto"/>
          </w:tcPr>
          <w:p w14:paraId="602F7E4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Waste &amp; Health Services</w:t>
            </w:r>
          </w:p>
        </w:tc>
        <w:tc>
          <w:tcPr>
            <w:tcW w:w="2694" w:type="dxa"/>
            <w:shd w:val="clear" w:color="auto" w:fill="auto"/>
          </w:tcPr>
          <w:p w14:paraId="190C7683"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Waste: Community Education &amp; Public Relations</w:t>
            </w:r>
          </w:p>
        </w:tc>
        <w:tc>
          <w:tcPr>
            <w:tcW w:w="3683" w:type="dxa"/>
            <w:shd w:val="clear" w:color="auto" w:fill="auto"/>
          </w:tcPr>
          <w:p w14:paraId="0E2B37B7"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Number of community education activities undertaken.</w:t>
            </w:r>
          </w:p>
        </w:tc>
        <w:tc>
          <w:tcPr>
            <w:tcW w:w="872" w:type="dxa"/>
            <w:shd w:val="clear" w:color="auto" w:fill="auto"/>
          </w:tcPr>
          <w:p w14:paraId="2B051CD5"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Annually</w:t>
            </w:r>
          </w:p>
          <w:p w14:paraId="7E2FD77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70</w:t>
            </w:r>
          </w:p>
        </w:tc>
        <w:tc>
          <w:tcPr>
            <w:tcW w:w="693" w:type="dxa"/>
            <w:shd w:val="clear" w:color="auto" w:fill="auto"/>
          </w:tcPr>
          <w:p w14:paraId="0C68EF82"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YTD</w:t>
            </w:r>
          </w:p>
          <w:p w14:paraId="30B8FF9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18</w:t>
            </w:r>
          </w:p>
        </w:tc>
        <w:tc>
          <w:tcPr>
            <w:tcW w:w="705" w:type="dxa"/>
            <w:shd w:val="clear" w:color="auto" w:fill="auto"/>
          </w:tcPr>
          <w:p w14:paraId="4432ABA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cs="Aharoni"/>
                <w:noProof/>
                <w:color w:val="1F4E79" w:themeColor="accent1" w:themeShade="80"/>
                <w:sz w:val="20"/>
                <w:szCs w:val="20"/>
                <w:lang w:eastAsia="en-AU"/>
              </w:rPr>
              <w:drawing>
                <wp:anchor distT="0" distB="0" distL="114300" distR="114300" simplePos="0" relativeHeight="251737088" behindDoc="1" locked="0" layoutInCell="1" allowOverlap="1" wp14:anchorId="60A0A6EE" wp14:editId="0E30E004">
                  <wp:simplePos x="0" y="0"/>
                  <wp:positionH relativeFrom="column">
                    <wp:posOffset>-635</wp:posOffset>
                  </wp:positionH>
                  <wp:positionV relativeFrom="paragraph">
                    <wp:posOffset>139065</wp:posOffset>
                  </wp:positionV>
                  <wp:extent cx="203835" cy="145415"/>
                  <wp:effectExtent l="0" t="0" r="5715" b="6985"/>
                  <wp:wrapTight wrapText="bothSides">
                    <wp:wrapPolygon edited="0">
                      <wp:start x="0" y="0"/>
                      <wp:lineTo x="0" y="19808"/>
                      <wp:lineTo x="20187" y="19808"/>
                      <wp:lineTo x="20187"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66F13243"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8 Media Releases and 10 Material Recovery Facility Tours where delivered during the 1</w:t>
            </w:r>
            <w:r w:rsidRPr="00F06E45">
              <w:rPr>
                <w:rFonts w:ascii="Calibri" w:eastAsia="Calibri" w:hAnsi="Calibri" w:cs="Times New Roman"/>
                <w:sz w:val="16"/>
                <w:szCs w:val="16"/>
                <w:vertAlign w:val="superscript"/>
              </w:rPr>
              <w:t>st</w:t>
            </w:r>
            <w:r w:rsidRPr="00F06E45">
              <w:rPr>
                <w:rFonts w:ascii="Calibri" w:eastAsia="Calibri" w:hAnsi="Calibri" w:cs="Times New Roman"/>
                <w:sz w:val="16"/>
                <w:szCs w:val="16"/>
              </w:rPr>
              <w:t xml:space="preserve"> quarter.</w:t>
            </w:r>
          </w:p>
        </w:tc>
      </w:tr>
      <w:tr w:rsidR="007371C6" w:rsidRPr="00F06E45" w14:paraId="43E7381D" w14:textId="77777777" w:rsidTr="00063500">
        <w:trPr>
          <w:trHeight w:val="1096"/>
        </w:trPr>
        <w:tc>
          <w:tcPr>
            <w:tcW w:w="1134" w:type="dxa"/>
            <w:shd w:val="clear" w:color="auto" w:fill="auto"/>
          </w:tcPr>
          <w:p w14:paraId="0DF69053"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694" w:type="dxa"/>
            <w:shd w:val="clear" w:color="auto" w:fill="auto"/>
          </w:tcPr>
          <w:p w14:paraId="470B6744"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Wastewater Systems: Reportable Incidents</w:t>
            </w:r>
          </w:p>
        </w:tc>
        <w:tc>
          <w:tcPr>
            <w:tcW w:w="3683" w:type="dxa"/>
            <w:shd w:val="clear" w:color="auto" w:fill="auto"/>
          </w:tcPr>
          <w:p w14:paraId="1B856E8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Number of reportable incidents.</w:t>
            </w:r>
          </w:p>
        </w:tc>
        <w:tc>
          <w:tcPr>
            <w:tcW w:w="872" w:type="dxa"/>
            <w:shd w:val="clear" w:color="auto" w:fill="auto"/>
          </w:tcPr>
          <w:p w14:paraId="68ECF353"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Quarterly</w:t>
            </w:r>
          </w:p>
          <w:p w14:paraId="653F9449"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&lt;3</w:t>
            </w:r>
          </w:p>
        </w:tc>
        <w:tc>
          <w:tcPr>
            <w:tcW w:w="693" w:type="dxa"/>
            <w:shd w:val="clear" w:color="auto" w:fill="auto"/>
          </w:tcPr>
          <w:p w14:paraId="5328AC41"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p>
          <w:p w14:paraId="5A651D7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2</w:t>
            </w:r>
          </w:p>
        </w:tc>
        <w:tc>
          <w:tcPr>
            <w:tcW w:w="705" w:type="dxa"/>
            <w:shd w:val="clear" w:color="auto" w:fill="auto"/>
          </w:tcPr>
          <w:p w14:paraId="7429497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56544" behindDoc="1" locked="0" layoutInCell="1" allowOverlap="1" wp14:anchorId="040EB972" wp14:editId="43ED0289">
                  <wp:simplePos x="0" y="0"/>
                  <wp:positionH relativeFrom="column">
                    <wp:posOffset>-635</wp:posOffset>
                  </wp:positionH>
                  <wp:positionV relativeFrom="paragraph">
                    <wp:posOffset>121920</wp:posOffset>
                  </wp:positionV>
                  <wp:extent cx="203835" cy="145415"/>
                  <wp:effectExtent l="0" t="0" r="5715" b="6985"/>
                  <wp:wrapTight wrapText="bothSides">
                    <wp:wrapPolygon edited="0">
                      <wp:start x="0" y="0"/>
                      <wp:lineTo x="0" y="19808"/>
                      <wp:lineTo x="20187" y="19808"/>
                      <wp:lineTo x="2018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6EF4E44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There were two reportable incidents related to statistical release limits for both Gin Gin &amp; Coral Cove Treatment Plants. Both reportable incidents were below the maximum limits. Process investigations have been undertaken and corrective actions implemented.</w:t>
            </w:r>
          </w:p>
        </w:tc>
      </w:tr>
      <w:tr w:rsidR="007371C6" w:rsidRPr="00F06E45" w14:paraId="5C1B814C" w14:textId="77777777" w:rsidTr="00063500">
        <w:trPr>
          <w:trHeight w:val="913"/>
        </w:trPr>
        <w:tc>
          <w:tcPr>
            <w:tcW w:w="1134" w:type="dxa"/>
            <w:shd w:val="clear" w:color="auto" w:fill="auto"/>
          </w:tcPr>
          <w:p w14:paraId="186077C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694" w:type="dxa"/>
            <w:shd w:val="clear" w:color="auto" w:fill="auto"/>
          </w:tcPr>
          <w:p w14:paraId="47E0769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Water Supply Systems: Reportable Incidents</w:t>
            </w:r>
          </w:p>
        </w:tc>
        <w:tc>
          <w:tcPr>
            <w:tcW w:w="3683" w:type="dxa"/>
            <w:shd w:val="clear" w:color="auto" w:fill="auto"/>
          </w:tcPr>
          <w:p w14:paraId="09337D5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Number of reportable incidents.</w:t>
            </w:r>
          </w:p>
          <w:p w14:paraId="175D3D31"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872" w:type="dxa"/>
            <w:shd w:val="clear" w:color="auto" w:fill="auto"/>
          </w:tcPr>
          <w:p w14:paraId="6F01438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Quarterly</w:t>
            </w:r>
          </w:p>
          <w:p w14:paraId="1E89BF1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&lt;3</w:t>
            </w:r>
          </w:p>
        </w:tc>
        <w:tc>
          <w:tcPr>
            <w:tcW w:w="693" w:type="dxa"/>
            <w:shd w:val="clear" w:color="auto" w:fill="auto"/>
          </w:tcPr>
          <w:p w14:paraId="2574657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p>
          <w:p w14:paraId="7D656217" w14:textId="77777777" w:rsidR="007371C6" w:rsidRPr="00F06E45" w:rsidRDefault="008B4EE1"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Pr>
                <w:rFonts w:ascii="Calibri" w:eastAsia="Calibri" w:hAnsi="Calibri" w:cs="Times New Roman"/>
                <w:sz w:val="16"/>
                <w:szCs w:val="16"/>
              </w:rPr>
              <w:t>1</w:t>
            </w:r>
          </w:p>
        </w:tc>
        <w:tc>
          <w:tcPr>
            <w:tcW w:w="705" w:type="dxa"/>
            <w:shd w:val="clear" w:color="auto" w:fill="auto"/>
          </w:tcPr>
          <w:p w14:paraId="357100B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1184" behindDoc="1" locked="0" layoutInCell="1" allowOverlap="1" wp14:anchorId="76871D7B" wp14:editId="3882DE1D">
                  <wp:simplePos x="0" y="0"/>
                  <wp:positionH relativeFrom="column">
                    <wp:posOffset>-635</wp:posOffset>
                  </wp:positionH>
                  <wp:positionV relativeFrom="paragraph">
                    <wp:posOffset>127000</wp:posOffset>
                  </wp:positionV>
                  <wp:extent cx="203835" cy="145415"/>
                  <wp:effectExtent l="0" t="0" r="5715" b="6985"/>
                  <wp:wrapTight wrapText="bothSides">
                    <wp:wrapPolygon edited="0">
                      <wp:start x="0" y="0"/>
                      <wp:lineTo x="0" y="19808"/>
                      <wp:lineTo x="20187" y="19808"/>
                      <wp:lineTo x="20187"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4B357021"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 xml:space="preserve">The 1 reportable incident was the exceedance of the health guideline level for Nitrate at the Gooburrum Scheme. </w:t>
            </w:r>
          </w:p>
        </w:tc>
      </w:tr>
      <w:tr w:rsidR="007371C6" w:rsidRPr="00F06E45" w14:paraId="05F8C75F" w14:textId="77777777" w:rsidTr="00063500">
        <w:trPr>
          <w:trHeight w:val="618"/>
        </w:trPr>
        <w:tc>
          <w:tcPr>
            <w:tcW w:w="1134" w:type="dxa"/>
            <w:tcBorders>
              <w:bottom w:val="single" w:sz="18" w:space="0" w:color="C45911" w:themeColor="accent2" w:themeShade="BF"/>
            </w:tcBorders>
            <w:shd w:val="clear" w:color="auto" w:fill="auto"/>
          </w:tcPr>
          <w:p w14:paraId="263C1C40"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694" w:type="dxa"/>
            <w:tcBorders>
              <w:bottom w:val="single" w:sz="18" w:space="0" w:color="E36C0A"/>
            </w:tcBorders>
            <w:shd w:val="clear" w:color="auto" w:fill="auto"/>
          </w:tcPr>
          <w:p w14:paraId="6B147C5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Water Supply Systems: Drinking water microbiological compliance</w:t>
            </w:r>
          </w:p>
          <w:p w14:paraId="0BF3258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3683" w:type="dxa"/>
            <w:tcBorders>
              <w:bottom w:val="single" w:sz="18" w:space="0" w:color="E36C0A"/>
            </w:tcBorders>
            <w:shd w:val="clear" w:color="auto" w:fill="auto"/>
          </w:tcPr>
          <w:p w14:paraId="09F41CC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Percentage drinking water is compliant.</w:t>
            </w:r>
          </w:p>
          <w:p w14:paraId="75013C4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872" w:type="dxa"/>
            <w:tcBorders>
              <w:bottom w:val="single" w:sz="18" w:space="0" w:color="E36C0A"/>
            </w:tcBorders>
            <w:shd w:val="clear" w:color="auto" w:fill="auto"/>
          </w:tcPr>
          <w:p w14:paraId="4B73951D"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Quarterly 98%</w:t>
            </w:r>
          </w:p>
        </w:tc>
        <w:tc>
          <w:tcPr>
            <w:tcW w:w="693" w:type="dxa"/>
            <w:tcBorders>
              <w:bottom w:val="single" w:sz="18" w:space="0" w:color="E36C0A"/>
            </w:tcBorders>
            <w:shd w:val="clear" w:color="auto" w:fill="auto"/>
          </w:tcPr>
          <w:p w14:paraId="2C2C6176"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p>
          <w:p w14:paraId="3DA3C33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100%</w:t>
            </w:r>
          </w:p>
        </w:tc>
        <w:tc>
          <w:tcPr>
            <w:tcW w:w="705" w:type="dxa"/>
            <w:tcBorders>
              <w:bottom w:val="single" w:sz="18" w:space="0" w:color="E36C0A"/>
            </w:tcBorders>
            <w:shd w:val="clear" w:color="auto" w:fill="auto"/>
          </w:tcPr>
          <w:p w14:paraId="4E85A6B1"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2208" behindDoc="1" locked="0" layoutInCell="1" allowOverlap="1" wp14:anchorId="0F8FBDB4" wp14:editId="186D5A97">
                  <wp:simplePos x="0" y="0"/>
                  <wp:positionH relativeFrom="column">
                    <wp:posOffset>-635</wp:posOffset>
                  </wp:positionH>
                  <wp:positionV relativeFrom="paragraph">
                    <wp:posOffset>125730</wp:posOffset>
                  </wp:positionV>
                  <wp:extent cx="203835" cy="145415"/>
                  <wp:effectExtent l="0" t="0" r="5715" b="6985"/>
                  <wp:wrapTight wrapText="bothSides">
                    <wp:wrapPolygon edited="0">
                      <wp:start x="0" y="0"/>
                      <wp:lineTo x="0" y="19808"/>
                      <wp:lineTo x="20187" y="19808"/>
                      <wp:lineTo x="20187"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Borders>
              <w:bottom w:val="single" w:sz="18" w:space="0" w:color="E36C0A"/>
            </w:tcBorders>
          </w:tcPr>
          <w:p w14:paraId="7858C29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6"/>
                <w:szCs w:val="16"/>
              </w:rPr>
            </w:pPr>
            <w:r w:rsidRPr="00F06E45">
              <w:rPr>
                <w:rFonts w:ascii="Calibri" w:eastAsia="Calibri" w:hAnsi="Calibri" w:cs="Times New Roman"/>
                <w:sz w:val="16"/>
                <w:szCs w:val="16"/>
              </w:rPr>
              <w:t xml:space="preserve">100% microbiological compliance is the expected performance for this important health criteria. </w:t>
            </w:r>
          </w:p>
          <w:p w14:paraId="002E2973"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808080" w:themeColor="background1" w:themeShade="80"/>
                <w:sz w:val="16"/>
                <w:szCs w:val="16"/>
              </w:rPr>
            </w:pPr>
            <w:r w:rsidRPr="00F06E45">
              <w:rPr>
                <w:rFonts w:ascii="Calibri" w:eastAsia="Calibri" w:hAnsi="Calibri" w:cs="Times New Roman"/>
                <w:color w:val="808080" w:themeColor="background1" w:themeShade="80"/>
                <w:sz w:val="16"/>
                <w:szCs w:val="16"/>
              </w:rPr>
              <w:t xml:space="preserve"> </w:t>
            </w:r>
          </w:p>
        </w:tc>
      </w:tr>
    </w:tbl>
    <w:p w14:paraId="34052988" w14:textId="77777777" w:rsidR="007371C6" w:rsidRPr="00F06E45" w:rsidRDefault="007371C6" w:rsidP="00F06E45">
      <w:pPr>
        <w:tabs>
          <w:tab w:val="left" w:pos="3828"/>
          <w:tab w:val="left" w:pos="7513"/>
          <w:tab w:val="left" w:pos="8505"/>
          <w:tab w:val="left" w:pos="9072"/>
          <w:tab w:val="left" w:pos="9214"/>
          <w:tab w:val="left" w:pos="9923"/>
          <w:tab w:val="left" w:pos="13111"/>
        </w:tabs>
        <w:ind w:left="-108"/>
        <w:rPr>
          <w:rFonts w:ascii="Times New Roman" w:eastAsia="Calibri" w:hAnsi="Times New Roman" w:cs="Times New Roman"/>
          <w:sz w:val="28"/>
          <w:szCs w:val="28"/>
        </w:rPr>
      </w:pPr>
      <w:r w:rsidRPr="00F06E45">
        <w:rPr>
          <w:rFonts w:ascii="Times New Roman" w:eastAsia="Calibri" w:hAnsi="Times New Roman" w:cs="Times New Roman"/>
          <w:sz w:val="28"/>
          <w:szCs w:val="28"/>
        </w:rPr>
        <w:tab/>
      </w:r>
    </w:p>
    <w:p w14:paraId="45171A16" w14:textId="77777777" w:rsidR="007371C6" w:rsidRPr="00F06E45" w:rsidRDefault="007371C6" w:rsidP="00F06E45">
      <w:pPr>
        <w:tabs>
          <w:tab w:val="left" w:pos="1456"/>
        </w:tabs>
        <w:rPr>
          <w:rFonts w:ascii="Times New Roman" w:eastAsia="Calibri" w:hAnsi="Times New Roman" w:cs="Times New Roman"/>
          <w:sz w:val="28"/>
          <w:szCs w:val="28"/>
        </w:rPr>
        <w:sectPr w:rsidR="007371C6" w:rsidRPr="00F06E45" w:rsidSect="000F71F5">
          <w:footerReference w:type="first" r:id="rId38"/>
          <w:pgSz w:w="16838" w:h="11906" w:orient="landscape"/>
          <w:pgMar w:top="0" w:right="678" w:bottom="709" w:left="567" w:header="708" w:footer="173" w:gutter="0"/>
          <w:cols w:space="708"/>
          <w:titlePg/>
          <w:docGrid w:linePitch="360"/>
        </w:sectPr>
      </w:pPr>
    </w:p>
    <w:p w14:paraId="2250A32F" w14:textId="77777777" w:rsidR="007371C6" w:rsidRPr="00F06E45" w:rsidRDefault="007371C6" w:rsidP="00F06E45">
      <w:pPr>
        <w:tabs>
          <w:tab w:val="left" w:pos="1456"/>
        </w:tabs>
        <w:rPr>
          <w:rFonts w:ascii="Times New Roman" w:eastAsia="Calibri" w:hAnsi="Times New Roman" w:cs="Times New Roman"/>
          <w:sz w:val="28"/>
          <w:szCs w:val="28"/>
        </w:rPr>
      </w:pPr>
    </w:p>
    <w:p w14:paraId="0A911480"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E36C0A"/>
          <w:sz w:val="28"/>
          <w:szCs w:val="28"/>
        </w:rPr>
        <w:t>A connected community, full of life</w:t>
      </w:r>
      <w:r w:rsidRPr="00F06E45">
        <w:rPr>
          <w:rFonts w:ascii="Times New Roman" w:eastAsia="Calibri" w:hAnsi="Times New Roman" w:cs="Times New Roman"/>
          <w:b/>
        </w:rPr>
        <w:t xml:space="preserve"> </w:t>
      </w:r>
      <w:r w:rsidRPr="00F06E45">
        <w:rPr>
          <w:rFonts w:ascii="Times New Roman" w:eastAsia="Calibri" w:hAnsi="Times New Roman" w:cs="Times New Roman"/>
          <w:b/>
        </w:rPr>
        <w:tab/>
      </w:r>
      <w:r w:rsidRPr="00F06E45">
        <w:rPr>
          <w:rFonts w:ascii="Times New Roman" w:eastAsia="Calibri" w:hAnsi="Times New Roman" w:cs="Times New Roman"/>
          <w:b/>
        </w:rPr>
        <w:tab/>
      </w:r>
      <w:r w:rsidRPr="00F06E45">
        <w:rPr>
          <w:rFonts w:ascii="Times New Roman" w:eastAsia="Calibri" w:hAnsi="Times New Roman" w:cs="Times New Roman"/>
          <w:b/>
        </w:rPr>
        <w:tab/>
      </w:r>
      <w:r w:rsidRPr="00F06E45">
        <w:rPr>
          <w:rFonts w:ascii="Times New Roman" w:eastAsia="Calibri" w:hAnsi="Times New Roman" w:cs="Times New Roman"/>
          <w:b/>
        </w:rPr>
        <w:tab/>
        <w:t xml:space="preserve">             safeguarding our wellbeing, connecting our community, enhancing our quality lifestyle</w:t>
      </w:r>
    </w:p>
    <w:tbl>
      <w:tblPr>
        <w:tblStyle w:val="TableGrid1"/>
        <w:tblpPr w:leftFromText="180" w:rightFromText="180" w:vertAnchor="text" w:horzAnchor="margin" w:tblpY="170"/>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94"/>
        <w:gridCol w:w="3636"/>
        <w:gridCol w:w="847"/>
        <w:gridCol w:w="761"/>
        <w:gridCol w:w="709"/>
        <w:gridCol w:w="5812"/>
      </w:tblGrid>
      <w:tr w:rsidR="007371C6" w:rsidRPr="00F06E45" w14:paraId="00D1334A" w14:textId="77777777" w:rsidTr="00063500">
        <w:trPr>
          <w:trHeight w:val="251"/>
        </w:trPr>
        <w:tc>
          <w:tcPr>
            <w:tcW w:w="7464" w:type="dxa"/>
            <w:gridSpan w:val="3"/>
            <w:tcBorders>
              <w:top w:val="single" w:sz="18" w:space="0" w:color="E36C0A"/>
              <w:bottom w:val="single" w:sz="18" w:space="0" w:color="E36C0A"/>
            </w:tcBorders>
            <w:shd w:val="clear" w:color="auto" w:fill="F4B083" w:themeFill="accent2" w:themeFillTint="99"/>
          </w:tcPr>
          <w:p w14:paraId="7ACC1E7B" w14:textId="77777777" w:rsidR="007371C6" w:rsidRPr="00F06E45" w:rsidRDefault="007371C6" w:rsidP="00F06E45">
            <w:pPr>
              <w:ind w:left="-108"/>
              <w:rPr>
                <w:rFonts w:ascii="Calibri" w:eastAsia="Calibri" w:hAnsi="Calibri" w:cs="Times New Roman"/>
                <w:b/>
              </w:rPr>
            </w:pPr>
            <w:r w:rsidRPr="00F06E45">
              <w:rPr>
                <w:rFonts w:ascii="Calibri" w:eastAsia="Calibri" w:hAnsi="Calibri" w:cs="Times New Roman"/>
                <w:b/>
              </w:rPr>
              <w:t xml:space="preserve">Outcome 1.1 A safe active and healthy community </w:t>
            </w:r>
          </w:p>
        </w:tc>
        <w:tc>
          <w:tcPr>
            <w:tcW w:w="847" w:type="dxa"/>
            <w:tcBorders>
              <w:top w:val="single" w:sz="18" w:space="0" w:color="E36C0A"/>
              <w:bottom w:val="single" w:sz="18" w:space="0" w:color="E36C0A"/>
            </w:tcBorders>
            <w:shd w:val="clear" w:color="auto" w:fill="F4B083" w:themeFill="accent2" w:themeFillTint="99"/>
          </w:tcPr>
          <w:p w14:paraId="03BA466E" w14:textId="77777777" w:rsidR="007371C6" w:rsidRPr="00F06E45" w:rsidRDefault="007371C6" w:rsidP="00F06E45">
            <w:pPr>
              <w:tabs>
                <w:tab w:val="left" w:pos="2235"/>
              </w:tabs>
              <w:rPr>
                <w:rFonts w:ascii="Calibri" w:eastAsia="Calibri" w:hAnsi="Calibri" w:cs="Times New Roman"/>
                <w:b/>
              </w:rPr>
            </w:pPr>
          </w:p>
        </w:tc>
        <w:tc>
          <w:tcPr>
            <w:tcW w:w="761" w:type="dxa"/>
            <w:tcBorders>
              <w:top w:val="single" w:sz="18" w:space="0" w:color="E36C0A"/>
              <w:bottom w:val="single" w:sz="18" w:space="0" w:color="E36C0A"/>
            </w:tcBorders>
            <w:shd w:val="clear" w:color="auto" w:fill="F4B083" w:themeFill="accent2" w:themeFillTint="99"/>
          </w:tcPr>
          <w:p w14:paraId="1C2C9340" w14:textId="77777777" w:rsidR="007371C6" w:rsidRPr="00F06E45" w:rsidRDefault="007371C6" w:rsidP="00F06E45">
            <w:pPr>
              <w:tabs>
                <w:tab w:val="left" w:pos="2235"/>
              </w:tabs>
              <w:rPr>
                <w:rFonts w:ascii="Calibri" w:eastAsia="Calibri" w:hAnsi="Calibri" w:cs="Times New Roman"/>
                <w:b/>
              </w:rPr>
            </w:pPr>
          </w:p>
        </w:tc>
        <w:tc>
          <w:tcPr>
            <w:tcW w:w="709" w:type="dxa"/>
            <w:tcBorders>
              <w:top w:val="single" w:sz="18" w:space="0" w:color="E36C0A"/>
              <w:bottom w:val="single" w:sz="18" w:space="0" w:color="E36C0A"/>
            </w:tcBorders>
            <w:shd w:val="clear" w:color="auto" w:fill="F4B083" w:themeFill="accent2" w:themeFillTint="99"/>
          </w:tcPr>
          <w:p w14:paraId="7519B4F2" w14:textId="77777777" w:rsidR="007371C6" w:rsidRPr="00F06E45" w:rsidRDefault="007371C6" w:rsidP="00F06E45">
            <w:pPr>
              <w:tabs>
                <w:tab w:val="left" w:pos="2235"/>
              </w:tabs>
              <w:rPr>
                <w:rFonts w:ascii="Calibri" w:eastAsia="Calibri" w:hAnsi="Calibri" w:cs="Times New Roman"/>
                <w:b/>
              </w:rPr>
            </w:pPr>
          </w:p>
        </w:tc>
        <w:tc>
          <w:tcPr>
            <w:tcW w:w="5812" w:type="dxa"/>
            <w:tcBorders>
              <w:top w:val="single" w:sz="18" w:space="0" w:color="E36C0A"/>
              <w:bottom w:val="single" w:sz="18" w:space="0" w:color="E36C0A"/>
            </w:tcBorders>
            <w:shd w:val="clear" w:color="auto" w:fill="F4B083" w:themeFill="accent2" w:themeFillTint="99"/>
          </w:tcPr>
          <w:p w14:paraId="763F98AE" w14:textId="77777777" w:rsidR="007371C6" w:rsidRPr="00F06E45" w:rsidRDefault="007371C6" w:rsidP="00F06E45">
            <w:pPr>
              <w:tabs>
                <w:tab w:val="left" w:pos="2235"/>
              </w:tabs>
              <w:rPr>
                <w:rFonts w:ascii="Calibri" w:eastAsia="Calibri" w:hAnsi="Calibri" w:cs="Times New Roman"/>
                <w:b/>
              </w:rPr>
            </w:pPr>
          </w:p>
        </w:tc>
      </w:tr>
      <w:tr w:rsidR="007371C6" w:rsidRPr="00F06E45" w14:paraId="67D055FE" w14:textId="77777777" w:rsidTr="00063500">
        <w:trPr>
          <w:trHeight w:val="209"/>
        </w:trPr>
        <w:tc>
          <w:tcPr>
            <w:tcW w:w="7464" w:type="dxa"/>
            <w:gridSpan w:val="3"/>
            <w:tcBorders>
              <w:top w:val="single" w:sz="18" w:space="0" w:color="E36C0A"/>
              <w:bottom w:val="single" w:sz="18" w:space="0" w:color="E36C0A"/>
            </w:tcBorders>
          </w:tcPr>
          <w:p w14:paraId="74A95CE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1.1.4 Build resilience in our communities to manage natural or man-made adversity</w:t>
            </w:r>
          </w:p>
        </w:tc>
        <w:tc>
          <w:tcPr>
            <w:tcW w:w="847" w:type="dxa"/>
            <w:tcBorders>
              <w:top w:val="single" w:sz="18" w:space="0" w:color="E36C0A"/>
              <w:bottom w:val="single" w:sz="18" w:space="0" w:color="E36C0A"/>
            </w:tcBorders>
          </w:tcPr>
          <w:p w14:paraId="205DB42E" w14:textId="77777777" w:rsidR="007371C6" w:rsidRPr="00F06E45" w:rsidRDefault="007371C6" w:rsidP="00F06E45">
            <w:pPr>
              <w:ind w:left="-108"/>
              <w:rPr>
                <w:rFonts w:ascii="Calibri" w:eastAsia="Calibri" w:hAnsi="Calibri" w:cs="Times New Roman"/>
                <w:b/>
                <w:sz w:val="18"/>
                <w:szCs w:val="18"/>
              </w:rPr>
            </w:pPr>
          </w:p>
        </w:tc>
        <w:tc>
          <w:tcPr>
            <w:tcW w:w="761" w:type="dxa"/>
            <w:tcBorders>
              <w:top w:val="single" w:sz="18" w:space="0" w:color="E36C0A"/>
              <w:bottom w:val="single" w:sz="18" w:space="0" w:color="E36C0A"/>
            </w:tcBorders>
          </w:tcPr>
          <w:p w14:paraId="45D618CF" w14:textId="77777777" w:rsidR="007371C6" w:rsidRPr="00F06E45" w:rsidRDefault="007371C6" w:rsidP="00F06E45">
            <w:pPr>
              <w:rPr>
                <w:rFonts w:ascii="Calibri" w:eastAsia="Calibri" w:hAnsi="Calibri" w:cs="Times New Roman"/>
                <w:b/>
                <w:sz w:val="18"/>
                <w:szCs w:val="18"/>
              </w:rPr>
            </w:pPr>
          </w:p>
        </w:tc>
        <w:tc>
          <w:tcPr>
            <w:tcW w:w="709" w:type="dxa"/>
            <w:tcBorders>
              <w:top w:val="single" w:sz="18" w:space="0" w:color="E36C0A"/>
              <w:bottom w:val="single" w:sz="18" w:space="0" w:color="E36C0A"/>
            </w:tcBorders>
          </w:tcPr>
          <w:p w14:paraId="41829DB5" w14:textId="77777777" w:rsidR="007371C6" w:rsidRPr="00F06E45" w:rsidRDefault="007371C6" w:rsidP="00F06E45">
            <w:pPr>
              <w:rPr>
                <w:rFonts w:ascii="Calibri" w:eastAsia="Calibri" w:hAnsi="Calibri" w:cs="Times New Roman"/>
                <w:b/>
                <w:sz w:val="18"/>
                <w:szCs w:val="18"/>
              </w:rPr>
            </w:pPr>
          </w:p>
        </w:tc>
        <w:tc>
          <w:tcPr>
            <w:tcW w:w="5812" w:type="dxa"/>
            <w:tcBorders>
              <w:top w:val="single" w:sz="18" w:space="0" w:color="E36C0A"/>
              <w:bottom w:val="single" w:sz="18" w:space="0" w:color="E36C0A"/>
            </w:tcBorders>
          </w:tcPr>
          <w:p w14:paraId="4AE900CB" w14:textId="77777777" w:rsidR="007371C6" w:rsidRPr="00F06E45" w:rsidRDefault="007371C6" w:rsidP="00F06E45">
            <w:pPr>
              <w:rPr>
                <w:rFonts w:ascii="Calibri" w:eastAsia="Calibri" w:hAnsi="Calibri" w:cs="Times New Roman"/>
                <w:b/>
                <w:sz w:val="18"/>
                <w:szCs w:val="18"/>
              </w:rPr>
            </w:pPr>
          </w:p>
        </w:tc>
      </w:tr>
      <w:tr w:rsidR="007371C6" w:rsidRPr="00F06E45" w14:paraId="255BAD7D" w14:textId="77777777" w:rsidTr="00063500">
        <w:trPr>
          <w:trHeight w:val="218"/>
        </w:trPr>
        <w:tc>
          <w:tcPr>
            <w:tcW w:w="1134" w:type="dxa"/>
            <w:tcBorders>
              <w:top w:val="single" w:sz="18" w:space="0" w:color="E36C0A"/>
            </w:tcBorders>
          </w:tcPr>
          <w:p w14:paraId="3E7FE0D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tcPr>
          <w:p w14:paraId="4AE183B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36" w:type="dxa"/>
            <w:tcBorders>
              <w:top w:val="single" w:sz="18" w:space="0" w:color="E36C0A"/>
            </w:tcBorders>
          </w:tcPr>
          <w:p w14:paraId="488663E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47" w:type="dxa"/>
            <w:tcBorders>
              <w:top w:val="single" w:sz="18" w:space="0" w:color="E36C0A"/>
            </w:tcBorders>
          </w:tcPr>
          <w:p w14:paraId="66B4B5F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61" w:type="dxa"/>
            <w:tcBorders>
              <w:top w:val="single" w:sz="18" w:space="0" w:color="E36C0A"/>
            </w:tcBorders>
          </w:tcPr>
          <w:p w14:paraId="3DB5C56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016215B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tcBorders>
              <w:top w:val="single" w:sz="18" w:space="0" w:color="E36C0A"/>
            </w:tcBorders>
          </w:tcPr>
          <w:p w14:paraId="2AE81ADF"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color w:val="000000" w:themeColor="text1"/>
                <w:sz w:val="18"/>
                <w:szCs w:val="18"/>
              </w:rPr>
              <w:t xml:space="preserve">Comment  </w:t>
            </w:r>
          </w:p>
        </w:tc>
      </w:tr>
      <w:tr w:rsidR="007371C6" w:rsidRPr="00F06E45" w14:paraId="5BF30725" w14:textId="77777777" w:rsidTr="00063500">
        <w:trPr>
          <w:trHeight w:val="1090"/>
        </w:trPr>
        <w:tc>
          <w:tcPr>
            <w:tcW w:w="1134" w:type="dxa"/>
            <w:tcBorders>
              <w:bottom w:val="single" w:sz="18" w:space="0" w:color="E36C0A"/>
            </w:tcBorders>
            <w:shd w:val="clear" w:color="auto" w:fill="auto"/>
          </w:tcPr>
          <w:p w14:paraId="491B568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Disaster Management</w:t>
            </w:r>
          </w:p>
        </w:tc>
        <w:tc>
          <w:tcPr>
            <w:tcW w:w="2694" w:type="dxa"/>
            <w:tcBorders>
              <w:bottom w:val="single" w:sz="18" w:space="0" w:color="E36C0A"/>
            </w:tcBorders>
            <w:shd w:val="clear" w:color="auto" w:fill="auto"/>
          </w:tcPr>
          <w:p w14:paraId="38D397D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Disaster Preparedness   </w:t>
            </w:r>
          </w:p>
        </w:tc>
        <w:tc>
          <w:tcPr>
            <w:tcW w:w="3636" w:type="dxa"/>
            <w:tcBorders>
              <w:bottom w:val="single" w:sz="18" w:space="0" w:color="E36C0A"/>
            </w:tcBorders>
            <w:shd w:val="clear" w:color="auto" w:fill="auto"/>
          </w:tcPr>
          <w:p w14:paraId="287572B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Local Disaster Management Group (LDMG) meetings held.</w:t>
            </w:r>
          </w:p>
        </w:tc>
        <w:tc>
          <w:tcPr>
            <w:tcW w:w="847" w:type="dxa"/>
            <w:tcBorders>
              <w:bottom w:val="single" w:sz="18" w:space="0" w:color="E36C0A"/>
            </w:tcBorders>
            <w:shd w:val="clear" w:color="auto" w:fill="auto"/>
          </w:tcPr>
          <w:p w14:paraId="3CBDCAB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581797B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w:t>
            </w:r>
          </w:p>
        </w:tc>
        <w:tc>
          <w:tcPr>
            <w:tcW w:w="761" w:type="dxa"/>
            <w:tcBorders>
              <w:bottom w:val="single" w:sz="18" w:space="0" w:color="E36C0A"/>
            </w:tcBorders>
            <w:shd w:val="clear" w:color="auto" w:fill="auto"/>
          </w:tcPr>
          <w:p w14:paraId="1C24264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31DCCFE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w:t>
            </w:r>
          </w:p>
        </w:tc>
        <w:tc>
          <w:tcPr>
            <w:tcW w:w="709" w:type="dxa"/>
            <w:tcBorders>
              <w:bottom w:val="single" w:sz="18" w:space="0" w:color="E36C0A"/>
            </w:tcBorders>
          </w:tcPr>
          <w:p w14:paraId="7F218D0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3232" behindDoc="1" locked="0" layoutInCell="1" allowOverlap="1" wp14:anchorId="36390F2C" wp14:editId="4607ED4A">
                  <wp:simplePos x="0" y="0"/>
                  <wp:positionH relativeFrom="column">
                    <wp:posOffset>1905</wp:posOffset>
                  </wp:positionH>
                  <wp:positionV relativeFrom="paragraph">
                    <wp:posOffset>124460</wp:posOffset>
                  </wp:positionV>
                  <wp:extent cx="203835" cy="145415"/>
                  <wp:effectExtent l="0" t="0" r="5715" b="6985"/>
                  <wp:wrapTight wrapText="bothSides">
                    <wp:wrapPolygon edited="0">
                      <wp:start x="0" y="0"/>
                      <wp:lineTo x="0" y="19808"/>
                      <wp:lineTo x="20187" y="19808"/>
                      <wp:lineTo x="20187"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Borders>
              <w:bottom w:val="single" w:sz="18" w:space="0" w:color="E36C0A"/>
            </w:tcBorders>
            <w:shd w:val="clear" w:color="auto" w:fill="auto"/>
          </w:tcPr>
          <w:p w14:paraId="452C9F96" w14:textId="77777777" w:rsidR="007371C6" w:rsidRPr="00F06E45" w:rsidRDefault="007371C6" w:rsidP="00F06E45">
            <w:pPr>
              <w:tabs>
                <w:tab w:val="left" w:pos="3828"/>
                <w:tab w:val="left" w:pos="7513"/>
                <w:tab w:val="left" w:pos="8505"/>
                <w:tab w:val="left" w:pos="9072"/>
                <w:tab w:val="left" w:pos="9214"/>
                <w:tab w:val="left" w:pos="9923"/>
              </w:tabs>
              <w:ind w:left="-108"/>
              <w:rPr>
                <w:rFonts w:eastAsia="Calibri" w:cs="Times New Roman"/>
                <w:sz w:val="16"/>
                <w:szCs w:val="16"/>
              </w:rPr>
            </w:pPr>
            <w:r w:rsidRPr="00F06E45">
              <w:rPr>
                <w:rFonts w:cs="Tahoma"/>
                <w:sz w:val="16"/>
                <w:szCs w:val="16"/>
              </w:rPr>
              <w:t xml:space="preserve">The first Local Disaster Management Group (LDMG) for the 2015-16 financial year occurred 2 July 2015. The legislative basis for these meetings is the </w:t>
            </w:r>
            <w:r w:rsidRPr="00F06E45">
              <w:rPr>
                <w:rFonts w:cs="Tahoma"/>
                <w:i/>
                <w:sz w:val="16"/>
                <w:szCs w:val="16"/>
              </w:rPr>
              <w:t>Disaster Management Act 2003</w:t>
            </w:r>
            <w:r w:rsidRPr="00F06E45">
              <w:rPr>
                <w:rFonts w:cs="Tahoma"/>
                <w:sz w:val="16"/>
                <w:szCs w:val="16"/>
              </w:rPr>
              <w:t>, which requires a minimum of 2 (Ordinary) meetings of the Local Disaster Management Group per annum.</w:t>
            </w:r>
          </w:p>
        </w:tc>
      </w:tr>
      <w:tr w:rsidR="007371C6" w:rsidRPr="00F06E45" w14:paraId="05ED473C" w14:textId="77777777" w:rsidTr="00063500">
        <w:trPr>
          <w:trHeight w:val="419"/>
        </w:trPr>
        <w:tc>
          <w:tcPr>
            <w:tcW w:w="15593" w:type="dxa"/>
            <w:gridSpan w:val="7"/>
            <w:tcBorders>
              <w:top w:val="single" w:sz="18" w:space="0" w:color="E36C0A"/>
              <w:bottom w:val="single" w:sz="18" w:space="0" w:color="E36C0A"/>
            </w:tcBorders>
          </w:tcPr>
          <w:p w14:paraId="1566057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1.1.5  Engage the community and develop key partnerships that support social planning, community programs and information to enable active participation in all aspects of community life and activity</w:t>
            </w:r>
          </w:p>
        </w:tc>
      </w:tr>
      <w:tr w:rsidR="007371C6" w:rsidRPr="00F06E45" w14:paraId="2BA98CA6" w14:textId="77777777" w:rsidTr="00063500">
        <w:trPr>
          <w:trHeight w:val="195"/>
        </w:trPr>
        <w:tc>
          <w:tcPr>
            <w:tcW w:w="1134" w:type="dxa"/>
            <w:tcBorders>
              <w:top w:val="single" w:sz="18" w:space="0" w:color="E36C0A"/>
            </w:tcBorders>
            <w:shd w:val="clear" w:color="auto" w:fill="auto"/>
          </w:tcPr>
          <w:p w14:paraId="7AD26C7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shd w:val="clear" w:color="auto" w:fill="auto"/>
          </w:tcPr>
          <w:p w14:paraId="7597D663" w14:textId="77777777" w:rsidR="007371C6" w:rsidRPr="00F06E45" w:rsidRDefault="007371C6" w:rsidP="00F06E45">
            <w:pPr>
              <w:ind w:left="-39"/>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36" w:type="dxa"/>
            <w:tcBorders>
              <w:top w:val="single" w:sz="18" w:space="0" w:color="E36C0A"/>
            </w:tcBorders>
            <w:shd w:val="clear" w:color="auto" w:fill="auto"/>
          </w:tcPr>
          <w:p w14:paraId="5D0886F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47" w:type="dxa"/>
            <w:tcBorders>
              <w:top w:val="single" w:sz="18" w:space="0" w:color="E36C0A"/>
            </w:tcBorders>
            <w:shd w:val="clear" w:color="auto" w:fill="auto"/>
          </w:tcPr>
          <w:p w14:paraId="2B2F1E2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61" w:type="dxa"/>
            <w:tcBorders>
              <w:top w:val="single" w:sz="18" w:space="0" w:color="E36C0A"/>
            </w:tcBorders>
            <w:shd w:val="clear" w:color="auto" w:fill="auto"/>
          </w:tcPr>
          <w:p w14:paraId="49A3B4C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2859FEA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tcBorders>
              <w:top w:val="single" w:sz="18" w:space="0" w:color="E36C0A"/>
            </w:tcBorders>
            <w:shd w:val="clear" w:color="auto" w:fill="auto"/>
          </w:tcPr>
          <w:p w14:paraId="1F8AD211"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b/>
                <w:sz w:val="18"/>
                <w:szCs w:val="18"/>
              </w:rPr>
            </w:pPr>
            <w:r w:rsidRPr="00F06E45">
              <w:rPr>
                <w:rFonts w:ascii="Calibri" w:eastAsia="Calibri" w:hAnsi="Calibri" w:cs="Times New Roman"/>
                <w:b/>
                <w:color w:val="000000" w:themeColor="text1"/>
                <w:sz w:val="18"/>
                <w:szCs w:val="18"/>
              </w:rPr>
              <w:t xml:space="preserve">Comment  </w:t>
            </w:r>
          </w:p>
        </w:tc>
      </w:tr>
      <w:tr w:rsidR="007371C6" w:rsidRPr="00F06E45" w14:paraId="362188A8" w14:textId="77777777" w:rsidTr="00063500">
        <w:trPr>
          <w:trHeight w:val="923"/>
        </w:trPr>
        <w:tc>
          <w:tcPr>
            <w:tcW w:w="1134" w:type="dxa"/>
            <w:shd w:val="clear" w:color="auto" w:fill="auto"/>
          </w:tcPr>
          <w:p w14:paraId="2285982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Community  Development</w:t>
            </w:r>
          </w:p>
        </w:tc>
        <w:tc>
          <w:tcPr>
            <w:tcW w:w="2694" w:type="dxa"/>
            <w:shd w:val="clear" w:color="auto" w:fill="auto"/>
          </w:tcPr>
          <w:p w14:paraId="7A2B779E" w14:textId="77777777" w:rsidR="007371C6" w:rsidRPr="00F06E45" w:rsidRDefault="007371C6" w:rsidP="00F06E45">
            <w:pPr>
              <w:ind w:left="-39"/>
              <w:rPr>
                <w:rFonts w:ascii="Calibri" w:eastAsia="Calibri" w:hAnsi="Calibri" w:cs="Times New Roman"/>
                <w:sz w:val="18"/>
                <w:szCs w:val="18"/>
              </w:rPr>
            </w:pPr>
            <w:r w:rsidRPr="00F06E45">
              <w:rPr>
                <w:rFonts w:ascii="Calibri" w:eastAsia="Calibri" w:hAnsi="Calibri" w:cs="Times New Roman"/>
                <w:sz w:val="18"/>
                <w:szCs w:val="18"/>
              </w:rPr>
              <w:t>Community Events: Iconic &amp; Community Events</w:t>
            </w:r>
          </w:p>
        </w:tc>
        <w:tc>
          <w:tcPr>
            <w:tcW w:w="3636" w:type="dxa"/>
            <w:shd w:val="clear" w:color="auto" w:fill="auto"/>
          </w:tcPr>
          <w:p w14:paraId="7098EBF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Number of community events held.</w:t>
            </w:r>
          </w:p>
          <w:p w14:paraId="35A187C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p>
        </w:tc>
        <w:tc>
          <w:tcPr>
            <w:tcW w:w="847" w:type="dxa"/>
            <w:shd w:val="clear" w:color="auto" w:fill="auto"/>
          </w:tcPr>
          <w:p w14:paraId="10E37CF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023D0F9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30</w:t>
            </w:r>
          </w:p>
        </w:tc>
        <w:tc>
          <w:tcPr>
            <w:tcW w:w="761" w:type="dxa"/>
            <w:shd w:val="clear" w:color="auto" w:fill="auto"/>
          </w:tcPr>
          <w:p w14:paraId="7B8C6FE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55AE769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w:t>
            </w:r>
          </w:p>
        </w:tc>
        <w:tc>
          <w:tcPr>
            <w:tcW w:w="709" w:type="dxa"/>
          </w:tcPr>
          <w:p w14:paraId="210794AF" w14:textId="77777777" w:rsidR="007371C6" w:rsidRPr="00F06E45" w:rsidRDefault="007371C6" w:rsidP="00F06E45">
            <w:pPr>
              <w:rPr>
                <w:rFonts w:eastAsia="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83840" behindDoc="1" locked="0" layoutInCell="1" allowOverlap="1" wp14:anchorId="392715B6" wp14:editId="2B78BB30">
                  <wp:simplePos x="0" y="0"/>
                  <wp:positionH relativeFrom="column">
                    <wp:posOffset>3175</wp:posOffset>
                  </wp:positionH>
                  <wp:positionV relativeFrom="paragraph">
                    <wp:posOffset>64226</wp:posOffset>
                  </wp:positionV>
                  <wp:extent cx="203835" cy="145415"/>
                  <wp:effectExtent l="0" t="0" r="5715" b="6985"/>
                  <wp:wrapTight wrapText="bothSides">
                    <wp:wrapPolygon edited="0">
                      <wp:start x="0" y="0"/>
                      <wp:lineTo x="0" y="19808"/>
                      <wp:lineTo x="20187" y="19808"/>
                      <wp:lineTo x="201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shd w:val="clear" w:color="auto" w:fill="auto"/>
          </w:tcPr>
          <w:p w14:paraId="3ADFC8A7"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000000" w:themeColor="text1"/>
                <w:sz w:val="16"/>
                <w:szCs w:val="16"/>
              </w:rPr>
            </w:pPr>
            <w:r w:rsidRPr="00F06E45">
              <w:rPr>
                <w:rFonts w:ascii="Calibri" w:eastAsia="Calibri" w:hAnsi="Calibri" w:cs="Times New Roman"/>
                <w:color w:val="000000" w:themeColor="text1"/>
                <w:sz w:val="16"/>
                <w:szCs w:val="16"/>
              </w:rPr>
              <w:t>Community events during the 1st quarter included: Childers Festival (including Opera by the Lake, Isis Mill Tour &amp; Heritage Bus Tour); Cane to Coral; Bundaberg Multicultural Festival &amp; Bundy Flavours Festival (including Culinary Workshops, Farm Flavours Picnic &amp; Sponsors Function).</w:t>
            </w:r>
          </w:p>
        </w:tc>
      </w:tr>
      <w:tr w:rsidR="007371C6" w:rsidRPr="00F06E45" w14:paraId="31DAB060" w14:textId="77777777" w:rsidTr="00063500">
        <w:trPr>
          <w:trHeight w:val="1454"/>
        </w:trPr>
        <w:tc>
          <w:tcPr>
            <w:tcW w:w="1134" w:type="dxa"/>
            <w:shd w:val="clear" w:color="auto" w:fill="auto"/>
          </w:tcPr>
          <w:p w14:paraId="3F8474A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Community Development</w:t>
            </w:r>
          </w:p>
        </w:tc>
        <w:tc>
          <w:tcPr>
            <w:tcW w:w="2694" w:type="dxa"/>
            <w:shd w:val="clear" w:color="auto" w:fill="auto"/>
          </w:tcPr>
          <w:p w14:paraId="577B88B9"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8"/>
                <w:szCs w:val="18"/>
              </w:rPr>
              <w:t xml:space="preserve">Social Development Action Plan </w:t>
            </w:r>
          </w:p>
        </w:tc>
        <w:tc>
          <w:tcPr>
            <w:tcW w:w="3636" w:type="dxa"/>
            <w:shd w:val="clear" w:color="auto" w:fill="auto"/>
          </w:tcPr>
          <w:p w14:paraId="3939168C"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Number of Social Actions addressed.  There are a total of 23 Actions to be implemented over a 3 year period. Priorities include: Safeguarding our wellbeing; Connecting our community; Enhancing our affordable and quality lifestyle and Celebrating our diversity.</w:t>
            </w:r>
          </w:p>
        </w:tc>
        <w:tc>
          <w:tcPr>
            <w:tcW w:w="847" w:type="dxa"/>
            <w:shd w:val="clear" w:color="auto" w:fill="auto"/>
          </w:tcPr>
          <w:p w14:paraId="5E22BD9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75CF532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w:t>
            </w:r>
          </w:p>
        </w:tc>
        <w:tc>
          <w:tcPr>
            <w:tcW w:w="761" w:type="dxa"/>
            <w:shd w:val="clear" w:color="auto" w:fill="auto"/>
          </w:tcPr>
          <w:p w14:paraId="2DB67D4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4CEFD7F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w:t>
            </w:r>
          </w:p>
        </w:tc>
        <w:tc>
          <w:tcPr>
            <w:tcW w:w="709" w:type="dxa"/>
          </w:tcPr>
          <w:p w14:paraId="283DF9A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84864" behindDoc="1" locked="0" layoutInCell="1" allowOverlap="1" wp14:anchorId="51B1F2A2" wp14:editId="32B614A8">
                  <wp:simplePos x="0" y="0"/>
                  <wp:positionH relativeFrom="column">
                    <wp:posOffset>-24130</wp:posOffset>
                  </wp:positionH>
                  <wp:positionV relativeFrom="paragraph">
                    <wp:posOffset>182</wp:posOffset>
                  </wp:positionV>
                  <wp:extent cx="226695" cy="161290"/>
                  <wp:effectExtent l="0" t="0" r="1905" b="0"/>
                  <wp:wrapTight wrapText="bothSides">
                    <wp:wrapPolygon edited="0">
                      <wp:start x="0" y="0"/>
                      <wp:lineTo x="0" y="17858"/>
                      <wp:lineTo x="19966" y="17858"/>
                      <wp:lineTo x="199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695" cy="161290"/>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shd w:val="clear" w:color="auto" w:fill="auto"/>
          </w:tcPr>
          <w:p w14:paraId="6C9F2EFE"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000000" w:themeColor="text1"/>
                <w:sz w:val="16"/>
                <w:szCs w:val="16"/>
              </w:rPr>
            </w:pPr>
            <w:r w:rsidRPr="00F06E45">
              <w:rPr>
                <w:rFonts w:ascii="Calibri" w:eastAsia="Calibri" w:hAnsi="Calibri" w:cs="Times New Roman"/>
                <w:color w:val="000000" w:themeColor="text1"/>
                <w:sz w:val="16"/>
                <w:szCs w:val="16"/>
              </w:rPr>
              <w:t>Significant activities this quarter included (1) Working in partnership with the Disability Sector for Options Day; (2) the Bundaberg Student Futures Forum; (3) the Golden Sneaker Team (Walking) Challenge - 18 teams entered; and (4) the Stress Connection Program, which was delivered at Booyal State School- the Principal, staff and students were very happy with the program.</w:t>
            </w:r>
          </w:p>
        </w:tc>
      </w:tr>
      <w:tr w:rsidR="007371C6" w:rsidRPr="00F06E45" w14:paraId="263F0E00" w14:textId="77777777" w:rsidTr="00063500">
        <w:trPr>
          <w:trHeight w:val="1020"/>
        </w:trPr>
        <w:tc>
          <w:tcPr>
            <w:tcW w:w="1134" w:type="dxa"/>
            <w:shd w:val="clear" w:color="auto" w:fill="auto"/>
          </w:tcPr>
          <w:p w14:paraId="2DAD0E2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Community Care</w:t>
            </w:r>
          </w:p>
        </w:tc>
        <w:tc>
          <w:tcPr>
            <w:tcW w:w="2694" w:type="dxa"/>
            <w:shd w:val="clear" w:color="auto" w:fill="auto"/>
          </w:tcPr>
          <w:p w14:paraId="63046EEA"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8"/>
                <w:szCs w:val="18"/>
              </w:rPr>
              <w:t xml:space="preserve">Children &amp; Family Support Programs  </w:t>
            </w:r>
          </w:p>
        </w:tc>
        <w:tc>
          <w:tcPr>
            <w:tcW w:w="3636" w:type="dxa"/>
            <w:shd w:val="clear" w:color="auto" w:fill="auto"/>
          </w:tcPr>
          <w:p w14:paraId="3C20002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Percentage programs are demonstrating compliance with standards &amp; meeting funding targets. Programs include: Neighbourhood Centres; Outside School Hours Care; Resource and Toy Libraries; Community Workshops and Playgroups.</w:t>
            </w:r>
          </w:p>
        </w:tc>
        <w:tc>
          <w:tcPr>
            <w:tcW w:w="847" w:type="dxa"/>
            <w:shd w:val="clear" w:color="auto" w:fill="auto"/>
          </w:tcPr>
          <w:p w14:paraId="32B3407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 98%</w:t>
            </w:r>
          </w:p>
        </w:tc>
        <w:tc>
          <w:tcPr>
            <w:tcW w:w="761" w:type="dxa"/>
            <w:shd w:val="clear" w:color="auto" w:fill="auto"/>
          </w:tcPr>
          <w:p w14:paraId="21BC328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4BEC1C9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25%</w:t>
            </w:r>
          </w:p>
        </w:tc>
        <w:tc>
          <w:tcPr>
            <w:tcW w:w="709" w:type="dxa"/>
          </w:tcPr>
          <w:p w14:paraId="3C11D71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4256" behindDoc="1" locked="0" layoutInCell="1" allowOverlap="1" wp14:anchorId="0E4348C7" wp14:editId="464BA24E">
                  <wp:simplePos x="0" y="0"/>
                  <wp:positionH relativeFrom="column">
                    <wp:posOffset>3810</wp:posOffset>
                  </wp:positionH>
                  <wp:positionV relativeFrom="paragraph">
                    <wp:posOffset>130810</wp:posOffset>
                  </wp:positionV>
                  <wp:extent cx="226695" cy="161290"/>
                  <wp:effectExtent l="0" t="0" r="1905" b="0"/>
                  <wp:wrapTight wrapText="bothSides">
                    <wp:wrapPolygon edited="0">
                      <wp:start x="0" y="0"/>
                      <wp:lineTo x="0" y="17858"/>
                      <wp:lineTo x="19966" y="17858"/>
                      <wp:lineTo x="19966"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695" cy="161290"/>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shd w:val="clear" w:color="auto" w:fill="auto"/>
          </w:tcPr>
          <w:p w14:paraId="1375B8CB"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000000" w:themeColor="text1"/>
                <w:sz w:val="16"/>
                <w:szCs w:val="16"/>
              </w:rPr>
            </w:pPr>
            <w:r w:rsidRPr="00F06E45">
              <w:rPr>
                <w:rFonts w:ascii="Calibri" w:eastAsia="Calibri" w:hAnsi="Calibri" w:cs="Times New Roman"/>
                <w:color w:val="000000" w:themeColor="text1"/>
                <w:sz w:val="16"/>
                <w:szCs w:val="16"/>
              </w:rPr>
              <w:t xml:space="preserve">The </w:t>
            </w:r>
            <w:r w:rsidRPr="00F06E45">
              <w:rPr>
                <w:rFonts w:ascii="Calibri" w:eastAsia="Calibri" w:hAnsi="Calibri" w:cs="Times New Roman"/>
                <w:i/>
                <w:color w:val="000000" w:themeColor="text1"/>
                <w:sz w:val="16"/>
                <w:szCs w:val="16"/>
              </w:rPr>
              <w:t>Outside School Hours Care</w:t>
            </w:r>
            <w:r w:rsidRPr="00F06E45">
              <w:rPr>
                <w:rFonts w:ascii="Calibri" w:eastAsia="Calibri" w:hAnsi="Calibri" w:cs="Times New Roman"/>
                <w:color w:val="000000" w:themeColor="text1"/>
                <w:sz w:val="16"/>
                <w:szCs w:val="16"/>
              </w:rPr>
              <w:t xml:space="preserve"> and </w:t>
            </w:r>
            <w:r w:rsidRPr="00F06E45">
              <w:rPr>
                <w:rFonts w:ascii="Calibri" w:eastAsia="Calibri" w:hAnsi="Calibri" w:cs="Times New Roman"/>
                <w:i/>
                <w:color w:val="000000" w:themeColor="text1"/>
                <w:sz w:val="16"/>
                <w:szCs w:val="16"/>
              </w:rPr>
              <w:t>Child and Family Support Program</w:t>
            </w:r>
            <w:r w:rsidRPr="00F06E45">
              <w:rPr>
                <w:rFonts w:ascii="Calibri" w:eastAsia="Calibri" w:hAnsi="Calibri" w:cs="Times New Roman"/>
                <w:color w:val="000000" w:themeColor="text1"/>
                <w:sz w:val="16"/>
                <w:szCs w:val="16"/>
              </w:rPr>
              <w:t xml:space="preserve"> are meeting all obligations under agreements. New agreements for each program have been signed. </w:t>
            </w:r>
          </w:p>
        </w:tc>
      </w:tr>
      <w:tr w:rsidR="007371C6" w:rsidRPr="00F06E45" w14:paraId="2CD9A18F" w14:textId="77777777" w:rsidTr="00063500">
        <w:trPr>
          <w:trHeight w:val="1034"/>
        </w:trPr>
        <w:tc>
          <w:tcPr>
            <w:tcW w:w="1134" w:type="dxa"/>
            <w:tcBorders>
              <w:bottom w:val="single" w:sz="18" w:space="0" w:color="E36C0A"/>
            </w:tcBorders>
            <w:shd w:val="clear" w:color="auto" w:fill="auto"/>
          </w:tcPr>
          <w:p w14:paraId="5C08F01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Community Care</w:t>
            </w:r>
          </w:p>
        </w:tc>
        <w:tc>
          <w:tcPr>
            <w:tcW w:w="2694" w:type="dxa"/>
            <w:tcBorders>
              <w:bottom w:val="single" w:sz="18" w:space="0" w:color="E36C0A"/>
            </w:tcBorders>
            <w:shd w:val="clear" w:color="auto" w:fill="auto"/>
          </w:tcPr>
          <w:p w14:paraId="5DEE7C63"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8"/>
                <w:szCs w:val="18"/>
              </w:rPr>
              <w:t>Home &amp; Community Care Services (Isis, South Kolan and Gracie Dixon)</w:t>
            </w:r>
          </w:p>
          <w:p w14:paraId="2126D55B" w14:textId="77777777" w:rsidR="007371C6" w:rsidRPr="00F06E45" w:rsidRDefault="007371C6" w:rsidP="00F06E45">
            <w:pPr>
              <w:rPr>
                <w:rFonts w:ascii="Calibri" w:eastAsia="Calibri" w:hAnsi="Calibri" w:cs="Times New Roman"/>
                <w:sz w:val="18"/>
                <w:szCs w:val="18"/>
              </w:rPr>
            </w:pPr>
          </w:p>
        </w:tc>
        <w:tc>
          <w:tcPr>
            <w:tcW w:w="3636" w:type="dxa"/>
            <w:tcBorders>
              <w:bottom w:val="single" w:sz="18" w:space="0" w:color="E36C0A"/>
            </w:tcBorders>
            <w:shd w:val="clear" w:color="auto" w:fill="auto"/>
          </w:tcPr>
          <w:p w14:paraId="69D3D36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sz w:val="18"/>
                <w:szCs w:val="18"/>
              </w:rPr>
            </w:pPr>
            <w:r w:rsidRPr="00F06E45">
              <w:rPr>
                <w:rFonts w:ascii="Calibri" w:eastAsia="Calibri" w:hAnsi="Calibri" w:cs="Times New Roman"/>
                <w:sz w:val="18"/>
                <w:szCs w:val="18"/>
              </w:rPr>
              <w:t>Percentage services are demonstrating compliance with standards &amp; meeting funding targets. Services include: transport; home maintenance; domestic cleaning; in-home respite; social support; centre-based respite; personal care and meals.</w:t>
            </w:r>
          </w:p>
        </w:tc>
        <w:tc>
          <w:tcPr>
            <w:tcW w:w="847" w:type="dxa"/>
            <w:tcBorders>
              <w:bottom w:val="single" w:sz="18" w:space="0" w:color="E36C0A"/>
            </w:tcBorders>
            <w:shd w:val="clear" w:color="auto" w:fill="auto"/>
          </w:tcPr>
          <w:p w14:paraId="7E62245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618ABC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98%</w:t>
            </w:r>
          </w:p>
        </w:tc>
        <w:tc>
          <w:tcPr>
            <w:tcW w:w="761" w:type="dxa"/>
            <w:tcBorders>
              <w:bottom w:val="single" w:sz="18" w:space="0" w:color="E36C0A"/>
            </w:tcBorders>
            <w:shd w:val="clear" w:color="auto" w:fill="auto"/>
          </w:tcPr>
          <w:p w14:paraId="4B8264C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646119A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w:t>
            </w:r>
          </w:p>
        </w:tc>
        <w:tc>
          <w:tcPr>
            <w:tcW w:w="709" w:type="dxa"/>
            <w:tcBorders>
              <w:bottom w:val="single" w:sz="18" w:space="0" w:color="E36C0A"/>
            </w:tcBorders>
          </w:tcPr>
          <w:p w14:paraId="7C231DEC" w14:textId="77777777" w:rsidR="007371C6" w:rsidRPr="00F06E45" w:rsidRDefault="007371C6" w:rsidP="00F06E45">
            <w:pPr>
              <w:rPr>
                <w:rFonts w:ascii="Calibri" w:eastAsia="Calibri" w:hAnsi="Calibri" w:cs="Times New Roman"/>
                <w:i/>
                <w:sz w:val="16"/>
                <w:szCs w:val="16"/>
              </w:rPr>
            </w:pPr>
            <w:r w:rsidRPr="00F06E45">
              <w:rPr>
                <w:rFonts w:cs="Aharoni"/>
                <w:noProof/>
                <w:color w:val="1F4E79" w:themeColor="accent1" w:themeShade="80"/>
                <w:sz w:val="20"/>
                <w:szCs w:val="20"/>
                <w:lang w:eastAsia="en-AU"/>
              </w:rPr>
              <w:drawing>
                <wp:anchor distT="0" distB="0" distL="114300" distR="114300" simplePos="0" relativeHeight="251745280" behindDoc="1" locked="0" layoutInCell="1" allowOverlap="1" wp14:anchorId="5E9E6406" wp14:editId="7D702446">
                  <wp:simplePos x="0" y="0"/>
                  <wp:positionH relativeFrom="column">
                    <wp:posOffset>3810</wp:posOffset>
                  </wp:positionH>
                  <wp:positionV relativeFrom="paragraph">
                    <wp:posOffset>127635</wp:posOffset>
                  </wp:positionV>
                  <wp:extent cx="226695" cy="161290"/>
                  <wp:effectExtent l="0" t="0" r="1905" b="0"/>
                  <wp:wrapTight wrapText="bothSides">
                    <wp:wrapPolygon edited="0">
                      <wp:start x="0" y="0"/>
                      <wp:lineTo x="0" y="17858"/>
                      <wp:lineTo x="19966" y="17858"/>
                      <wp:lineTo x="1996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695" cy="161290"/>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Borders>
              <w:bottom w:val="single" w:sz="18" w:space="0" w:color="E36C0A"/>
            </w:tcBorders>
            <w:shd w:val="clear" w:color="auto" w:fill="auto"/>
          </w:tcPr>
          <w:p w14:paraId="6A3FCE48" w14:textId="77777777" w:rsidR="007371C6" w:rsidRPr="00F06E45" w:rsidRDefault="007371C6" w:rsidP="00F06E45">
            <w:pPr>
              <w:tabs>
                <w:tab w:val="left" w:pos="3828"/>
                <w:tab w:val="left" w:pos="7513"/>
                <w:tab w:val="left" w:pos="8505"/>
                <w:tab w:val="left" w:pos="9072"/>
                <w:tab w:val="left" w:pos="9214"/>
                <w:tab w:val="left" w:pos="9923"/>
              </w:tabs>
              <w:ind w:left="-108"/>
              <w:rPr>
                <w:rFonts w:ascii="Calibri" w:eastAsia="Calibri" w:hAnsi="Calibri" w:cs="Times New Roman"/>
                <w:color w:val="000000" w:themeColor="text1"/>
                <w:sz w:val="16"/>
                <w:szCs w:val="16"/>
              </w:rPr>
            </w:pPr>
            <w:r w:rsidRPr="00F06E45">
              <w:rPr>
                <w:rFonts w:ascii="Calibri" w:eastAsia="Calibri" w:hAnsi="Calibri" w:cs="Times New Roman"/>
                <w:color w:val="000000" w:themeColor="text1"/>
                <w:sz w:val="16"/>
                <w:szCs w:val="16"/>
              </w:rPr>
              <w:t>All obligation are being met under each of the funding areas, both the Commonwealth and State. Some capacity exists in some programs for both under and over 65's</w:t>
            </w:r>
          </w:p>
        </w:tc>
      </w:tr>
    </w:tbl>
    <w:p w14:paraId="3417B907" w14:textId="77777777" w:rsidR="007371C6" w:rsidRPr="00F06E45" w:rsidRDefault="007371C6" w:rsidP="00F06E45">
      <w:pPr>
        <w:rPr>
          <w:rFonts w:ascii="Times New Roman" w:eastAsia="Calibri" w:hAnsi="Times New Roman" w:cs="Times New Roman"/>
          <w:sz w:val="28"/>
          <w:szCs w:val="28"/>
        </w:rPr>
      </w:pPr>
    </w:p>
    <w:p w14:paraId="0D21FF5D" w14:textId="77777777" w:rsidR="007371C6" w:rsidRPr="00F06E45" w:rsidRDefault="007371C6" w:rsidP="00F06E45">
      <w:pPr>
        <w:spacing w:after="0" w:line="240" w:lineRule="auto"/>
        <w:ind w:left="-108"/>
        <w:rPr>
          <w:rFonts w:ascii="Times New Roman" w:eastAsia="Calibri" w:hAnsi="Times New Roman" w:cs="Times New Roman"/>
          <w:sz w:val="28"/>
          <w:szCs w:val="28"/>
        </w:rPr>
      </w:pPr>
      <w:r w:rsidRPr="00F06E45">
        <w:rPr>
          <w:rFonts w:ascii="Times New Roman" w:eastAsia="Calibri" w:hAnsi="Times New Roman" w:cs="Times New Roman"/>
          <w:sz w:val="28"/>
          <w:szCs w:val="28"/>
        </w:rPr>
        <w:t xml:space="preserve"> </w:t>
      </w:r>
    </w:p>
    <w:p w14:paraId="6C4E40A4" w14:textId="77777777" w:rsidR="007371C6" w:rsidRPr="00F06E45" w:rsidRDefault="007371C6" w:rsidP="00F06E45">
      <w:pPr>
        <w:tabs>
          <w:tab w:val="left" w:pos="890"/>
        </w:tabs>
        <w:rPr>
          <w:rFonts w:ascii="Times New Roman" w:eastAsia="Calibri" w:hAnsi="Times New Roman" w:cs="Times New Roman"/>
          <w:sz w:val="28"/>
          <w:szCs w:val="28"/>
        </w:rPr>
        <w:sectPr w:rsidR="007371C6" w:rsidRPr="00F06E45"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sz w:val="28"/>
          <w:szCs w:val="28"/>
        </w:rPr>
        <w:tab/>
        <w:t xml:space="preserve"> </w:t>
      </w:r>
    </w:p>
    <w:p w14:paraId="1112B3B7" w14:textId="77777777" w:rsidR="007371C6" w:rsidRPr="00F06E45" w:rsidRDefault="007371C6" w:rsidP="00F06E45">
      <w:pPr>
        <w:tabs>
          <w:tab w:val="left" w:pos="1456"/>
        </w:tabs>
        <w:rPr>
          <w:rFonts w:ascii="Times New Roman" w:eastAsia="Calibri" w:hAnsi="Times New Roman" w:cs="Times New Roman"/>
          <w:sz w:val="28"/>
          <w:szCs w:val="28"/>
        </w:rPr>
      </w:pPr>
    </w:p>
    <w:p w14:paraId="158528C2"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E36C0A"/>
          <w:sz w:val="28"/>
          <w:szCs w:val="28"/>
        </w:rPr>
        <w:t>A connected community, full of life</w:t>
      </w:r>
      <w:r w:rsidRPr="00F06E45">
        <w:rPr>
          <w:rFonts w:ascii="Times New Roman" w:eastAsia="Calibri" w:hAnsi="Times New Roman" w:cs="Times New Roman"/>
          <w:b/>
        </w:rPr>
        <w:t xml:space="preserve"> </w:t>
      </w:r>
      <w:r w:rsidRPr="00F06E45">
        <w:rPr>
          <w:rFonts w:ascii="Times New Roman" w:eastAsia="Calibri" w:hAnsi="Times New Roman" w:cs="Times New Roman"/>
          <w:b/>
        </w:rPr>
        <w:tab/>
      </w:r>
      <w:r w:rsidRPr="00F06E45">
        <w:rPr>
          <w:rFonts w:ascii="Times New Roman" w:eastAsia="Calibri" w:hAnsi="Times New Roman" w:cs="Times New Roman"/>
          <w:b/>
        </w:rPr>
        <w:tab/>
      </w:r>
      <w:r w:rsidRPr="00F06E45">
        <w:rPr>
          <w:rFonts w:ascii="Times New Roman" w:eastAsia="Calibri" w:hAnsi="Times New Roman" w:cs="Times New Roman"/>
          <w:b/>
        </w:rPr>
        <w:tab/>
      </w:r>
      <w:r w:rsidRPr="00F06E45">
        <w:rPr>
          <w:rFonts w:ascii="Times New Roman" w:eastAsia="Calibri" w:hAnsi="Times New Roman" w:cs="Times New Roman"/>
          <w:b/>
        </w:rPr>
        <w:tab/>
        <w:t xml:space="preserve">             safeguarding our wellbeing, connecting our community, enhancing our quality lifestyle</w:t>
      </w:r>
    </w:p>
    <w:tbl>
      <w:tblPr>
        <w:tblStyle w:val="TableGrid1"/>
        <w:tblpPr w:leftFromText="180" w:rightFromText="180" w:vertAnchor="text" w:horzAnchor="margin" w:tblpY="9"/>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694"/>
        <w:gridCol w:w="3685"/>
        <w:gridCol w:w="851"/>
        <w:gridCol w:w="708"/>
        <w:gridCol w:w="709"/>
        <w:gridCol w:w="236"/>
        <w:gridCol w:w="236"/>
        <w:gridCol w:w="236"/>
        <w:gridCol w:w="3858"/>
        <w:gridCol w:w="1246"/>
      </w:tblGrid>
      <w:tr w:rsidR="007371C6" w:rsidRPr="00F06E45" w14:paraId="3987F19D" w14:textId="77777777" w:rsidTr="00063500">
        <w:trPr>
          <w:trHeight w:val="258"/>
        </w:trPr>
        <w:tc>
          <w:tcPr>
            <w:tcW w:w="15593" w:type="dxa"/>
            <w:gridSpan w:val="11"/>
            <w:tcBorders>
              <w:top w:val="single" w:sz="18" w:space="0" w:color="E36C0A"/>
              <w:bottom w:val="single" w:sz="18" w:space="0" w:color="E36C0A"/>
            </w:tcBorders>
            <w:shd w:val="clear" w:color="auto" w:fill="F4B083" w:themeFill="accent2" w:themeFillTint="99"/>
          </w:tcPr>
          <w:p w14:paraId="3079539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1.2 Equitable access to adequate services and well maintained facilities</w:t>
            </w:r>
          </w:p>
        </w:tc>
      </w:tr>
      <w:tr w:rsidR="007371C6" w:rsidRPr="00F06E45" w14:paraId="34E9E093" w14:textId="77777777" w:rsidTr="00063500">
        <w:trPr>
          <w:trHeight w:val="258"/>
        </w:trPr>
        <w:tc>
          <w:tcPr>
            <w:tcW w:w="15593" w:type="dxa"/>
            <w:gridSpan w:val="11"/>
            <w:tcBorders>
              <w:top w:val="single" w:sz="18" w:space="0" w:color="E36C0A"/>
              <w:bottom w:val="single" w:sz="18" w:space="0" w:color="E36C0A"/>
            </w:tcBorders>
          </w:tcPr>
          <w:p w14:paraId="2F4CEB4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1.2.1 Plan, provide and maintain or facilitate a range of leisure, physical activity and recreation services and facilities to help meet basic community needs </w:t>
            </w:r>
          </w:p>
        </w:tc>
      </w:tr>
      <w:tr w:rsidR="007371C6" w:rsidRPr="00F06E45" w14:paraId="10CAD69E" w14:textId="77777777" w:rsidTr="00063500">
        <w:trPr>
          <w:trHeight w:val="258"/>
        </w:trPr>
        <w:tc>
          <w:tcPr>
            <w:tcW w:w="1134" w:type="dxa"/>
            <w:tcBorders>
              <w:top w:val="single" w:sz="18" w:space="0" w:color="E36C0A"/>
            </w:tcBorders>
            <w:shd w:val="clear" w:color="auto" w:fill="auto"/>
          </w:tcPr>
          <w:p w14:paraId="0B59379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shd w:val="clear" w:color="auto" w:fill="auto"/>
          </w:tcPr>
          <w:p w14:paraId="78B5E9E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E36C0A"/>
            </w:tcBorders>
            <w:shd w:val="clear" w:color="auto" w:fill="auto"/>
          </w:tcPr>
          <w:p w14:paraId="75DA30A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51" w:type="dxa"/>
            <w:tcBorders>
              <w:top w:val="single" w:sz="18" w:space="0" w:color="E36C0A"/>
            </w:tcBorders>
            <w:shd w:val="clear" w:color="auto" w:fill="auto"/>
          </w:tcPr>
          <w:p w14:paraId="4E8987A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tcBorders>
              <w:top w:val="single" w:sz="18" w:space="0" w:color="E36C0A"/>
            </w:tcBorders>
            <w:shd w:val="clear" w:color="auto" w:fill="auto"/>
          </w:tcPr>
          <w:p w14:paraId="0D25FDC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05860C5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5"/>
            <w:tcBorders>
              <w:top w:val="single" w:sz="18" w:space="0" w:color="E36C0A"/>
            </w:tcBorders>
            <w:shd w:val="clear" w:color="auto" w:fill="auto"/>
          </w:tcPr>
          <w:p w14:paraId="02945D4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75345F44" w14:textId="77777777" w:rsidTr="00063500">
        <w:trPr>
          <w:trHeight w:val="740"/>
        </w:trPr>
        <w:tc>
          <w:tcPr>
            <w:tcW w:w="1134" w:type="dxa"/>
            <w:shd w:val="clear" w:color="auto" w:fill="auto"/>
          </w:tcPr>
          <w:p w14:paraId="509827D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Community  Development </w:t>
            </w:r>
          </w:p>
        </w:tc>
        <w:tc>
          <w:tcPr>
            <w:tcW w:w="2694" w:type="dxa"/>
            <w:shd w:val="clear" w:color="auto" w:fill="auto"/>
          </w:tcPr>
          <w:p w14:paraId="783E508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Venues &amp;  Facilities: Maintenance</w:t>
            </w:r>
          </w:p>
        </w:tc>
        <w:tc>
          <w:tcPr>
            <w:tcW w:w="3685" w:type="dxa"/>
            <w:shd w:val="clear" w:color="auto" w:fill="auto"/>
          </w:tcPr>
          <w:p w14:paraId="09A445E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capital and maintenance projects completed.</w:t>
            </w:r>
          </w:p>
          <w:p w14:paraId="7E1B6ABD" w14:textId="77777777" w:rsidR="007371C6" w:rsidRPr="00F06E45" w:rsidRDefault="007371C6" w:rsidP="00F06E45">
            <w:pPr>
              <w:ind w:left="-108"/>
              <w:rPr>
                <w:rFonts w:ascii="Calibri" w:eastAsia="Calibri" w:hAnsi="Calibri" w:cs="Times New Roman"/>
                <w:sz w:val="18"/>
                <w:szCs w:val="18"/>
              </w:rPr>
            </w:pPr>
          </w:p>
        </w:tc>
        <w:tc>
          <w:tcPr>
            <w:tcW w:w="851" w:type="dxa"/>
            <w:shd w:val="clear" w:color="auto" w:fill="auto"/>
          </w:tcPr>
          <w:p w14:paraId="7CDAC61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6FEEAD9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8" w:type="dxa"/>
            <w:shd w:val="clear" w:color="auto" w:fill="auto"/>
          </w:tcPr>
          <w:p w14:paraId="32861AC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5DBD07B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23%</w:t>
            </w:r>
          </w:p>
        </w:tc>
        <w:tc>
          <w:tcPr>
            <w:tcW w:w="709" w:type="dxa"/>
          </w:tcPr>
          <w:p w14:paraId="37DD309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8352" behindDoc="1" locked="0" layoutInCell="1" allowOverlap="1" wp14:anchorId="522C996C" wp14:editId="1406B827">
                  <wp:simplePos x="0" y="0"/>
                  <wp:positionH relativeFrom="column">
                    <wp:posOffset>3810</wp:posOffset>
                  </wp:positionH>
                  <wp:positionV relativeFrom="paragraph">
                    <wp:posOffset>127635</wp:posOffset>
                  </wp:positionV>
                  <wp:extent cx="203835" cy="145415"/>
                  <wp:effectExtent l="0" t="0" r="5715" b="6985"/>
                  <wp:wrapTight wrapText="bothSides">
                    <wp:wrapPolygon edited="0">
                      <wp:start x="0" y="0"/>
                      <wp:lineTo x="0" y="19808"/>
                      <wp:lineTo x="20187" y="19808"/>
                      <wp:lineTo x="2018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5"/>
            <w:shd w:val="clear" w:color="auto" w:fill="auto"/>
          </w:tcPr>
          <w:p w14:paraId="3B9E3DD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Capital and Maintenance Projects for the quarter included the installation the new Grandstand at the Bundaberg Recreational Precinct; installation of air conditioning in the School of Arts Building (1G) and Elliott Heads Holiday Park Cabins, and various swimming pool and community hall maintenance projects.</w:t>
            </w:r>
          </w:p>
          <w:p w14:paraId="40B830C9"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307367FA" w14:textId="77777777" w:rsidTr="00063500">
        <w:trPr>
          <w:trHeight w:val="757"/>
        </w:trPr>
        <w:tc>
          <w:tcPr>
            <w:tcW w:w="1134" w:type="dxa"/>
            <w:shd w:val="clear" w:color="auto" w:fill="auto"/>
          </w:tcPr>
          <w:p w14:paraId="7537A22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Community Care </w:t>
            </w:r>
          </w:p>
          <w:p w14:paraId="72545BC0" w14:textId="77777777" w:rsidR="007371C6" w:rsidRPr="00F06E45" w:rsidRDefault="007371C6" w:rsidP="00F06E45">
            <w:pPr>
              <w:ind w:left="-108"/>
              <w:rPr>
                <w:rFonts w:ascii="Calibri" w:eastAsia="Calibri" w:hAnsi="Calibri" w:cs="Times New Roman"/>
                <w:sz w:val="18"/>
                <w:szCs w:val="18"/>
              </w:rPr>
            </w:pPr>
          </w:p>
        </w:tc>
        <w:tc>
          <w:tcPr>
            <w:tcW w:w="2694" w:type="dxa"/>
            <w:shd w:val="clear" w:color="auto" w:fill="auto"/>
          </w:tcPr>
          <w:p w14:paraId="2950CDC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Senior’s Housing (68 units)</w:t>
            </w:r>
          </w:p>
          <w:p w14:paraId="1BF272CE" w14:textId="77777777" w:rsidR="007371C6" w:rsidRPr="00F06E45" w:rsidRDefault="007371C6" w:rsidP="00F06E45">
            <w:pPr>
              <w:ind w:left="-108"/>
              <w:rPr>
                <w:rFonts w:ascii="Calibri" w:eastAsia="Calibri" w:hAnsi="Calibri" w:cs="Times New Roman"/>
                <w:sz w:val="18"/>
                <w:szCs w:val="18"/>
              </w:rPr>
            </w:pPr>
          </w:p>
        </w:tc>
        <w:tc>
          <w:tcPr>
            <w:tcW w:w="3685" w:type="dxa"/>
            <w:shd w:val="clear" w:color="auto" w:fill="auto"/>
          </w:tcPr>
          <w:p w14:paraId="3F2B0ED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services are demonstrating compliance with standards &amp; meeting funding targets.</w:t>
            </w:r>
          </w:p>
        </w:tc>
        <w:tc>
          <w:tcPr>
            <w:tcW w:w="851" w:type="dxa"/>
            <w:shd w:val="clear" w:color="auto" w:fill="auto"/>
          </w:tcPr>
          <w:p w14:paraId="71E45AC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607BE2A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98%</w:t>
            </w:r>
          </w:p>
        </w:tc>
        <w:tc>
          <w:tcPr>
            <w:tcW w:w="708" w:type="dxa"/>
            <w:shd w:val="clear" w:color="auto" w:fill="auto"/>
          </w:tcPr>
          <w:p w14:paraId="0BB40B4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1520482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25%</w:t>
            </w:r>
          </w:p>
        </w:tc>
        <w:tc>
          <w:tcPr>
            <w:tcW w:w="709" w:type="dxa"/>
          </w:tcPr>
          <w:p w14:paraId="127CD8F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6304" behindDoc="1" locked="0" layoutInCell="1" allowOverlap="1" wp14:anchorId="60D36391" wp14:editId="289FA2BF">
                  <wp:simplePos x="0" y="0"/>
                  <wp:positionH relativeFrom="column">
                    <wp:posOffset>3810</wp:posOffset>
                  </wp:positionH>
                  <wp:positionV relativeFrom="paragraph">
                    <wp:posOffset>131445</wp:posOffset>
                  </wp:positionV>
                  <wp:extent cx="203835" cy="145415"/>
                  <wp:effectExtent l="0" t="0" r="5715" b="6985"/>
                  <wp:wrapTight wrapText="bothSides">
                    <wp:wrapPolygon edited="0">
                      <wp:start x="0" y="0"/>
                      <wp:lineTo x="0" y="19808"/>
                      <wp:lineTo x="20187" y="19808"/>
                      <wp:lineTo x="20187"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5"/>
            <w:shd w:val="clear" w:color="auto" w:fill="auto"/>
          </w:tcPr>
          <w:p w14:paraId="5A9C1235"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 xml:space="preserve">Occupancy rates continue to be ‘high’ to ‘capacity’. All obligations under standards and service agreements are being met.  </w:t>
            </w:r>
          </w:p>
        </w:tc>
      </w:tr>
      <w:tr w:rsidR="007371C6" w:rsidRPr="00F06E45" w14:paraId="6F5A6932" w14:textId="77777777" w:rsidTr="00063500">
        <w:trPr>
          <w:trHeight w:val="998"/>
        </w:trPr>
        <w:tc>
          <w:tcPr>
            <w:tcW w:w="1134" w:type="dxa"/>
            <w:shd w:val="clear" w:color="auto" w:fill="auto"/>
          </w:tcPr>
          <w:p w14:paraId="5668AAC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Parks, Sport &amp; Natural Areas</w:t>
            </w:r>
          </w:p>
        </w:tc>
        <w:tc>
          <w:tcPr>
            <w:tcW w:w="2694" w:type="dxa"/>
            <w:shd w:val="clear" w:color="auto" w:fill="auto"/>
          </w:tcPr>
          <w:p w14:paraId="086D512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Parks: Maintenance: Meeting agreed service standards</w:t>
            </w:r>
          </w:p>
        </w:tc>
        <w:tc>
          <w:tcPr>
            <w:tcW w:w="3685" w:type="dxa"/>
            <w:shd w:val="clear" w:color="auto" w:fill="auto"/>
          </w:tcPr>
          <w:p w14:paraId="64CF982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service levels have been met. Services include: cleaning and inspections of playgrounds, boat ramps, toilet facilitates and BBQs, and mowing and edging of grass.</w:t>
            </w:r>
          </w:p>
        </w:tc>
        <w:tc>
          <w:tcPr>
            <w:tcW w:w="851" w:type="dxa"/>
            <w:shd w:val="clear" w:color="auto" w:fill="auto"/>
          </w:tcPr>
          <w:p w14:paraId="0B0D704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85% </w:t>
            </w:r>
          </w:p>
        </w:tc>
        <w:tc>
          <w:tcPr>
            <w:tcW w:w="708" w:type="dxa"/>
            <w:shd w:val="clear" w:color="auto" w:fill="auto"/>
          </w:tcPr>
          <w:p w14:paraId="1D9938A6" w14:textId="77777777" w:rsidR="007371C6" w:rsidRPr="00F06E45" w:rsidRDefault="007371C6" w:rsidP="00F06E45">
            <w:pPr>
              <w:rPr>
                <w:rFonts w:ascii="Calibri" w:eastAsia="Calibri" w:hAnsi="Calibri" w:cs="Times New Roman"/>
                <w:sz w:val="16"/>
                <w:szCs w:val="16"/>
              </w:rPr>
            </w:pPr>
          </w:p>
          <w:p w14:paraId="1A1EFE8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60%</w:t>
            </w:r>
          </w:p>
        </w:tc>
        <w:tc>
          <w:tcPr>
            <w:tcW w:w="709" w:type="dxa"/>
          </w:tcPr>
          <w:p w14:paraId="3216C8FF"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1968" behindDoc="1" locked="0" layoutInCell="1" allowOverlap="1" wp14:anchorId="0F33308A" wp14:editId="39D9C59F">
                  <wp:simplePos x="0" y="0"/>
                  <wp:positionH relativeFrom="column">
                    <wp:posOffset>1905</wp:posOffset>
                  </wp:positionH>
                  <wp:positionV relativeFrom="paragraph">
                    <wp:posOffset>125095</wp:posOffset>
                  </wp:positionV>
                  <wp:extent cx="203835" cy="145415"/>
                  <wp:effectExtent l="0" t="0" r="5715" b="6985"/>
                  <wp:wrapTight wrapText="bothSides">
                    <wp:wrapPolygon edited="0">
                      <wp:start x="0" y="0"/>
                      <wp:lineTo x="0" y="19808"/>
                      <wp:lineTo x="20187" y="19808"/>
                      <wp:lineTo x="20187"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5"/>
            <w:shd w:val="clear" w:color="auto" w:fill="auto"/>
          </w:tcPr>
          <w:p w14:paraId="2F29BD9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usual service levels in relation to mowing have not been required this quarter due to dry weather conditions limiting grass growth. Maintenance crews have been able been able to focus on other maintenance work such as cleaning and repairs. Revision of Parks’ Service Levels will be occurring later this financial year and ways to accurately reflect the quality as well of the frequency of services delivered by Parks will be considered. </w:t>
            </w:r>
          </w:p>
        </w:tc>
      </w:tr>
      <w:tr w:rsidR="007371C6" w:rsidRPr="00F06E45" w14:paraId="7EF073D8" w14:textId="77777777" w:rsidTr="00063500">
        <w:trPr>
          <w:trHeight w:val="258"/>
        </w:trPr>
        <w:tc>
          <w:tcPr>
            <w:tcW w:w="15593" w:type="dxa"/>
            <w:gridSpan w:val="11"/>
            <w:tcBorders>
              <w:top w:val="single" w:sz="18" w:space="0" w:color="E36C0A"/>
              <w:bottom w:val="single" w:sz="18" w:space="0" w:color="E36C0A"/>
            </w:tcBorders>
          </w:tcPr>
          <w:p w14:paraId="7A82973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1.2.2 Advocate for such services and facilities with other government and private sector stakeholders</w:t>
            </w:r>
          </w:p>
        </w:tc>
      </w:tr>
      <w:tr w:rsidR="007371C6" w:rsidRPr="00F06E45" w14:paraId="37DEB74E" w14:textId="77777777" w:rsidTr="00063500">
        <w:trPr>
          <w:trHeight w:val="258"/>
        </w:trPr>
        <w:tc>
          <w:tcPr>
            <w:tcW w:w="1134" w:type="dxa"/>
            <w:shd w:val="clear" w:color="auto" w:fill="auto"/>
          </w:tcPr>
          <w:p w14:paraId="6999155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694" w:type="dxa"/>
            <w:shd w:val="clear" w:color="auto" w:fill="auto"/>
          </w:tcPr>
          <w:p w14:paraId="30D4656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shd w:val="clear" w:color="auto" w:fill="auto"/>
          </w:tcPr>
          <w:p w14:paraId="5F43D0A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shd w:val="clear" w:color="auto" w:fill="auto"/>
          </w:tcPr>
          <w:p w14:paraId="47A775A6"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shd w:val="clear" w:color="auto" w:fill="auto"/>
          </w:tcPr>
          <w:p w14:paraId="7E592DE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Pr>
          <w:p w14:paraId="3E42030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5"/>
            <w:shd w:val="clear" w:color="auto" w:fill="auto"/>
          </w:tcPr>
          <w:p w14:paraId="057A175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626E0616" w14:textId="77777777" w:rsidTr="00063500">
        <w:trPr>
          <w:trHeight w:val="668"/>
        </w:trPr>
        <w:tc>
          <w:tcPr>
            <w:tcW w:w="1134" w:type="dxa"/>
            <w:tcBorders>
              <w:bottom w:val="single" w:sz="18" w:space="0" w:color="E36C0A"/>
            </w:tcBorders>
            <w:shd w:val="clear" w:color="auto" w:fill="auto"/>
          </w:tcPr>
          <w:p w14:paraId="762AFC7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Parks, Sport &amp; Natural Areas</w:t>
            </w:r>
          </w:p>
        </w:tc>
        <w:tc>
          <w:tcPr>
            <w:tcW w:w="2694" w:type="dxa"/>
            <w:tcBorders>
              <w:bottom w:val="single" w:sz="18" w:space="0" w:color="E36C0A"/>
            </w:tcBorders>
            <w:shd w:val="clear" w:color="auto" w:fill="auto"/>
          </w:tcPr>
          <w:p w14:paraId="6A24F00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Sport: Youth Representatives &amp; Sport Organisations </w:t>
            </w:r>
          </w:p>
        </w:tc>
        <w:tc>
          <w:tcPr>
            <w:tcW w:w="3685" w:type="dxa"/>
            <w:tcBorders>
              <w:bottom w:val="single" w:sz="18" w:space="0" w:color="E36C0A"/>
            </w:tcBorders>
            <w:shd w:val="clear" w:color="auto" w:fill="auto"/>
          </w:tcPr>
          <w:p w14:paraId="2618DB0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successful grants applications in support of individual sportspeople &amp; sport organisations.</w:t>
            </w:r>
          </w:p>
        </w:tc>
        <w:tc>
          <w:tcPr>
            <w:tcW w:w="851" w:type="dxa"/>
            <w:tcBorders>
              <w:bottom w:val="single" w:sz="18" w:space="0" w:color="E36C0A"/>
            </w:tcBorders>
            <w:shd w:val="clear" w:color="auto" w:fill="auto"/>
          </w:tcPr>
          <w:p w14:paraId="2297E5B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3853E06A"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20</w:t>
            </w:r>
          </w:p>
        </w:tc>
        <w:tc>
          <w:tcPr>
            <w:tcW w:w="708" w:type="dxa"/>
            <w:tcBorders>
              <w:bottom w:val="single" w:sz="18" w:space="0" w:color="E36C0A"/>
            </w:tcBorders>
            <w:shd w:val="clear" w:color="auto" w:fill="auto"/>
          </w:tcPr>
          <w:p w14:paraId="04D51AED" w14:textId="77777777" w:rsidR="007371C6" w:rsidRPr="00F06E45" w:rsidRDefault="007371C6" w:rsidP="00F06E45">
            <w:pPr>
              <w:rPr>
                <w:rFonts w:ascii="Calibri" w:eastAsia="Calibri" w:hAnsi="Calibri" w:cs="Times New Roman"/>
                <w:sz w:val="16"/>
                <w:szCs w:val="16"/>
              </w:rPr>
            </w:pPr>
          </w:p>
          <w:p w14:paraId="7E76B67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21</w:t>
            </w:r>
          </w:p>
        </w:tc>
        <w:tc>
          <w:tcPr>
            <w:tcW w:w="709" w:type="dxa"/>
            <w:tcBorders>
              <w:bottom w:val="single" w:sz="18" w:space="0" w:color="E36C0A"/>
            </w:tcBorders>
          </w:tcPr>
          <w:p w14:paraId="2B42A7D5"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7328" behindDoc="1" locked="0" layoutInCell="1" allowOverlap="1" wp14:anchorId="727F3408" wp14:editId="14FC1DDB">
                  <wp:simplePos x="0" y="0"/>
                  <wp:positionH relativeFrom="column">
                    <wp:posOffset>3810</wp:posOffset>
                  </wp:positionH>
                  <wp:positionV relativeFrom="paragraph">
                    <wp:posOffset>129540</wp:posOffset>
                  </wp:positionV>
                  <wp:extent cx="203835" cy="145415"/>
                  <wp:effectExtent l="0" t="0" r="5715" b="6985"/>
                  <wp:wrapTight wrapText="bothSides">
                    <wp:wrapPolygon edited="0">
                      <wp:start x="0" y="0"/>
                      <wp:lineTo x="0" y="19808"/>
                      <wp:lineTo x="20187" y="19808"/>
                      <wp:lineTo x="2018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5"/>
            <w:tcBorders>
              <w:bottom w:val="single" w:sz="18" w:space="0" w:color="E36C0A"/>
            </w:tcBorders>
            <w:shd w:val="clear" w:color="auto" w:fill="auto"/>
          </w:tcPr>
          <w:p w14:paraId="372D5DA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There were 21 successful </w:t>
            </w:r>
            <w:r w:rsidRPr="00F06E45">
              <w:rPr>
                <w:rFonts w:ascii="Calibri" w:eastAsia="Calibri" w:hAnsi="Calibri" w:cs="Times New Roman"/>
                <w:i/>
                <w:sz w:val="16"/>
                <w:szCs w:val="16"/>
              </w:rPr>
              <w:t xml:space="preserve">Young People in Sport </w:t>
            </w:r>
            <w:r w:rsidRPr="00F06E45">
              <w:rPr>
                <w:rFonts w:ascii="Calibri" w:eastAsia="Calibri" w:hAnsi="Calibri" w:cs="Times New Roman"/>
                <w:sz w:val="16"/>
                <w:szCs w:val="16"/>
              </w:rPr>
              <w:t xml:space="preserve">applications this quarter. A number of enquiries relating to the </w:t>
            </w:r>
            <w:r w:rsidRPr="00F06E45">
              <w:rPr>
                <w:rFonts w:ascii="Calibri" w:eastAsia="Calibri" w:hAnsi="Calibri" w:cs="Times New Roman"/>
                <w:i/>
                <w:sz w:val="16"/>
                <w:szCs w:val="16"/>
              </w:rPr>
              <w:t>Sport Championships Funding Program</w:t>
            </w:r>
            <w:r w:rsidRPr="00F06E45">
              <w:rPr>
                <w:rFonts w:ascii="Calibri" w:eastAsia="Calibri" w:hAnsi="Calibri" w:cs="Times New Roman"/>
                <w:sz w:val="16"/>
                <w:szCs w:val="16"/>
              </w:rPr>
              <w:t xml:space="preserve"> were also made by sporting organisations this quarter, which may result in applications next quarter. </w:t>
            </w:r>
          </w:p>
        </w:tc>
      </w:tr>
      <w:tr w:rsidR="007371C6" w:rsidRPr="00F06E45" w14:paraId="55F67A68" w14:textId="77777777" w:rsidTr="00063500">
        <w:trPr>
          <w:trHeight w:val="213"/>
        </w:trPr>
        <w:tc>
          <w:tcPr>
            <w:tcW w:w="15593" w:type="dxa"/>
            <w:gridSpan w:val="11"/>
            <w:tcBorders>
              <w:top w:val="single" w:sz="18" w:space="0" w:color="E36C0A"/>
              <w:bottom w:val="single" w:sz="18" w:space="0" w:color="E36C0A"/>
            </w:tcBorders>
            <w:shd w:val="clear" w:color="auto" w:fill="F4B083" w:themeFill="accent2" w:themeFillTint="99"/>
          </w:tcPr>
          <w:p w14:paraId="31EC6BF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1.3 A culture of learning</w:t>
            </w:r>
            <w:r w:rsidRPr="00F06E45">
              <w:rPr>
                <w:rFonts w:ascii="Calibri" w:eastAsia="Calibri" w:hAnsi="Calibri" w:cs="Times New Roman"/>
                <w:b/>
                <w:sz w:val="20"/>
                <w:szCs w:val="20"/>
              </w:rPr>
              <w:t xml:space="preserve"> </w:t>
            </w:r>
          </w:p>
        </w:tc>
      </w:tr>
      <w:tr w:rsidR="007371C6" w:rsidRPr="00F06E45" w14:paraId="2BD5280D" w14:textId="77777777" w:rsidTr="00063500">
        <w:trPr>
          <w:trHeight w:val="187"/>
        </w:trPr>
        <w:tc>
          <w:tcPr>
            <w:tcW w:w="15593" w:type="dxa"/>
            <w:gridSpan w:val="11"/>
            <w:tcBorders>
              <w:top w:val="single" w:sz="18" w:space="0" w:color="E36C0A"/>
              <w:bottom w:val="single" w:sz="18" w:space="0" w:color="E36C0A"/>
            </w:tcBorders>
          </w:tcPr>
          <w:p w14:paraId="6BC2D0E7" w14:textId="77777777" w:rsidR="007371C6" w:rsidRPr="00F06E45" w:rsidRDefault="007371C6" w:rsidP="00F06E45">
            <w:pPr>
              <w:ind w:left="-108"/>
              <w:rPr>
                <w:b/>
                <w:sz w:val="18"/>
                <w:szCs w:val="18"/>
              </w:rPr>
            </w:pPr>
            <w:r w:rsidRPr="00F06E45">
              <w:rPr>
                <w:rFonts w:ascii="Calibri" w:eastAsia="Calibri" w:hAnsi="Calibri" w:cs="Times New Roman"/>
                <w:b/>
                <w:sz w:val="18"/>
                <w:szCs w:val="18"/>
              </w:rPr>
              <w:t>Strategy 1.3.1 Plan and advocate for a better quality of life for the community through facilitating learning opportunities for the community</w:t>
            </w:r>
            <w:r w:rsidRPr="00F06E45">
              <w:rPr>
                <w:b/>
                <w:sz w:val="18"/>
                <w:szCs w:val="18"/>
              </w:rPr>
              <w:t xml:space="preserve">  </w:t>
            </w:r>
          </w:p>
        </w:tc>
      </w:tr>
      <w:tr w:rsidR="007371C6" w:rsidRPr="00F06E45" w14:paraId="08889239" w14:textId="77777777" w:rsidTr="00063500">
        <w:trPr>
          <w:trHeight w:val="178"/>
        </w:trPr>
        <w:tc>
          <w:tcPr>
            <w:tcW w:w="1134" w:type="dxa"/>
            <w:tcBorders>
              <w:top w:val="single" w:sz="18" w:space="0" w:color="E36C0A"/>
            </w:tcBorders>
            <w:shd w:val="clear" w:color="auto" w:fill="auto"/>
          </w:tcPr>
          <w:p w14:paraId="2B6E578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Department </w:t>
            </w:r>
          </w:p>
        </w:tc>
        <w:tc>
          <w:tcPr>
            <w:tcW w:w="2694" w:type="dxa"/>
            <w:tcBorders>
              <w:top w:val="single" w:sz="18" w:space="0" w:color="E36C0A"/>
            </w:tcBorders>
            <w:shd w:val="clear" w:color="auto" w:fill="auto"/>
          </w:tcPr>
          <w:p w14:paraId="4321E4D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E36C0A"/>
            </w:tcBorders>
            <w:shd w:val="clear" w:color="auto" w:fill="auto"/>
          </w:tcPr>
          <w:p w14:paraId="0653CD9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Indicators</w:t>
            </w:r>
          </w:p>
        </w:tc>
        <w:tc>
          <w:tcPr>
            <w:tcW w:w="851" w:type="dxa"/>
            <w:tcBorders>
              <w:top w:val="single" w:sz="18" w:space="0" w:color="E36C0A"/>
            </w:tcBorders>
            <w:shd w:val="clear" w:color="auto" w:fill="auto"/>
          </w:tcPr>
          <w:p w14:paraId="5801EA86"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tcBorders>
              <w:top w:val="single" w:sz="18" w:space="0" w:color="E36C0A"/>
            </w:tcBorders>
            <w:shd w:val="clear" w:color="auto" w:fill="auto"/>
          </w:tcPr>
          <w:p w14:paraId="5C8EEF0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shd w:val="clear" w:color="auto" w:fill="auto"/>
          </w:tcPr>
          <w:p w14:paraId="7274729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5"/>
            <w:tcBorders>
              <w:top w:val="single" w:sz="18" w:space="0" w:color="E36C0A"/>
            </w:tcBorders>
            <w:shd w:val="clear" w:color="auto" w:fill="auto"/>
          </w:tcPr>
          <w:p w14:paraId="785C507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292C4AC" w14:textId="77777777" w:rsidTr="00063500">
        <w:trPr>
          <w:trHeight w:val="1554"/>
        </w:trPr>
        <w:tc>
          <w:tcPr>
            <w:tcW w:w="1134" w:type="dxa"/>
            <w:tcBorders>
              <w:bottom w:val="single" w:sz="18" w:space="0" w:color="E36C0A"/>
            </w:tcBorders>
            <w:shd w:val="clear" w:color="auto" w:fill="auto"/>
          </w:tcPr>
          <w:p w14:paraId="7A5E3AD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p w14:paraId="0C045BC5" w14:textId="77777777" w:rsidR="007371C6" w:rsidRPr="00F06E45" w:rsidRDefault="007371C6" w:rsidP="00F06E45">
            <w:pPr>
              <w:ind w:left="-108"/>
              <w:rPr>
                <w:rFonts w:ascii="Calibri" w:eastAsia="Calibri" w:hAnsi="Calibri" w:cs="Times New Roman"/>
                <w:sz w:val="18"/>
                <w:szCs w:val="18"/>
              </w:rPr>
            </w:pPr>
          </w:p>
        </w:tc>
        <w:tc>
          <w:tcPr>
            <w:tcW w:w="2694" w:type="dxa"/>
            <w:tcBorders>
              <w:bottom w:val="single" w:sz="18" w:space="0" w:color="E36C0A"/>
            </w:tcBorders>
            <w:shd w:val="clear" w:color="auto" w:fill="auto"/>
          </w:tcPr>
          <w:p w14:paraId="1E414C3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Community Connectivity: Digital Literacy</w:t>
            </w:r>
          </w:p>
        </w:tc>
        <w:tc>
          <w:tcPr>
            <w:tcW w:w="3685" w:type="dxa"/>
            <w:tcBorders>
              <w:bottom w:val="single" w:sz="18" w:space="0" w:color="E36C0A"/>
            </w:tcBorders>
            <w:shd w:val="clear" w:color="auto" w:fill="auto"/>
          </w:tcPr>
          <w:p w14:paraId="4A16986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participants in our Digital Literacy programs.</w:t>
            </w:r>
          </w:p>
          <w:p w14:paraId="5FE26663" w14:textId="77777777" w:rsidR="007371C6" w:rsidRPr="00F06E45" w:rsidRDefault="007371C6" w:rsidP="00F06E45">
            <w:pPr>
              <w:ind w:left="-108"/>
              <w:rPr>
                <w:rFonts w:ascii="Calibri" w:eastAsia="Calibri" w:hAnsi="Calibri" w:cs="Times New Roman"/>
                <w:sz w:val="18"/>
                <w:szCs w:val="18"/>
              </w:rPr>
            </w:pPr>
          </w:p>
        </w:tc>
        <w:tc>
          <w:tcPr>
            <w:tcW w:w="851" w:type="dxa"/>
            <w:tcBorders>
              <w:bottom w:val="single" w:sz="18" w:space="0" w:color="E36C0A"/>
            </w:tcBorders>
            <w:shd w:val="clear" w:color="auto" w:fill="auto"/>
          </w:tcPr>
          <w:p w14:paraId="0B7EC72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19ABA95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8" w:type="dxa"/>
            <w:tcBorders>
              <w:bottom w:val="single" w:sz="18" w:space="0" w:color="E36C0A"/>
            </w:tcBorders>
            <w:shd w:val="clear" w:color="auto" w:fill="auto"/>
          </w:tcPr>
          <w:p w14:paraId="698C5DF2" w14:textId="77777777" w:rsidR="007371C6" w:rsidRPr="00F06E45" w:rsidRDefault="007371C6" w:rsidP="00F06E45">
            <w:pPr>
              <w:rPr>
                <w:rFonts w:ascii="Calibri" w:eastAsia="Calibri" w:hAnsi="Calibri" w:cs="Times New Roman"/>
                <w:sz w:val="16"/>
                <w:szCs w:val="16"/>
              </w:rPr>
            </w:pPr>
          </w:p>
          <w:p w14:paraId="48FD09F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9" w:type="dxa"/>
            <w:tcBorders>
              <w:bottom w:val="single" w:sz="18" w:space="0" w:color="E36C0A"/>
            </w:tcBorders>
            <w:shd w:val="clear" w:color="auto" w:fill="auto"/>
          </w:tcPr>
          <w:p w14:paraId="2E744F01"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49376" behindDoc="1" locked="0" layoutInCell="1" allowOverlap="1" wp14:anchorId="27121348" wp14:editId="7B7A77E3">
                  <wp:simplePos x="0" y="0"/>
                  <wp:positionH relativeFrom="column">
                    <wp:posOffset>3175</wp:posOffset>
                  </wp:positionH>
                  <wp:positionV relativeFrom="paragraph">
                    <wp:posOffset>128270</wp:posOffset>
                  </wp:positionV>
                  <wp:extent cx="203835" cy="145415"/>
                  <wp:effectExtent l="0" t="0" r="5715" b="6985"/>
                  <wp:wrapTight wrapText="bothSides">
                    <wp:wrapPolygon edited="0">
                      <wp:start x="0" y="0"/>
                      <wp:lineTo x="0" y="19808"/>
                      <wp:lineTo x="20187" y="19808"/>
                      <wp:lineTo x="2018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5"/>
            <w:tcBorders>
              <w:bottom w:val="single" w:sz="18" w:space="0" w:color="E36C0A"/>
            </w:tcBorders>
            <w:shd w:val="clear" w:color="auto" w:fill="auto"/>
          </w:tcPr>
          <w:p w14:paraId="3F07A005"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color w:val="000000" w:themeColor="text1"/>
                <w:sz w:val="16"/>
                <w:szCs w:val="16"/>
              </w:rPr>
              <w:t xml:space="preserve">Technology lessons are offered at Bundaberg Library on a regular basis and at Childers Library on an as-needed basis. The tablet classes (iPad and Android) continue to be our most popular, with attendance at the other classes waning as is the normal pattern for the second half of the year. The popularity of our Tech Takeout sessions is dependent upon the topic being discussed. However, our </w:t>
            </w:r>
            <w:r w:rsidRPr="00F06E45">
              <w:rPr>
                <w:rFonts w:ascii="Calibri" w:eastAsia="Calibri" w:hAnsi="Calibri" w:cs="Times New Roman"/>
                <w:i/>
                <w:color w:val="000000" w:themeColor="text1"/>
                <w:sz w:val="16"/>
                <w:szCs w:val="16"/>
              </w:rPr>
              <w:t>Scratch-coding Lessons</w:t>
            </w:r>
            <w:r w:rsidRPr="00F06E45">
              <w:rPr>
                <w:rFonts w:ascii="Calibri" w:eastAsia="Calibri" w:hAnsi="Calibri" w:cs="Times New Roman"/>
                <w:color w:val="000000" w:themeColor="text1"/>
                <w:sz w:val="16"/>
                <w:szCs w:val="16"/>
              </w:rPr>
              <w:t>, taught by a volunteer tutor during school terms, continue to be well attended, and we anticipate this will continue, as coding is expected to enter the school curriculum in the near future.</w:t>
            </w:r>
          </w:p>
        </w:tc>
      </w:tr>
      <w:tr w:rsidR="007371C6" w:rsidRPr="00F06E45" w14:paraId="6CE027B5" w14:textId="77777777" w:rsidTr="00063500">
        <w:trPr>
          <w:trHeight w:val="250"/>
        </w:trPr>
        <w:tc>
          <w:tcPr>
            <w:tcW w:w="15593" w:type="dxa"/>
            <w:gridSpan w:val="11"/>
            <w:tcBorders>
              <w:top w:val="single" w:sz="18" w:space="0" w:color="E36C0A"/>
              <w:bottom w:val="single" w:sz="18" w:space="0" w:color="E36C0A"/>
            </w:tcBorders>
            <w:shd w:val="clear" w:color="auto" w:fill="auto"/>
          </w:tcPr>
          <w:p w14:paraId="738FC0B0" w14:textId="77777777" w:rsidR="007371C6" w:rsidRPr="00F06E45" w:rsidRDefault="007371C6" w:rsidP="00F06E45">
            <w:pPr>
              <w:ind w:left="-108"/>
            </w:pPr>
            <w:r w:rsidRPr="00F06E45">
              <w:rPr>
                <w:rFonts w:ascii="Calibri" w:eastAsia="Calibri" w:hAnsi="Calibri" w:cs="Times New Roman"/>
                <w:b/>
                <w:sz w:val="18"/>
                <w:szCs w:val="18"/>
              </w:rPr>
              <w:t xml:space="preserve">Strategy 1.3.3 Use our libraries as key resource centres and agents for promoting the value of life-long learning for our community   </w:t>
            </w:r>
          </w:p>
        </w:tc>
      </w:tr>
      <w:tr w:rsidR="007371C6" w:rsidRPr="00F06E45" w14:paraId="7163DF13" w14:textId="77777777" w:rsidTr="00063500">
        <w:trPr>
          <w:trHeight w:val="29"/>
        </w:trPr>
        <w:tc>
          <w:tcPr>
            <w:tcW w:w="1134" w:type="dxa"/>
            <w:tcBorders>
              <w:top w:val="single" w:sz="18" w:space="0" w:color="E36C0A"/>
            </w:tcBorders>
            <w:shd w:val="clear" w:color="auto" w:fill="auto"/>
          </w:tcPr>
          <w:p w14:paraId="6E6029B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694" w:type="dxa"/>
            <w:tcBorders>
              <w:top w:val="single" w:sz="18" w:space="0" w:color="E36C0A"/>
            </w:tcBorders>
            <w:shd w:val="clear" w:color="auto" w:fill="auto"/>
          </w:tcPr>
          <w:p w14:paraId="7A2C242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E36C0A"/>
            </w:tcBorders>
            <w:shd w:val="clear" w:color="auto" w:fill="auto"/>
          </w:tcPr>
          <w:p w14:paraId="0A7480B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E36C0A"/>
            </w:tcBorders>
            <w:shd w:val="clear" w:color="auto" w:fill="auto"/>
          </w:tcPr>
          <w:p w14:paraId="327B4A3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tcBorders>
              <w:top w:val="single" w:sz="18" w:space="0" w:color="E36C0A"/>
            </w:tcBorders>
            <w:shd w:val="clear" w:color="auto" w:fill="auto"/>
          </w:tcPr>
          <w:p w14:paraId="3EDA25D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shd w:val="clear" w:color="auto" w:fill="auto"/>
          </w:tcPr>
          <w:p w14:paraId="51EACCD3"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5"/>
            <w:tcBorders>
              <w:top w:val="single" w:sz="18" w:space="0" w:color="E36C0A"/>
            </w:tcBorders>
            <w:shd w:val="clear" w:color="auto" w:fill="auto"/>
          </w:tcPr>
          <w:p w14:paraId="37C0901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1C9FDD9" w14:textId="77777777" w:rsidTr="00063500">
        <w:trPr>
          <w:trHeight w:val="29"/>
        </w:trPr>
        <w:tc>
          <w:tcPr>
            <w:tcW w:w="1134" w:type="dxa"/>
            <w:tcBorders>
              <w:bottom w:val="single" w:sz="18" w:space="0" w:color="E36C0A"/>
            </w:tcBorders>
            <w:shd w:val="clear" w:color="auto" w:fill="auto"/>
          </w:tcPr>
          <w:p w14:paraId="1F71C24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Libraries, Arts &amp; Theatre </w:t>
            </w:r>
          </w:p>
        </w:tc>
        <w:tc>
          <w:tcPr>
            <w:tcW w:w="2694" w:type="dxa"/>
            <w:tcBorders>
              <w:bottom w:val="single" w:sz="18" w:space="0" w:color="E36C0A"/>
            </w:tcBorders>
            <w:shd w:val="clear" w:color="auto" w:fill="auto"/>
          </w:tcPr>
          <w:p w14:paraId="6A36163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Community Services: Library Usage</w:t>
            </w:r>
          </w:p>
        </w:tc>
        <w:tc>
          <w:tcPr>
            <w:tcW w:w="3685" w:type="dxa"/>
            <w:tcBorders>
              <w:bottom w:val="single" w:sz="18" w:space="0" w:color="E36C0A"/>
            </w:tcBorders>
            <w:shd w:val="clear" w:color="auto" w:fill="auto"/>
          </w:tcPr>
          <w:p w14:paraId="3800588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patrons using our libraries.</w:t>
            </w:r>
          </w:p>
        </w:tc>
        <w:tc>
          <w:tcPr>
            <w:tcW w:w="851" w:type="dxa"/>
            <w:tcBorders>
              <w:bottom w:val="single" w:sz="18" w:space="0" w:color="E36C0A"/>
            </w:tcBorders>
            <w:shd w:val="clear" w:color="auto" w:fill="auto"/>
          </w:tcPr>
          <w:p w14:paraId="00515DF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4C8E3FD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75,000</w:t>
            </w:r>
          </w:p>
        </w:tc>
        <w:tc>
          <w:tcPr>
            <w:tcW w:w="708" w:type="dxa"/>
            <w:tcBorders>
              <w:bottom w:val="single" w:sz="18" w:space="0" w:color="E36C0A"/>
            </w:tcBorders>
            <w:shd w:val="clear" w:color="auto" w:fill="auto"/>
          </w:tcPr>
          <w:p w14:paraId="08341206" w14:textId="77777777" w:rsidR="007371C6" w:rsidRPr="00F06E45" w:rsidRDefault="007371C6" w:rsidP="00F06E45">
            <w:pPr>
              <w:rPr>
                <w:rFonts w:ascii="Calibri" w:eastAsia="Calibri" w:hAnsi="Calibri" w:cs="Times New Roman"/>
                <w:sz w:val="12"/>
                <w:szCs w:val="12"/>
              </w:rPr>
            </w:pPr>
            <w:r w:rsidRPr="00F06E45">
              <w:rPr>
                <w:rFonts w:ascii="Calibri" w:eastAsia="Calibri" w:hAnsi="Calibri" w:cs="Times New Roman"/>
                <w:sz w:val="12"/>
                <w:szCs w:val="12"/>
              </w:rPr>
              <w:t xml:space="preserve">Estimate </w:t>
            </w:r>
          </w:p>
          <w:p w14:paraId="50A415C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64,488</w:t>
            </w:r>
          </w:p>
          <w:p w14:paraId="41E4EDA1" w14:textId="77777777" w:rsidR="007371C6" w:rsidRPr="00F06E45" w:rsidRDefault="007371C6" w:rsidP="00F06E45">
            <w:pPr>
              <w:rPr>
                <w:rFonts w:ascii="Calibri" w:eastAsia="Calibri" w:hAnsi="Calibri" w:cs="Times New Roman"/>
                <w:sz w:val="16"/>
                <w:szCs w:val="16"/>
              </w:rPr>
            </w:pPr>
          </w:p>
        </w:tc>
        <w:tc>
          <w:tcPr>
            <w:tcW w:w="709" w:type="dxa"/>
            <w:tcBorders>
              <w:bottom w:val="single" w:sz="18" w:space="0" w:color="E36C0A"/>
            </w:tcBorders>
            <w:shd w:val="clear" w:color="auto" w:fill="auto"/>
          </w:tcPr>
          <w:p w14:paraId="067D0E03"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52448" behindDoc="1" locked="0" layoutInCell="1" allowOverlap="1" wp14:anchorId="24562B4A" wp14:editId="18C7780C">
                  <wp:simplePos x="0" y="0"/>
                  <wp:positionH relativeFrom="column">
                    <wp:posOffset>1905</wp:posOffset>
                  </wp:positionH>
                  <wp:positionV relativeFrom="paragraph">
                    <wp:posOffset>120650</wp:posOffset>
                  </wp:positionV>
                  <wp:extent cx="203835" cy="145415"/>
                  <wp:effectExtent l="0" t="0" r="5715" b="6985"/>
                  <wp:wrapTight wrapText="bothSides">
                    <wp:wrapPolygon edited="0">
                      <wp:start x="0" y="0"/>
                      <wp:lineTo x="0" y="19808"/>
                      <wp:lineTo x="20187" y="19808"/>
                      <wp:lineTo x="20187"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5"/>
            <w:tcBorders>
              <w:bottom w:val="single" w:sz="18" w:space="0" w:color="E36C0A"/>
            </w:tcBorders>
            <w:shd w:val="clear" w:color="auto" w:fill="auto"/>
          </w:tcPr>
          <w:p w14:paraId="068F386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figure is an estimate of how many patrons are visiting each of our facilities, based on the figures from the last September quarter. The IT department has removed our people counters and has been investigating replacements for the facilities for some months, so we have not been able to keep actual figures this quarter.</w:t>
            </w:r>
          </w:p>
          <w:p w14:paraId="3F725F97" w14:textId="77777777" w:rsidR="007371C6" w:rsidRPr="00F06E45" w:rsidRDefault="007371C6" w:rsidP="00F06E45">
            <w:pPr>
              <w:rPr>
                <w:rFonts w:ascii="Calibri" w:eastAsia="Calibri" w:hAnsi="Calibri" w:cs="Times New Roman"/>
                <w:sz w:val="16"/>
                <w:szCs w:val="16"/>
              </w:rPr>
            </w:pPr>
          </w:p>
        </w:tc>
      </w:tr>
      <w:tr w:rsidR="007371C6" w:rsidRPr="00F06E45" w14:paraId="0DBD4CF8" w14:textId="77777777" w:rsidTr="00063500">
        <w:trPr>
          <w:gridAfter w:val="1"/>
          <w:wAfter w:w="1246" w:type="dxa"/>
          <w:trHeight w:val="258"/>
        </w:trPr>
        <w:tc>
          <w:tcPr>
            <w:tcW w:w="1134" w:type="dxa"/>
          </w:tcPr>
          <w:p w14:paraId="5D1C2713" w14:textId="77777777" w:rsidR="007371C6" w:rsidRPr="00F06E45" w:rsidRDefault="007371C6" w:rsidP="00F06E45">
            <w:pPr>
              <w:rPr>
                <w:rFonts w:ascii="Calibri" w:eastAsia="Calibri" w:hAnsi="Calibri" w:cs="Times New Roman"/>
                <w:sz w:val="18"/>
                <w:szCs w:val="18"/>
              </w:rPr>
            </w:pPr>
          </w:p>
        </w:tc>
        <w:tc>
          <w:tcPr>
            <w:tcW w:w="2694" w:type="dxa"/>
          </w:tcPr>
          <w:p w14:paraId="1C13FB6A" w14:textId="77777777" w:rsidR="007371C6" w:rsidRPr="00F06E45" w:rsidRDefault="007371C6" w:rsidP="00F06E45">
            <w:pPr>
              <w:rPr>
                <w:rFonts w:ascii="Calibri" w:eastAsia="Calibri" w:hAnsi="Calibri" w:cs="Times New Roman"/>
                <w:sz w:val="18"/>
                <w:szCs w:val="18"/>
              </w:rPr>
            </w:pPr>
          </w:p>
        </w:tc>
        <w:tc>
          <w:tcPr>
            <w:tcW w:w="5953" w:type="dxa"/>
            <w:gridSpan w:val="4"/>
          </w:tcPr>
          <w:p w14:paraId="45A0E07B" w14:textId="77777777" w:rsidR="007371C6" w:rsidRPr="00F06E45" w:rsidRDefault="007371C6" w:rsidP="00F06E45">
            <w:pPr>
              <w:rPr>
                <w:rFonts w:ascii="Calibri" w:eastAsia="Calibri" w:hAnsi="Calibri" w:cs="Times New Roman"/>
                <w:sz w:val="18"/>
                <w:szCs w:val="18"/>
              </w:rPr>
            </w:pPr>
          </w:p>
        </w:tc>
        <w:tc>
          <w:tcPr>
            <w:tcW w:w="236" w:type="dxa"/>
          </w:tcPr>
          <w:p w14:paraId="47D0B9C2" w14:textId="77777777" w:rsidR="007371C6" w:rsidRPr="00F06E45" w:rsidRDefault="007371C6" w:rsidP="00F06E45">
            <w:pPr>
              <w:rPr>
                <w:rFonts w:ascii="Calibri" w:eastAsia="Calibri" w:hAnsi="Calibri" w:cs="Times New Roman"/>
                <w:sz w:val="16"/>
                <w:szCs w:val="16"/>
              </w:rPr>
            </w:pPr>
          </w:p>
        </w:tc>
        <w:tc>
          <w:tcPr>
            <w:tcW w:w="236" w:type="dxa"/>
          </w:tcPr>
          <w:p w14:paraId="2D73109C" w14:textId="77777777" w:rsidR="007371C6" w:rsidRPr="00F06E45" w:rsidRDefault="007371C6" w:rsidP="00F06E45">
            <w:pPr>
              <w:rPr>
                <w:rFonts w:ascii="Calibri" w:eastAsia="Calibri" w:hAnsi="Calibri" w:cs="Times New Roman"/>
                <w:sz w:val="16"/>
                <w:szCs w:val="16"/>
              </w:rPr>
            </w:pPr>
          </w:p>
        </w:tc>
        <w:tc>
          <w:tcPr>
            <w:tcW w:w="236" w:type="dxa"/>
          </w:tcPr>
          <w:p w14:paraId="3250EEF0" w14:textId="77777777" w:rsidR="007371C6" w:rsidRPr="00F06E45" w:rsidRDefault="007371C6" w:rsidP="00F06E45">
            <w:pPr>
              <w:rPr>
                <w:rFonts w:ascii="Calibri" w:eastAsia="Calibri" w:hAnsi="Calibri" w:cs="Times New Roman"/>
                <w:sz w:val="16"/>
                <w:szCs w:val="16"/>
              </w:rPr>
            </w:pPr>
          </w:p>
        </w:tc>
        <w:tc>
          <w:tcPr>
            <w:tcW w:w="3858" w:type="dxa"/>
          </w:tcPr>
          <w:p w14:paraId="65EB44DA" w14:textId="77777777" w:rsidR="007371C6" w:rsidRPr="00F06E45" w:rsidRDefault="007371C6" w:rsidP="00F06E45">
            <w:pPr>
              <w:rPr>
                <w:rFonts w:ascii="Calibri" w:eastAsia="Calibri" w:hAnsi="Calibri" w:cs="Times New Roman"/>
                <w:sz w:val="16"/>
                <w:szCs w:val="16"/>
              </w:rPr>
            </w:pPr>
          </w:p>
        </w:tc>
      </w:tr>
    </w:tbl>
    <w:p w14:paraId="323E7D8B" w14:textId="77777777" w:rsidR="007371C6" w:rsidRPr="00F06E45" w:rsidRDefault="007371C6" w:rsidP="00F06E45">
      <w:pPr>
        <w:tabs>
          <w:tab w:val="left" w:pos="1456"/>
        </w:tabs>
        <w:rPr>
          <w:rFonts w:ascii="Times New Roman" w:eastAsia="Calibri" w:hAnsi="Times New Roman" w:cs="Times New Roman"/>
          <w:sz w:val="28"/>
          <w:szCs w:val="28"/>
        </w:rPr>
      </w:pPr>
    </w:p>
    <w:p w14:paraId="226300DC" w14:textId="77777777" w:rsidR="007371C6" w:rsidRPr="00F06E45" w:rsidRDefault="007371C6" w:rsidP="00F06E45">
      <w:pPr>
        <w:tabs>
          <w:tab w:val="left" w:pos="1456"/>
        </w:tabs>
        <w:rPr>
          <w:rFonts w:ascii="Times New Roman" w:eastAsia="Calibri" w:hAnsi="Times New Roman" w:cs="Times New Roman"/>
          <w:sz w:val="28"/>
          <w:szCs w:val="28"/>
        </w:rPr>
        <w:sectPr w:rsidR="007371C6" w:rsidRPr="00F06E45" w:rsidSect="000F71F5">
          <w:pgSz w:w="16838" w:h="11906" w:orient="landscape"/>
          <w:pgMar w:top="0" w:right="678" w:bottom="709" w:left="567" w:header="708" w:footer="173" w:gutter="0"/>
          <w:cols w:space="708"/>
          <w:titlePg/>
          <w:docGrid w:linePitch="360"/>
        </w:sectPr>
      </w:pPr>
    </w:p>
    <w:p w14:paraId="4B24B6B6" w14:textId="77777777" w:rsidR="007371C6" w:rsidRPr="00F06E45" w:rsidRDefault="007371C6" w:rsidP="00F06E45">
      <w:pPr>
        <w:tabs>
          <w:tab w:val="left" w:pos="1456"/>
        </w:tabs>
        <w:rPr>
          <w:rFonts w:ascii="Times New Roman" w:eastAsia="Calibri" w:hAnsi="Times New Roman" w:cs="Times New Roman"/>
          <w:sz w:val="28"/>
          <w:szCs w:val="28"/>
        </w:rPr>
      </w:pPr>
    </w:p>
    <w:p w14:paraId="5A824632"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E36C0A"/>
          <w:sz w:val="28"/>
          <w:szCs w:val="28"/>
        </w:rPr>
        <w:t xml:space="preserve">An empowered and creative place                                                     </w:t>
      </w:r>
      <w:r w:rsidRPr="00F06E45">
        <w:rPr>
          <w:rFonts w:ascii="Times New Roman" w:eastAsia="Calibri" w:hAnsi="Times New Roman" w:cs="Times New Roman"/>
          <w:b/>
        </w:rPr>
        <w:t>empowering creativity, celebrating our diversity, encouraging life-long learning</w:t>
      </w:r>
    </w:p>
    <w:tbl>
      <w:tblPr>
        <w:tblStyle w:val="TableGrid1"/>
        <w:tblpPr w:leftFromText="180" w:rightFromText="180" w:vertAnchor="text" w:horzAnchor="page" w:tblpX="640" w:tblpY="100"/>
        <w:tblW w:w="15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1"/>
        <w:gridCol w:w="2575"/>
        <w:gridCol w:w="3804"/>
        <w:gridCol w:w="850"/>
        <w:gridCol w:w="709"/>
        <w:gridCol w:w="709"/>
        <w:gridCol w:w="5812"/>
      </w:tblGrid>
      <w:tr w:rsidR="007371C6" w:rsidRPr="00F06E45" w14:paraId="72E19335" w14:textId="77777777" w:rsidTr="00063500">
        <w:tc>
          <w:tcPr>
            <w:tcW w:w="15570" w:type="dxa"/>
            <w:gridSpan w:val="7"/>
            <w:tcBorders>
              <w:top w:val="single" w:sz="18" w:space="0" w:color="E36C0A"/>
              <w:bottom w:val="single" w:sz="18" w:space="0" w:color="E36C0A"/>
            </w:tcBorders>
            <w:shd w:val="clear" w:color="auto" w:fill="F4B083" w:themeFill="accent2" w:themeFillTint="99"/>
          </w:tcPr>
          <w:p w14:paraId="52CBE373" w14:textId="77777777" w:rsidR="007371C6" w:rsidRPr="00F06E45" w:rsidRDefault="007371C6" w:rsidP="00F06E45">
            <w:pPr>
              <w:ind w:left="-108"/>
              <w:rPr>
                <w:rFonts w:ascii="Calibri" w:eastAsia="Calibri" w:hAnsi="Calibri" w:cs="Times New Roman"/>
              </w:rPr>
            </w:pPr>
            <w:r w:rsidRPr="00F06E45">
              <w:rPr>
                <w:rFonts w:ascii="Calibri" w:eastAsia="Calibri" w:hAnsi="Calibri" w:cs="Times New Roman"/>
                <w:b/>
              </w:rPr>
              <w:t>Outcome 1.4  A community that values the arts and culture</w:t>
            </w:r>
          </w:p>
        </w:tc>
      </w:tr>
      <w:tr w:rsidR="007371C6" w:rsidRPr="00F06E45" w14:paraId="75D30174" w14:textId="77777777" w:rsidTr="00063500">
        <w:tc>
          <w:tcPr>
            <w:tcW w:w="15570" w:type="dxa"/>
            <w:gridSpan w:val="7"/>
            <w:tcBorders>
              <w:top w:val="single" w:sz="18" w:space="0" w:color="E36C0A"/>
              <w:bottom w:val="single" w:sz="18" w:space="0" w:color="E36C0A"/>
            </w:tcBorders>
            <w:shd w:val="clear" w:color="auto" w:fill="auto"/>
          </w:tcPr>
          <w:p w14:paraId="52D94FB0" w14:textId="77777777" w:rsidR="007371C6" w:rsidRPr="00F06E45" w:rsidRDefault="007371C6" w:rsidP="00F06E45">
            <w:pPr>
              <w:ind w:left="-108"/>
              <w:rPr>
                <w:rFonts w:ascii="Calibri" w:eastAsia="Calibri" w:hAnsi="Calibri" w:cs="Times New Roman"/>
                <w:sz w:val="16"/>
                <w:szCs w:val="16"/>
              </w:rPr>
            </w:pPr>
            <w:r w:rsidRPr="00F06E45">
              <w:rPr>
                <w:rFonts w:ascii="Calibri" w:eastAsia="Calibri" w:hAnsi="Calibri" w:cs="Times New Roman"/>
                <w:b/>
                <w:sz w:val="18"/>
                <w:szCs w:val="18"/>
              </w:rPr>
              <w:t>Strategy 1.4.1 Support and extend opportunities for community engagement and connectedness through partnerships and networking</w:t>
            </w:r>
          </w:p>
        </w:tc>
      </w:tr>
      <w:tr w:rsidR="007371C6" w:rsidRPr="00F06E45" w14:paraId="232E6584" w14:textId="77777777" w:rsidTr="00063500">
        <w:trPr>
          <w:trHeight w:val="216"/>
        </w:trPr>
        <w:tc>
          <w:tcPr>
            <w:tcW w:w="1111" w:type="dxa"/>
            <w:tcBorders>
              <w:top w:val="single" w:sz="18" w:space="0" w:color="E36C0A"/>
            </w:tcBorders>
            <w:shd w:val="clear" w:color="auto" w:fill="auto"/>
          </w:tcPr>
          <w:p w14:paraId="3AEBBC4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575" w:type="dxa"/>
            <w:tcBorders>
              <w:top w:val="single" w:sz="18" w:space="0" w:color="E36C0A"/>
            </w:tcBorders>
            <w:shd w:val="clear" w:color="auto" w:fill="auto"/>
          </w:tcPr>
          <w:p w14:paraId="00A28A1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804" w:type="dxa"/>
            <w:tcBorders>
              <w:top w:val="single" w:sz="18" w:space="0" w:color="E36C0A"/>
            </w:tcBorders>
            <w:shd w:val="clear" w:color="auto" w:fill="auto"/>
          </w:tcPr>
          <w:p w14:paraId="76988B3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0" w:type="dxa"/>
            <w:tcBorders>
              <w:top w:val="single" w:sz="18" w:space="0" w:color="E36C0A"/>
            </w:tcBorders>
            <w:shd w:val="clear" w:color="auto" w:fill="auto"/>
          </w:tcPr>
          <w:p w14:paraId="5520B3C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9" w:type="dxa"/>
            <w:tcBorders>
              <w:top w:val="single" w:sz="18" w:space="0" w:color="E36C0A"/>
            </w:tcBorders>
            <w:shd w:val="clear" w:color="auto" w:fill="auto"/>
          </w:tcPr>
          <w:p w14:paraId="629E1B6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668F3D0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tcBorders>
              <w:top w:val="single" w:sz="18" w:space="0" w:color="E36C0A"/>
            </w:tcBorders>
            <w:shd w:val="clear" w:color="auto" w:fill="auto"/>
          </w:tcPr>
          <w:p w14:paraId="2024146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5BC684C8" w14:textId="77777777" w:rsidTr="00063500">
        <w:tc>
          <w:tcPr>
            <w:tcW w:w="1111" w:type="dxa"/>
            <w:tcBorders>
              <w:bottom w:val="single" w:sz="18" w:space="0" w:color="E36C0A"/>
            </w:tcBorders>
            <w:shd w:val="clear" w:color="auto" w:fill="auto"/>
          </w:tcPr>
          <w:p w14:paraId="45F94D1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p w14:paraId="080F9140" w14:textId="77777777" w:rsidR="007371C6" w:rsidRPr="00F06E45" w:rsidRDefault="007371C6" w:rsidP="00F06E45">
            <w:pPr>
              <w:ind w:left="-108"/>
              <w:rPr>
                <w:rFonts w:ascii="Calibri" w:eastAsia="Calibri" w:hAnsi="Calibri" w:cs="Times New Roman"/>
                <w:sz w:val="18"/>
                <w:szCs w:val="18"/>
              </w:rPr>
            </w:pPr>
          </w:p>
        </w:tc>
        <w:tc>
          <w:tcPr>
            <w:tcW w:w="2575" w:type="dxa"/>
            <w:tcBorders>
              <w:bottom w:val="single" w:sz="18" w:space="0" w:color="E36C0A"/>
            </w:tcBorders>
            <w:shd w:val="clear" w:color="auto" w:fill="auto"/>
          </w:tcPr>
          <w:p w14:paraId="5843FD9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Arts &amp; Culture: Community Participation </w:t>
            </w:r>
          </w:p>
        </w:tc>
        <w:tc>
          <w:tcPr>
            <w:tcW w:w="3804" w:type="dxa"/>
            <w:tcBorders>
              <w:bottom w:val="single" w:sz="18" w:space="0" w:color="E36C0A"/>
            </w:tcBorders>
            <w:shd w:val="clear" w:color="auto" w:fill="auto"/>
          </w:tcPr>
          <w:p w14:paraId="4363A22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participants in our Arts &amp; Culture programs. Programs include: Visual Arts education &amp; workshops; professional development workshops for artists &amp; educators; Artists in Residence program; school holiday programs &amp; community group programs.</w:t>
            </w:r>
          </w:p>
        </w:tc>
        <w:tc>
          <w:tcPr>
            <w:tcW w:w="850" w:type="dxa"/>
            <w:tcBorders>
              <w:bottom w:val="single" w:sz="18" w:space="0" w:color="E36C0A"/>
            </w:tcBorders>
            <w:shd w:val="clear" w:color="auto" w:fill="auto"/>
          </w:tcPr>
          <w:p w14:paraId="6050A36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 300</w:t>
            </w:r>
            <w:r w:rsidRPr="00F06E45">
              <w:rPr>
                <w:rFonts w:ascii="Calibri" w:eastAsia="Calibri" w:hAnsi="Calibri" w:cs="Times New Roman"/>
                <w:color w:val="7030A0"/>
                <w:sz w:val="14"/>
                <w:szCs w:val="14"/>
              </w:rPr>
              <w:t xml:space="preserve"> </w:t>
            </w:r>
          </w:p>
        </w:tc>
        <w:tc>
          <w:tcPr>
            <w:tcW w:w="709" w:type="dxa"/>
            <w:tcBorders>
              <w:bottom w:val="single" w:sz="18" w:space="0" w:color="E36C0A"/>
            </w:tcBorders>
            <w:shd w:val="clear" w:color="auto" w:fill="auto"/>
          </w:tcPr>
          <w:p w14:paraId="1098D20D" w14:textId="77777777" w:rsidR="007371C6" w:rsidRPr="00F06E45" w:rsidRDefault="007371C6" w:rsidP="00F06E45">
            <w:pPr>
              <w:rPr>
                <w:rFonts w:ascii="Calibri" w:eastAsia="Calibri" w:hAnsi="Calibri" w:cs="Times New Roman"/>
                <w:sz w:val="16"/>
                <w:szCs w:val="16"/>
              </w:rPr>
            </w:pPr>
          </w:p>
          <w:p w14:paraId="51BF025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764</w:t>
            </w:r>
          </w:p>
        </w:tc>
        <w:tc>
          <w:tcPr>
            <w:tcW w:w="709" w:type="dxa"/>
            <w:tcBorders>
              <w:bottom w:val="single" w:sz="18" w:space="0" w:color="E36C0A"/>
            </w:tcBorders>
          </w:tcPr>
          <w:p w14:paraId="27C946E7"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0944" behindDoc="1" locked="0" layoutInCell="1" allowOverlap="1" wp14:anchorId="375526BF" wp14:editId="58BC44AD">
                  <wp:simplePos x="0" y="0"/>
                  <wp:positionH relativeFrom="column">
                    <wp:posOffset>-1905</wp:posOffset>
                  </wp:positionH>
                  <wp:positionV relativeFrom="paragraph">
                    <wp:posOffset>126365</wp:posOffset>
                  </wp:positionV>
                  <wp:extent cx="203835" cy="145415"/>
                  <wp:effectExtent l="0" t="0" r="5715" b="6985"/>
                  <wp:wrapTight wrapText="bothSides">
                    <wp:wrapPolygon edited="0">
                      <wp:start x="0" y="0"/>
                      <wp:lineTo x="0" y="19808"/>
                      <wp:lineTo x="20187" y="19808"/>
                      <wp:lineTo x="20187"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Borders>
              <w:bottom w:val="single" w:sz="18" w:space="0" w:color="E36C0A"/>
            </w:tcBorders>
            <w:shd w:val="clear" w:color="auto" w:fill="auto"/>
          </w:tcPr>
          <w:p w14:paraId="6FB1E57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target was significantly exceeded this quarter. During the quarter, a total of 28 programs were offered. The majority of these programs centred on </w:t>
            </w:r>
            <w:r w:rsidRPr="00F06E45">
              <w:rPr>
                <w:rFonts w:ascii="Calibri" w:eastAsia="Calibri" w:hAnsi="Calibri" w:cs="Times New Roman"/>
                <w:i/>
                <w:sz w:val="16"/>
                <w:szCs w:val="16"/>
              </w:rPr>
              <w:t>Shaun Tan: The Lost Thing</w:t>
            </w:r>
            <w:r w:rsidRPr="00F06E45">
              <w:rPr>
                <w:rFonts w:ascii="Calibri" w:eastAsia="Calibri" w:hAnsi="Calibri" w:cs="Times New Roman"/>
                <w:sz w:val="16"/>
                <w:szCs w:val="16"/>
              </w:rPr>
              <w:t xml:space="preserve"> exhibition at BRAG, which proved extremely popular. 14 programs were guided tours for schools/playgroups /childcare centres/community groups related to this exhibition. Tours were also provided for Library and MEC staff. 207 people attended the exhibition opening of Shaun Tan at BRAG. Additionally this quarter, the Community Arts Officer co-ordinated St Luke's Anglican School students for the RiverFeast project, as well as assisting with the placement of a local artist to take up a mentoring opportunity. </w:t>
            </w:r>
          </w:p>
          <w:p w14:paraId="16BC95AB" w14:textId="77777777" w:rsidR="007371C6" w:rsidRPr="00F06E45" w:rsidRDefault="007371C6" w:rsidP="00F06E45">
            <w:pPr>
              <w:rPr>
                <w:rFonts w:ascii="Calibri" w:eastAsia="Calibri" w:hAnsi="Calibri" w:cs="Times New Roman"/>
                <w:sz w:val="16"/>
                <w:szCs w:val="16"/>
              </w:rPr>
            </w:pPr>
          </w:p>
        </w:tc>
      </w:tr>
      <w:tr w:rsidR="007371C6" w:rsidRPr="00F06E45" w14:paraId="6F4B6662" w14:textId="77777777" w:rsidTr="00063500">
        <w:tc>
          <w:tcPr>
            <w:tcW w:w="15570" w:type="dxa"/>
            <w:gridSpan w:val="7"/>
            <w:tcBorders>
              <w:top w:val="single" w:sz="18" w:space="0" w:color="E36C0A"/>
              <w:bottom w:val="single" w:sz="18" w:space="0" w:color="E36C0A"/>
            </w:tcBorders>
          </w:tcPr>
          <w:p w14:paraId="69E0C75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1.4.2 Work with key stakeholders towards improving knowledge and understanding of the arts and culture and create opportunities for greater involvement with and exposure to them</w:t>
            </w:r>
          </w:p>
        </w:tc>
      </w:tr>
      <w:tr w:rsidR="007371C6" w:rsidRPr="00F06E45" w14:paraId="0EE171EC" w14:textId="77777777" w:rsidTr="00063500">
        <w:tc>
          <w:tcPr>
            <w:tcW w:w="1111" w:type="dxa"/>
            <w:tcBorders>
              <w:top w:val="single" w:sz="18" w:space="0" w:color="E36C0A"/>
            </w:tcBorders>
            <w:shd w:val="clear" w:color="auto" w:fill="auto"/>
          </w:tcPr>
          <w:p w14:paraId="3AA3B66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575" w:type="dxa"/>
            <w:tcBorders>
              <w:top w:val="single" w:sz="18" w:space="0" w:color="E36C0A"/>
            </w:tcBorders>
            <w:shd w:val="clear" w:color="auto" w:fill="auto"/>
          </w:tcPr>
          <w:p w14:paraId="3598C65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804" w:type="dxa"/>
            <w:tcBorders>
              <w:top w:val="single" w:sz="18" w:space="0" w:color="E36C0A"/>
            </w:tcBorders>
            <w:shd w:val="clear" w:color="auto" w:fill="auto"/>
          </w:tcPr>
          <w:p w14:paraId="40FCB67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0" w:type="dxa"/>
            <w:tcBorders>
              <w:top w:val="single" w:sz="18" w:space="0" w:color="E36C0A"/>
            </w:tcBorders>
            <w:shd w:val="clear" w:color="auto" w:fill="auto"/>
          </w:tcPr>
          <w:p w14:paraId="39EFDC8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9" w:type="dxa"/>
            <w:tcBorders>
              <w:top w:val="single" w:sz="18" w:space="0" w:color="E36C0A"/>
            </w:tcBorders>
            <w:shd w:val="clear" w:color="auto" w:fill="auto"/>
          </w:tcPr>
          <w:p w14:paraId="41ECDC5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36CE14F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tcBorders>
              <w:top w:val="single" w:sz="18" w:space="0" w:color="E36C0A"/>
            </w:tcBorders>
            <w:shd w:val="clear" w:color="auto" w:fill="auto"/>
          </w:tcPr>
          <w:p w14:paraId="1B07A213"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FA6D062" w14:textId="77777777" w:rsidTr="00063500">
        <w:tc>
          <w:tcPr>
            <w:tcW w:w="1111" w:type="dxa"/>
            <w:shd w:val="clear" w:color="auto" w:fill="auto"/>
          </w:tcPr>
          <w:p w14:paraId="79DC14F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Libraries, Arts &amp; Theatre </w:t>
            </w:r>
          </w:p>
        </w:tc>
        <w:tc>
          <w:tcPr>
            <w:tcW w:w="2575" w:type="dxa"/>
            <w:shd w:val="clear" w:color="auto" w:fill="auto"/>
          </w:tcPr>
          <w:p w14:paraId="0B1E3F3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Arts &amp; Culture: Community Engagement: Visitation to our region's Art Galleries</w:t>
            </w:r>
          </w:p>
        </w:tc>
        <w:tc>
          <w:tcPr>
            <w:tcW w:w="3804" w:type="dxa"/>
            <w:shd w:val="clear" w:color="auto" w:fill="auto"/>
          </w:tcPr>
          <w:p w14:paraId="226B42C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visitors to BRAG &amp; ChARTs.</w:t>
            </w:r>
          </w:p>
          <w:p w14:paraId="07EE599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                                                                                                                                                                         </w:t>
            </w:r>
          </w:p>
        </w:tc>
        <w:tc>
          <w:tcPr>
            <w:tcW w:w="850" w:type="dxa"/>
            <w:shd w:val="clear" w:color="auto" w:fill="auto"/>
          </w:tcPr>
          <w:p w14:paraId="5DEFA24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4D31BFB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7,000</w:t>
            </w:r>
          </w:p>
          <w:p w14:paraId="08945FE5" w14:textId="77777777" w:rsidR="007371C6" w:rsidRPr="00F06E45" w:rsidRDefault="007371C6" w:rsidP="00F06E45">
            <w:pPr>
              <w:rPr>
                <w:rFonts w:ascii="Calibri" w:eastAsia="Calibri" w:hAnsi="Calibri" w:cs="Times New Roman"/>
                <w:sz w:val="18"/>
                <w:szCs w:val="18"/>
              </w:rPr>
            </w:pPr>
          </w:p>
        </w:tc>
        <w:tc>
          <w:tcPr>
            <w:tcW w:w="709" w:type="dxa"/>
            <w:shd w:val="clear" w:color="auto" w:fill="auto"/>
          </w:tcPr>
          <w:p w14:paraId="3F2F7F33" w14:textId="77777777" w:rsidR="007371C6" w:rsidRPr="00F06E45" w:rsidRDefault="007371C6" w:rsidP="00F06E45">
            <w:pPr>
              <w:rPr>
                <w:rFonts w:ascii="Calibri" w:eastAsia="Calibri" w:hAnsi="Calibri" w:cs="Times New Roman"/>
                <w:sz w:val="16"/>
                <w:szCs w:val="16"/>
              </w:rPr>
            </w:pPr>
          </w:p>
          <w:p w14:paraId="1C2FAB6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9,199</w:t>
            </w:r>
          </w:p>
        </w:tc>
        <w:tc>
          <w:tcPr>
            <w:tcW w:w="709" w:type="dxa"/>
          </w:tcPr>
          <w:p w14:paraId="6BCF937D" w14:textId="77777777" w:rsidR="007371C6" w:rsidRPr="00F06E45" w:rsidRDefault="007371C6" w:rsidP="00F06E45">
            <w:pPr>
              <w:rPr>
                <w:rFonts w:cs="Tahoma"/>
                <w:sz w:val="16"/>
                <w:szCs w:val="16"/>
              </w:rPr>
            </w:pPr>
            <w:r w:rsidRPr="00F06E45">
              <w:rPr>
                <w:rFonts w:cs="Aharoni"/>
                <w:noProof/>
                <w:color w:val="1F4E79" w:themeColor="accent1" w:themeShade="80"/>
                <w:sz w:val="20"/>
                <w:szCs w:val="20"/>
                <w:lang w:eastAsia="en-AU"/>
              </w:rPr>
              <w:drawing>
                <wp:anchor distT="0" distB="0" distL="114300" distR="114300" simplePos="0" relativeHeight="251750400" behindDoc="1" locked="0" layoutInCell="1" allowOverlap="1" wp14:anchorId="49A39224" wp14:editId="232A3B22">
                  <wp:simplePos x="0" y="0"/>
                  <wp:positionH relativeFrom="column">
                    <wp:posOffset>-635</wp:posOffset>
                  </wp:positionH>
                  <wp:positionV relativeFrom="paragraph">
                    <wp:posOffset>123825</wp:posOffset>
                  </wp:positionV>
                  <wp:extent cx="203835" cy="145415"/>
                  <wp:effectExtent l="0" t="0" r="5715" b="6985"/>
                  <wp:wrapTight wrapText="bothSides">
                    <wp:wrapPolygon edited="0">
                      <wp:start x="0" y="0"/>
                      <wp:lineTo x="0" y="19808"/>
                      <wp:lineTo x="20187" y="19808"/>
                      <wp:lineTo x="201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shd w:val="clear" w:color="auto" w:fill="auto"/>
          </w:tcPr>
          <w:p w14:paraId="155A1308" w14:textId="77777777" w:rsidR="007371C6" w:rsidRPr="00F06E45" w:rsidRDefault="007371C6" w:rsidP="00F06E45">
            <w:pPr>
              <w:rPr>
                <w:rFonts w:cs="Tahoma"/>
                <w:sz w:val="16"/>
                <w:szCs w:val="16"/>
              </w:rPr>
            </w:pPr>
            <w:r w:rsidRPr="00F06E45">
              <w:rPr>
                <w:rFonts w:cs="Tahoma"/>
                <w:sz w:val="16"/>
                <w:szCs w:val="16"/>
              </w:rPr>
              <w:t xml:space="preserve">BRAG - September achieved the highest numbers for 2015 with large numbers of children and schools visiting BRAG to view </w:t>
            </w:r>
            <w:r w:rsidRPr="00F06E45">
              <w:rPr>
                <w:rFonts w:cs="Tahoma"/>
                <w:i/>
                <w:sz w:val="16"/>
                <w:szCs w:val="16"/>
              </w:rPr>
              <w:t xml:space="preserve">Shaun Tan's the Lost Thing </w:t>
            </w:r>
            <w:r w:rsidRPr="00F06E45">
              <w:rPr>
                <w:rFonts w:cs="Tahoma"/>
                <w:sz w:val="16"/>
                <w:szCs w:val="16"/>
              </w:rPr>
              <w:t xml:space="preserve">exhibition. </w:t>
            </w:r>
          </w:p>
          <w:p w14:paraId="3B98CDAF" w14:textId="77777777" w:rsidR="007371C6" w:rsidRPr="00F06E45" w:rsidRDefault="007371C6" w:rsidP="00F06E45">
            <w:pPr>
              <w:rPr>
                <w:rFonts w:cs="Tahoma"/>
                <w:sz w:val="16"/>
                <w:szCs w:val="16"/>
              </w:rPr>
            </w:pPr>
            <w:r w:rsidRPr="00F06E45">
              <w:rPr>
                <w:rFonts w:cs="Tahoma"/>
                <w:sz w:val="16"/>
                <w:szCs w:val="16"/>
              </w:rPr>
              <w:t>ChARTs visitation in July was 41% higher than for the same month last year possibly due to the month being the 20th anniversary of the Childers’ Festival, which draws large crowds to the Gallery. The percentage of interstate and intrastate visitors, 72%, again exceeded local visitors 10%. Overall numbers are higher than the first quarter of 2014-2015  by 25%</w:t>
            </w:r>
          </w:p>
          <w:p w14:paraId="701779C1" w14:textId="77777777" w:rsidR="007371C6" w:rsidRPr="00F06E45" w:rsidRDefault="007371C6" w:rsidP="00F06E45">
            <w:pPr>
              <w:rPr>
                <w:rFonts w:eastAsia="Calibri" w:cs="Times New Roman"/>
                <w:color w:val="808080" w:themeColor="background1" w:themeShade="80"/>
                <w:sz w:val="16"/>
                <w:szCs w:val="16"/>
              </w:rPr>
            </w:pPr>
          </w:p>
        </w:tc>
      </w:tr>
      <w:tr w:rsidR="007371C6" w:rsidRPr="00F06E45" w14:paraId="46BEBAAC" w14:textId="77777777" w:rsidTr="00063500">
        <w:trPr>
          <w:trHeight w:val="82"/>
        </w:trPr>
        <w:tc>
          <w:tcPr>
            <w:tcW w:w="1111" w:type="dxa"/>
            <w:shd w:val="clear" w:color="auto" w:fill="auto"/>
          </w:tcPr>
          <w:p w14:paraId="4D950F6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p w14:paraId="6A7CA70D" w14:textId="77777777" w:rsidR="007371C6" w:rsidRPr="00F06E45" w:rsidRDefault="007371C6" w:rsidP="00F06E45">
            <w:pPr>
              <w:ind w:left="-108"/>
              <w:rPr>
                <w:rFonts w:ascii="Calibri" w:eastAsia="Calibri" w:hAnsi="Calibri" w:cs="Times New Roman"/>
                <w:sz w:val="18"/>
                <w:szCs w:val="18"/>
              </w:rPr>
            </w:pPr>
          </w:p>
        </w:tc>
        <w:tc>
          <w:tcPr>
            <w:tcW w:w="2575" w:type="dxa"/>
            <w:shd w:val="clear" w:color="auto" w:fill="auto"/>
          </w:tcPr>
          <w:p w14:paraId="4B21863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Arts &amp; Culture: Stakeholder Partnerships</w:t>
            </w:r>
          </w:p>
          <w:p w14:paraId="602807A3" w14:textId="77777777" w:rsidR="007371C6" w:rsidRPr="00F06E45" w:rsidRDefault="007371C6" w:rsidP="00F06E45">
            <w:pPr>
              <w:ind w:left="-108"/>
              <w:rPr>
                <w:rFonts w:ascii="Calibri" w:eastAsia="Calibri" w:hAnsi="Calibri" w:cs="Times New Roman"/>
                <w:sz w:val="18"/>
                <w:szCs w:val="18"/>
              </w:rPr>
            </w:pPr>
          </w:p>
        </w:tc>
        <w:tc>
          <w:tcPr>
            <w:tcW w:w="3804" w:type="dxa"/>
            <w:shd w:val="clear" w:color="auto" w:fill="auto"/>
          </w:tcPr>
          <w:p w14:paraId="7AB9CF8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strategic partnerships developed or purposefully maintained (with the aim of generating greater community involvement &amp; meaningful participation).</w:t>
            </w:r>
          </w:p>
        </w:tc>
        <w:tc>
          <w:tcPr>
            <w:tcW w:w="850" w:type="dxa"/>
            <w:shd w:val="clear" w:color="auto" w:fill="auto"/>
          </w:tcPr>
          <w:p w14:paraId="455A792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3AE6BF9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12</w:t>
            </w:r>
          </w:p>
          <w:p w14:paraId="41509EFB" w14:textId="77777777" w:rsidR="007371C6" w:rsidRPr="00F06E45" w:rsidRDefault="007371C6" w:rsidP="00F06E45">
            <w:pPr>
              <w:rPr>
                <w:rFonts w:ascii="Calibri" w:eastAsia="Calibri" w:hAnsi="Calibri" w:cs="Times New Roman"/>
                <w:sz w:val="16"/>
                <w:szCs w:val="16"/>
              </w:rPr>
            </w:pPr>
          </w:p>
        </w:tc>
        <w:tc>
          <w:tcPr>
            <w:tcW w:w="709" w:type="dxa"/>
            <w:shd w:val="clear" w:color="auto" w:fill="auto"/>
          </w:tcPr>
          <w:p w14:paraId="4CEFD395" w14:textId="77777777" w:rsidR="007371C6" w:rsidRPr="00F06E45" w:rsidRDefault="007371C6" w:rsidP="00F06E45">
            <w:pPr>
              <w:rPr>
                <w:rFonts w:ascii="Calibri" w:eastAsia="Calibri" w:hAnsi="Calibri" w:cs="Times New Roman"/>
                <w:sz w:val="16"/>
                <w:szCs w:val="16"/>
              </w:rPr>
            </w:pPr>
          </w:p>
          <w:p w14:paraId="2794D12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22</w:t>
            </w:r>
          </w:p>
        </w:tc>
        <w:tc>
          <w:tcPr>
            <w:tcW w:w="709" w:type="dxa"/>
          </w:tcPr>
          <w:p w14:paraId="1328665D" w14:textId="77777777" w:rsidR="007371C6" w:rsidRPr="00F06E45" w:rsidRDefault="007371C6" w:rsidP="00F06E45">
            <w:pPr>
              <w:rPr>
                <w:rFonts w:ascii="Calibri" w:eastAsia="Calibri" w:hAnsi="Calibri" w:cs="Tahoma"/>
                <w:sz w:val="16"/>
                <w:szCs w:val="16"/>
              </w:rPr>
            </w:pPr>
            <w:r w:rsidRPr="00F06E45">
              <w:rPr>
                <w:rFonts w:cs="Aharoni"/>
                <w:noProof/>
                <w:color w:val="1F4E79" w:themeColor="accent1" w:themeShade="80"/>
                <w:sz w:val="20"/>
                <w:szCs w:val="20"/>
                <w:lang w:eastAsia="en-AU"/>
              </w:rPr>
              <w:drawing>
                <wp:anchor distT="0" distB="0" distL="114300" distR="114300" simplePos="0" relativeHeight="251751424" behindDoc="1" locked="0" layoutInCell="1" allowOverlap="1" wp14:anchorId="262B48D7" wp14:editId="65963080">
                  <wp:simplePos x="0" y="0"/>
                  <wp:positionH relativeFrom="column">
                    <wp:posOffset>-635</wp:posOffset>
                  </wp:positionH>
                  <wp:positionV relativeFrom="paragraph">
                    <wp:posOffset>123190</wp:posOffset>
                  </wp:positionV>
                  <wp:extent cx="203835" cy="145415"/>
                  <wp:effectExtent l="0" t="0" r="5715" b="6985"/>
                  <wp:wrapTight wrapText="bothSides">
                    <wp:wrapPolygon edited="0">
                      <wp:start x="0" y="0"/>
                      <wp:lineTo x="0" y="19808"/>
                      <wp:lineTo x="20187" y="19808"/>
                      <wp:lineTo x="20187"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shd w:val="clear" w:color="auto" w:fill="auto"/>
          </w:tcPr>
          <w:p w14:paraId="0FEBC32C" w14:textId="77777777" w:rsidR="007371C6" w:rsidRPr="00F06E45" w:rsidRDefault="007371C6" w:rsidP="00F06E45">
            <w:pPr>
              <w:rPr>
                <w:rFonts w:cs="Tahoma"/>
                <w:sz w:val="16"/>
                <w:szCs w:val="16"/>
              </w:rPr>
            </w:pPr>
            <w:r w:rsidRPr="00F06E45">
              <w:rPr>
                <w:rFonts w:cs="Tahoma"/>
                <w:sz w:val="16"/>
                <w:szCs w:val="16"/>
              </w:rPr>
              <w:t xml:space="preserve">22 stakeholder partnerships were maintained/developed during the quarter. </w:t>
            </w:r>
          </w:p>
          <w:p w14:paraId="62AB2A1A" w14:textId="77777777" w:rsidR="007371C6" w:rsidRPr="00F06E45" w:rsidRDefault="007371C6" w:rsidP="00F06E45">
            <w:pPr>
              <w:rPr>
                <w:rFonts w:cs="Tahoma"/>
                <w:sz w:val="16"/>
                <w:szCs w:val="16"/>
              </w:rPr>
            </w:pPr>
            <w:r w:rsidRPr="00F06E45">
              <w:rPr>
                <w:rFonts w:cs="Tahoma"/>
                <w:sz w:val="16"/>
                <w:szCs w:val="16"/>
              </w:rPr>
              <w:t>7 were for professional support and advice provided by the Community Arts Officer    to businesses, community, disability, indigenous and volunteer groups.</w:t>
            </w:r>
          </w:p>
          <w:p w14:paraId="5B7B0D59" w14:textId="77777777" w:rsidR="007371C6" w:rsidRPr="00F06E45" w:rsidRDefault="007371C6" w:rsidP="00F06E45">
            <w:pPr>
              <w:rPr>
                <w:rFonts w:cs="Tahoma"/>
                <w:i/>
                <w:sz w:val="16"/>
                <w:szCs w:val="16"/>
              </w:rPr>
            </w:pPr>
            <w:r w:rsidRPr="00F06E45">
              <w:rPr>
                <w:rFonts w:cs="Tahoma"/>
                <w:sz w:val="16"/>
                <w:szCs w:val="16"/>
              </w:rPr>
              <w:t xml:space="preserve">3 involved sponsorships with Bundaberg Radiology, Saskia: Home Gifts and CQUniversity, 2 of which were new sponsors for the Galleries.                                      BRAG &amp; ChARTs were also purposefully engaged with the following stakeholders </w:t>
            </w:r>
            <w:r w:rsidRPr="00F06E45">
              <w:rPr>
                <w:rFonts w:cs="Tahoma"/>
                <w:i/>
                <w:sz w:val="16"/>
                <w:szCs w:val="16"/>
              </w:rPr>
              <w:t>Creative Regions</w:t>
            </w:r>
            <w:r w:rsidRPr="00F06E45">
              <w:rPr>
                <w:rFonts w:cs="Tahoma"/>
                <w:sz w:val="16"/>
                <w:szCs w:val="16"/>
              </w:rPr>
              <w:t xml:space="preserve">; </w:t>
            </w:r>
            <w:r w:rsidRPr="00F06E45">
              <w:rPr>
                <w:rFonts w:cs="Tahoma"/>
                <w:i/>
                <w:sz w:val="16"/>
                <w:szCs w:val="16"/>
              </w:rPr>
              <w:t>Friends of Childers’ Festival</w:t>
            </w:r>
            <w:r w:rsidRPr="00F06E45">
              <w:rPr>
                <w:rFonts w:cs="Tahoma"/>
                <w:sz w:val="16"/>
                <w:szCs w:val="16"/>
              </w:rPr>
              <w:t xml:space="preserve">; </w:t>
            </w:r>
            <w:r w:rsidRPr="00F06E45">
              <w:rPr>
                <w:rFonts w:cs="Tahoma"/>
                <w:i/>
                <w:sz w:val="16"/>
                <w:szCs w:val="16"/>
              </w:rPr>
              <w:t>Isis Town &amp; Country</w:t>
            </w:r>
            <w:r w:rsidRPr="00F06E45">
              <w:rPr>
                <w:rFonts w:cs="Tahoma"/>
                <w:sz w:val="16"/>
                <w:szCs w:val="16"/>
              </w:rPr>
              <w:t xml:space="preserve">; the </w:t>
            </w:r>
            <w:r w:rsidRPr="00F06E45">
              <w:rPr>
                <w:rFonts w:cs="Tahoma"/>
                <w:i/>
                <w:sz w:val="16"/>
                <w:szCs w:val="16"/>
              </w:rPr>
              <w:t xml:space="preserve">Bundaberg Art Society </w:t>
            </w:r>
            <w:r w:rsidRPr="00F06E45">
              <w:rPr>
                <w:rFonts w:cs="Tahoma"/>
                <w:sz w:val="16"/>
                <w:szCs w:val="16"/>
              </w:rPr>
              <w:t>and the</w:t>
            </w:r>
            <w:r w:rsidRPr="00F06E45">
              <w:rPr>
                <w:rFonts w:cs="Tahoma"/>
                <w:i/>
                <w:sz w:val="16"/>
                <w:szCs w:val="16"/>
              </w:rPr>
              <w:t xml:space="preserve"> Chinese New Year Committee.</w:t>
            </w:r>
          </w:p>
          <w:p w14:paraId="1ABBEA5F" w14:textId="77777777" w:rsidR="007371C6" w:rsidRPr="00F06E45" w:rsidRDefault="007371C6" w:rsidP="00F06E45">
            <w:pPr>
              <w:rPr>
                <w:rFonts w:cs="Tahoma"/>
                <w:sz w:val="16"/>
                <w:szCs w:val="16"/>
              </w:rPr>
            </w:pPr>
            <w:r w:rsidRPr="00F06E45">
              <w:rPr>
                <w:rFonts w:cs="Tahoma"/>
                <w:sz w:val="16"/>
                <w:szCs w:val="16"/>
              </w:rPr>
              <w:t xml:space="preserve">Discussions regarding a long term community public art project at Barolin Nature Reserve were also initiated with internal Council stakeholders this quarter. </w:t>
            </w:r>
          </w:p>
          <w:p w14:paraId="361B0C97" w14:textId="77777777" w:rsidR="007371C6" w:rsidRPr="00F06E45" w:rsidRDefault="007371C6" w:rsidP="00F06E45">
            <w:pPr>
              <w:rPr>
                <w:rFonts w:eastAsia="Calibri" w:cs="Tahoma"/>
                <w:color w:val="808080" w:themeColor="background1" w:themeShade="80"/>
                <w:sz w:val="16"/>
                <w:szCs w:val="16"/>
              </w:rPr>
            </w:pPr>
          </w:p>
        </w:tc>
      </w:tr>
      <w:tr w:rsidR="007371C6" w:rsidRPr="00F06E45" w14:paraId="0CACE659" w14:textId="77777777" w:rsidTr="00063500">
        <w:tc>
          <w:tcPr>
            <w:tcW w:w="1111" w:type="dxa"/>
            <w:tcBorders>
              <w:bottom w:val="single" w:sz="18" w:space="0" w:color="E36C0A"/>
            </w:tcBorders>
            <w:shd w:val="clear" w:color="auto" w:fill="auto"/>
          </w:tcPr>
          <w:p w14:paraId="1E0C2CB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tc>
        <w:tc>
          <w:tcPr>
            <w:tcW w:w="2575" w:type="dxa"/>
            <w:tcBorders>
              <w:bottom w:val="single" w:sz="18" w:space="0" w:color="E36C0A"/>
            </w:tcBorders>
            <w:shd w:val="clear" w:color="auto" w:fill="auto"/>
          </w:tcPr>
          <w:p w14:paraId="541BD58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Theatre: Community Engagement</w:t>
            </w:r>
          </w:p>
          <w:p w14:paraId="4ADB513E" w14:textId="77777777" w:rsidR="007371C6" w:rsidRPr="00F06E45" w:rsidRDefault="007371C6" w:rsidP="00F06E45">
            <w:pPr>
              <w:ind w:left="-108"/>
              <w:rPr>
                <w:rFonts w:ascii="Calibri" w:eastAsia="Calibri" w:hAnsi="Calibri" w:cs="Times New Roman"/>
                <w:sz w:val="18"/>
                <w:szCs w:val="18"/>
              </w:rPr>
            </w:pPr>
          </w:p>
        </w:tc>
        <w:tc>
          <w:tcPr>
            <w:tcW w:w="3804" w:type="dxa"/>
            <w:tcBorders>
              <w:bottom w:val="single" w:sz="18" w:space="0" w:color="E36C0A"/>
            </w:tcBorders>
            <w:shd w:val="clear" w:color="auto" w:fill="auto"/>
          </w:tcPr>
          <w:p w14:paraId="5AC8900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diverse cultural groups involved with the Moncrieff Theatre community programs and theatre operations. Community groups include, University of the 3rd Age (U3A), National Aboriginal and Islander Day Observance Committee (NAIDOC), seniors, disabled and disadvantaged members of our local community.  </w:t>
            </w:r>
          </w:p>
        </w:tc>
        <w:tc>
          <w:tcPr>
            <w:tcW w:w="850" w:type="dxa"/>
            <w:tcBorders>
              <w:bottom w:val="single" w:sz="18" w:space="0" w:color="E36C0A"/>
            </w:tcBorders>
            <w:shd w:val="clear" w:color="auto" w:fill="auto"/>
          </w:tcPr>
          <w:p w14:paraId="5B49B0C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350FE5D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25 </w:t>
            </w:r>
          </w:p>
          <w:p w14:paraId="3DF216C4" w14:textId="77777777" w:rsidR="007371C6" w:rsidRPr="00F06E45" w:rsidRDefault="007371C6" w:rsidP="00F06E45">
            <w:pPr>
              <w:rPr>
                <w:sz w:val="16"/>
                <w:szCs w:val="16"/>
              </w:rPr>
            </w:pPr>
          </w:p>
        </w:tc>
        <w:tc>
          <w:tcPr>
            <w:tcW w:w="709" w:type="dxa"/>
            <w:tcBorders>
              <w:bottom w:val="single" w:sz="18" w:space="0" w:color="E36C0A"/>
            </w:tcBorders>
            <w:shd w:val="clear" w:color="auto" w:fill="auto"/>
          </w:tcPr>
          <w:p w14:paraId="0B6041FC" w14:textId="77777777" w:rsidR="007371C6" w:rsidRPr="00F06E45" w:rsidRDefault="007371C6" w:rsidP="00F06E45">
            <w:pPr>
              <w:rPr>
                <w:rFonts w:ascii="Calibri" w:eastAsia="Calibri" w:hAnsi="Calibri" w:cs="Times New Roman"/>
                <w:sz w:val="16"/>
                <w:szCs w:val="16"/>
              </w:rPr>
            </w:pPr>
          </w:p>
          <w:p w14:paraId="06D01FC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27</w:t>
            </w:r>
          </w:p>
        </w:tc>
        <w:tc>
          <w:tcPr>
            <w:tcW w:w="709" w:type="dxa"/>
            <w:tcBorders>
              <w:bottom w:val="single" w:sz="18" w:space="0" w:color="E36C0A"/>
            </w:tcBorders>
          </w:tcPr>
          <w:p w14:paraId="7960478B" w14:textId="77777777" w:rsidR="007371C6" w:rsidRPr="00F06E45" w:rsidRDefault="007371C6" w:rsidP="00F06E45">
            <w:pPr>
              <w:rPr>
                <w:rFonts w:ascii="Calibri" w:eastAsia="Calibri" w:hAnsi="Calibri" w:cs="Tahoma"/>
                <w:sz w:val="16"/>
                <w:szCs w:val="16"/>
              </w:rPr>
            </w:pPr>
            <w:r w:rsidRPr="00F06E45">
              <w:rPr>
                <w:rFonts w:cs="Aharoni"/>
                <w:noProof/>
                <w:color w:val="1F4E79" w:themeColor="accent1" w:themeShade="80"/>
                <w:sz w:val="20"/>
                <w:szCs w:val="20"/>
                <w:lang w:eastAsia="en-AU"/>
              </w:rPr>
              <w:drawing>
                <wp:anchor distT="0" distB="0" distL="114300" distR="114300" simplePos="0" relativeHeight="251777024" behindDoc="1" locked="0" layoutInCell="1" allowOverlap="1" wp14:anchorId="4DCF9AE1" wp14:editId="307597A9">
                  <wp:simplePos x="0" y="0"/>
                  <wp:positionH relativeFrom="column">
                    <wp:posOffset>-635</wp:posOffset>
                  </wp:positionH>
                  <wp:positionV relativeFrom="paragraph">
                    <wp:posOffset>125095</wp:posOffset>
                  </wp:positionV>
                  <wp:extent cx="203835" cy="145415"/>
                  <wp:effectExtent l="0" t="0" r="5715" b="6985"/>
                  <wp:wrapTight wrapText="bothSides">
                    <wp:wrapPolygon edited="0">
                      <wp:start x="0" y="0"/>
                      <wp:lineTo x="0" y="19808"/>
                      <wp:lineTo x="20187" y="19808"/>
                      <wp:lineTo x="20187"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Borders>
              <w:bottom w:val="single" w:sz="18" w:space="0" w:color="E36C0A"/>
            </w:tcBorders>
            <w:shd w:val="clear" w:color="auto" w:fill="auto"/>
          </w:tcPr>
          <w:p w14:paraId="7DA5A46A" w14:textId="77777777" w:rsidR="007371C6" w:rsidRPr="00F06E45" w:rsidRDefault="007371C6" w:rsidP="00F06E45">
            <w:pPr>
              <w:pStyle w:val="NormalWeb"/>
              <w:rPr>
                <w:rFonts w:asciiTheme="minorHAnsi" w:hAnsiTheme="minorHAnsi" w:cs="Tahoma"/>
                <w:sz w:val="16"/>
                <w:szCs w:val="16"/>
              </w:rPr>
            </w:pPr>
            <w:r w:rsidRPr="00F06E45">
              <w:rPr>
                <w:rFonts w:asciiTheme="minorHAnsi" w:hAnsiTheme="minorHAnsi" w:cs="Tahoma"/>
                <w:sz w:val="16"/>
                <w:szCs w:val="16"/>
              </w:rPr>
              <w:t xml:space="preserve">The Moncrieff Entertainment Centre (MEC) provided support and facilitated events and programs for 27 community groups this quarter, including the </w:t>
            </w:r>
            <w:r w:rsidRPr="00F06E45">
              <w:rPr>
                <w:rFonts w:asciiTheme="minorHAnsi" w:hAnsiTheme="minorHAnsi" w:cs="Tahoma"/>
                <w:i/>
                <w:sz w:val="16"/>
                <w:szCs w:val="16"/>
              </w:rPr>
              <w:t>University of the 3rd Age</w:t>
            </w:r>
            <w:r w:rsidRPr="00F06E45">
              <w:rPr>
                <w:rFonts w:asciiTheme="minorHAnsi" w:hAnsiTheme="minorHAnsi" w:cs="Tahoma"/>
                <w:sz w:val="16"/>
                <w:szCs w:val="16"/>
              </w:rPr>
              <w:t>,</w:t>
            </w:r>
            <w:r w:rsidRPr="00F06E45">
              <w:rPr>
                <w:rFonts w:asciiTheme="minorHAnsi" w:hAnsiTheme="minorHAnsi" w:cs="Tahoma"/>
                <w:i/>
                <w:sz w:val="16"/>
                <w:szCs w:val="16"/>
              </w:rPr>
              <w:t xml:space="preserve"> Rotary</w:t>
            </w:r>
            <w:r w:rsidRPr="00F06E45">
              <w:rPr>
                <w:rFonts w:asciiTheme="minorHAnsi" w:hAnsiTheme="minorHAnsi" w:cs="Tahoma"/>
                <w:sz w:val="16"/>
                <w:szCs w:val="16"/>
              </w:rPr>
              <w:t>, local artists and numerous schools and kindergartens. Work experience for 1 Kepnock High School student was also provided.</w:t>
            </w:r>
          </w:p>
          <w:p w14:paraId="56A17FB3" w14:textId="77777777" w:rsidR="007371C6" w:rsidRPr="00F06E45" w:rsidRDefault="007371C6" w:rsidP="00F06E45">
            <w:pPr>
              <w:rPr>
                <w:rFonts w:eastAsia="Calibri" w:cs="Tahoma"/>
                <w:sz w:val="16"/>
                <w:szCs w:val="16"/>
              </w:rPr>
            </w:pPr>
          </w:p>
        </w:tc>
      </w:tr>
    </w:tbl>
    <w:p w14:paraId="600DA285" w14:textId="77777777" w:rsidR="007371C6" w:rsidRPr="00F06E45" w:rsidRDefault="007371C6" w:rsidP="00F06E45">
      <w:pPr>
        <w:spacing w:after="200" w:line="276" w:lineRule="auto"/>
        <w:rPr>
          <w:rFonts w:ascii="Times New Roman" w:eastAsia="Calibri" w:hAnsi="Times New Roman" w:cs="Times New Roman"/>
          <w:b/>
          <w:sz w:val="18"/>
          <w:szCs w:val="18"/>
        </w:rPr>
      </w:pPr>
    </w:p>
    <w:p w14:paraId="0620BF62" w14:textId="77777777" w:rsidR="007371C6" w:rsidRPr="00F06E45" w:rsidRDefault="007371C6" w:rsidP="00F06E45">
      <w:pPr>
        <w:tabs>
          <w:tab w:val="left" w:pos="657"/>
        </w:tabs>
        <w:spacing w:after="200" w:line="276" w:lineRule="auto"/>
        <w:rPr>
          <w:rFonts w:ascii="Times New Roman" w:eastAsia="Calibri" w:hAnsi="Times New Roman" w:cs="Times New Roman"/>
          <w:b/>
          <w:i/>
          <w:color w:val="E36C0A"/>
          <w:sz w:val="28"/>
          <w:szCs w:val="28"/>
        </w:rPr>
        <w:sectPr w:rsidR="007371C6" w:rsidRPr="00F06E45" w:rsidSect="000F71F5">
          <w:footerReference w:type="default" r:id="rId39"/>
          <w:pgSz w:w="16838" w:h="11906" w:orient="landscape"/>
          <w:pgMar w:top="0" w:right="678" w:bottom="709" w:left="567" w:header="708" w:footer="173" w:gutter="0"/>
          <w:cols w:space="708"/>
          <w:titlePg/>
          <w:docGrid w:linePitch="360"/>
        </w:sectPr>
      </w:pPr>
    </w:p>
    <w:p w14:paraId="315AB7C4" w14:textId="77777777" w:rsidR="007371C6" w:rsidRPr="00F06E45" w:rsidRDefault="007371C6" w:rsidP="00F06E45">
      <w:pPr>
        <w:rPr>
          <w:rFonts w:ascii="Times New Roman" w:eastAsia="Calibri" w:hAnsi="Times New Roman" w:cs="Times New Roman"/>
          <w:sz w:val="28"/>
          <w:szCs w:val="28"/>
        </w:rPr>
      </w:pPr>
    </w:p>
    <w:p w14:paraId="0048B7A5" w14:textId="77777777" w:rsidR="007371C6" w:rsidRPr="00F06E45" w:rsidRDefault="007371C6" w:rsidP="00F06E45">
      <w:pPr>
        <w:tabs>
          <w:tab w:val="left" w:pos="657"/>
        </w:tabs>
        <w:spacing w:after="200" w:line="276" w:lineRule="auto"/>
        <w:rPr>
          <w:rFonts w:ascii="Times New Roman" w:eastAsia="Calibri" w:hAnsi="Times New Roman" w:cs="Times New Roman"/>
          <w:b/>
          <w:sz w:val="18"/>
          <w:szCs w:val="18"/>
        </w:rPr>
      </w:pPr>
      <w:r w:rsidRPr="00F06E45">
        <w:rPr>
          <w:rFonts w:ascii="Times New Roman" w:eastAsia="Calibri" w:hAnsi="Times New Roman" w:cs="Times New Roman"/>
          <w:b/>
          <w:i/>
          <w:color w:val="E36C0A"/>
          <w:sz w:val="28"/>
          <w:szCs w:val="28"/>
        </w:rPr>
        <w:t xml:space="preserve">An empowered and creative place                                                      </w:t>
      </w:r>
      <w:r w:rsidRPr="00F06E45">
        <w:rPr>
          <w:rFonts w:ascii="Times New Roman" w:eastAsia="Calibri" w:hAnsi="Times New Roman" w:cs="Times New Roman"/>
          <w:b/>
        </w:rPr>
        <w:t>empowering creativity, celebrating our diversity, encouraging life-long learning</w:t>
      </w:r>
    </w:p>
    <w:tbl>
      <w:tblPr>
        <w:tblStyle w:val="TableGrid1"/>
        <w:tblpPr w:leftFromText="180" w:rightFromText="180" w:vertAnchor="text" w:horzAnchor="margin" w:tblpY="234"/>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410"/>
        <w:gridCol w:w="3969"/>
        <w:gridCol w:w="851"/>
        <w:gridCol w:w="850"/>
        <w:gridCol w:w="709"/>
        <w:gridCol w:w="5670"/>
      </w:tblGrid>
      <w:tr w:rsidR="007371C6" w:rsidRPr="00F06E45" w14:paraId="743EE343" w14:textId="77777777" w:rsidTr="00063500">
        <w:tc>
          <w:tcPr>
            <w:tcW w:w="15593" w:type="dxa"/>
            <w:gridSpan w:val="7"/>
            <w:tcBorders>
              <w:top w:val="single" w:sz="18" w:space="0" w:color="E36C0A"/>
              <w:bottom w:val="single" w:sz="18" w:space="0" w:color="E36C0A"/>
            </w:tcBorders>
            <w:shd w:val="clear" w:color="auto" w:fill="F4B083" w:themeFill="accent2" w:themeFillTint="99"/>
          </w:tcPr>
          <w:p w14:paraId="00B9D57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1.5 An affordable, quality lifestyle</w:t>
            </w:r>
          </w:p>
        </w:tc>
      </w:tr>
      <w:tr w:rsidR="007371C6" w:rsidRPr="00F06E45" w14:paraId="6B4F833A" w14:textId="77777777" w:rsidTr="00063500">
        <w:tc>
          <w:tcPr>
            <w:tcW w:w="15593" w:type="dxa"/>
            <w:gridSpan w:val="7"/>
            <w:tcBorders>
              <w:top w:val="single" w:sz="18" w:space="0" w:color="E36C0A"/>
              <w:bottom w:val="single" w:sz="18" w:space="0" w:color="E36C0A"/>
            </w:tcBorders>
          </w:tcPr>
          <w:p w14:paraId="2BA16FE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b/>
                <w:sz w:val="18"/>
                <w:szCs w:val="18"/>
              </w:rPr>
              <w:t>Strategy 1.5.1 Advocate for and a better quality of life for the community through relevant, affordable services, programs and facilities</w:t>
            </w:r>
          </w:p>
        </w:tc>
      </w:tr>
      <w:tr w:rsidR="007371C6" w:rsidRPr="00F06E45" w14:paraId="31D44AE4" w14:textId="77777777" w:rsidTr="00063500">
        <w:tc>
          <w:tcPr>
            <w:tcW w:w="1134" w:type="dxa"/>
            <w:tcBorders>
              <w:top w:val="single" w:sz="18" w:space="0" w:color="E36C0A"/>
            </w:tcBorders>
            <w:shd w:val="clear" w:color="auto" w:fill="auto"/>
          </w:tcPr>
          <w:p w14:paraId="646A47B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E36C0A"/>
            </w:tcBorders>
            <w:shd w:val="clear" w:color="auto" w:fill="auto"/>
          </w:tcPr>
          <w:p w14:paraId="5C4F580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969" w:type="dxa"/>
            <w:tcBorders>
              <w:top w:val="single" w:sz="18" w:space="0" w:color="E36C0A"/>
            </w:tcBorders>
            <w:shd w:val="clear" w:color="auto" w:fill="auto"/>
          </w:tcPr>
          <w:p w14:paraId="6AF0149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E36C0A"/>
            </w:tcBorders>
            <w:shd w:val="clear" w:color="auto" w:fill="auto"/>
          </w:tcPr>
          <w:p w14:paraId="1753238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tcBorders>
              <w:top w:val="single" w:sz="18" w:space="0" w:color="E36C0A"/>
            </w:tcBorders>
            <w:shd w:val="clear" w:color="auto" w:fill="auto"/>
          </w:tcPr>
          <w:p w14:paraId="6B879656"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4B9F5156"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tcBorders>
              <w:top w:val="single" w:sz="18" w:space="0" w:color="E36C0A"/>
            </w:tcBorders>
            <w:shd w:val="clear" w:color="auto" w:fill="auto"/>
          </w:tcPr>
          <w:p w14:paraId="3A001FE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A783BB5" w14:textId="77777777" w:rsidTr="00063500">
        <w:tc>
          <w:tcPr>
            <w:tcW w:w="1134" w:type="dxa"/>
            <w:shd w:val="clear" w:color="auto" w:fill="auto"/>
          </w:tcPr>
          <w:p w14:paraId="3849D73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tc>
        <w:tc>
          <w:tcPr>
            <w:tcW w:w="2410" w:type="dxa"/>
            <w:shd w:val="clear" w:color="auto" w:fill="auto"/>
          </w:tcPr>
          <w:p w14:paraId="03D2DA7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Community Services: Community Engagement</w:t>
            </w:r>
          </w:p>
          <w:p w14:paraId="4B12B2A9" w14:textId="77777777" w:rsidR="007371C6" w:rsidRPr="00F06E45" w:rsidRDefault="007371C6" w:rsidP="00F06E45">
            <w:pPr>
              <w:ind w:left="-108"/>
              <w:rPr>
                <w:rFonts w:ascii="Calibri" w:eastAsia="Calibri" w:hAnsi="Calibri" w:cs="Times New Roman"/>
                <w:sz w:val="18"/>
                <w:szCs w:val="18"/>
              </w:rPr>
            </w:pPr>
          </w:p>
        </w:tc>
        <w:tc>
          <w:tcPr>
            <w:tcW w:w="3969" w:type="dxa"/>
            <w:shd w:val="clear" w:color="auto" w:fill="auto"/>
          </w:tcPr>
          <w:p w14:paraId="275CCB2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participants in our community programs.</w:t>
            </w:r>
            <w:r w:rsidRPr="00F06E45">
              <w:t xml:space="preserve"> </w:t>
            </w:r>
            <w:r w:rsidRPr="00F06E45">
              <w:rPr>
                <w:rFonts w:ascii="Calibri" w:eastAsia="Calibri" w:hAnsi="Calibri" w:cs="Times New Roman"/>
                <w:sz w:val="18"/>
                <w:szCs w:val="18"/>
              </w:rPr>
              <w:t xml:space="preserve">Programs include: weekly </w:t>
            </w:r>
            <w:r w:rsidRPr="00F06E45">
              <w:rPr>
                <w:rFonts w:ascii="Calibri" w:eastAsia="Calibri" w:hAnsi="Calibri" w:cs="Times New Roman"/>
                <w:i/>
                <w:sz w:val="18"/>
                <w:szCs w:val="18"/>
              </w:rPr>
              <w:t>Babytime, Toddler Time</w:t>
            </w:r>
            <w:r w:rsidRPr="00F06E45">
              <w:rPr>
                <w:rFonts w:ascii="Calibri" w:eastAsia="Calibri" w:hAnsi="Calibri" w:cs="Times New Roman"/>
                <w:sz w:val="18"/>
                <w:szCs w:val="18"/>
              </w:rPr>
              <w:t xml:space="preserve"> and </w:t>
            </w:r>
            <w:r w:rsidRPr="00F06E45">
              <w:rPr>
                <w:rFonts w:ascii="Calibri" w:eastAsia="Calibri" w:hAnsi="Calibri" w:cs="Times New Roman"/>
                <w:i/>
                <w:sz w:val="18"/>
                <w:szCs w:val="18"/>
              </w:rPr>
              <w:t>Story Time</w:t>
            </w:r>
            <w:r w:rsidRPr="00F06E45">
              <w:rPr>
                <w:rFonts w:ascii="Calibri" w:eastAsia="Calibri" w:hAnsi="Calibri" w:cs="Times New Roman"/>
                <w:sz w:val="18"/>
                <w:szCs w:val="18"/>
              </w:rPr>
              <w:t xml:space="preserve"> programs; author events; guest speakers; library tours; media events and youth programs.</w:t>
            </w:r>
          </w:p>
        </w:tc>
        <w:tc>
          <w:tcPr>
            <w:tcW w:w="851" w:type="dxa"/>
            <w:shd w:val="clear" w:color="auto" w:fill="auto"/>
          </w:tcPr>
          <w:p w14:paraId="2DEB1F4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301C3E9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2,000</w:t>
            </w:r>
          </w:p>
        </w:tc>
        <w:tc>
          <w:tcPr>
            <w:tcW w:w="850" w:type="dxa"/>
            <w:shd w:val="clear" w:color="auto" w:fill="auto"/>
          </w:tcPr>
          <w:p w14:paraId="4699DF20" w14:textId="77777777" w:rsidR="007371C6" w:rsidRPr="00F06E45" w:rsidRDefault="007371C6" w:rsidP="00F06E45">
            <w:pPr>
              <w:rPr>
                <w:rFonts w:ascii="Calibri" w:eastAsia="Calibri" w:hAnsi="Calibri" w:cs="Times New Roman"/>
                <w:sz w:val="16"/>
                <w:szCs w:val="16"/>
              </w:rPr>
            </w:pPr>
          </w:p>
          <w:p w14:paraId="1811B84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5,650</w:t>
            </w:r>
          </w:p>
        </w:tc>
        <w:tc>
          <w:tcPr>
            <w:tcW w:w="709" w:type="dxa"/>
          </w:tcPr>
          <w:p w14:paraId="7AD7339C" w14:textId="77777777" w:rsidR="007371C6" w:rsidRPr="00F06E45" w:rsidRDefault="007371C6" w:rsidP="00F06E45">
            <w:pPr>
              <w:rPr>
                <w:sz w:val="16"/>
                <w:szCs w:val="16"/>
              </w:rPr>
            </w:pPr>
            <w:r w:rsidRPr="00F06E45">
              <w:rPr>
                <w:rFonts w:cs="Aharoni"/>
                <w:noProof/>
                <w:color w:val="1F4E79" w:themeColor="accent1" w:themeShade="80"/>
                <w:sz w:val="20"/>
                <w:szCs w:val="20"/>
                <w:lang w:eastAsia="en-AU"/>
              </w:rPr>
              <w:drawing>
                <wp:anchor distT="0" distB="0" distL="114300" distR="114300" simplePos="0" relativeHeight="251753472" behindDoc="1" locked="0" layoutInCell="1" allowOverlap="1" wp14:anchorId="2A47F3C8" wp14:editId="255FFAC7">
                  <wp:simplePos x="0" y="0"/>
                  <wp:positionH relativeFrom="column">
                    <wp:posOffset>-1905</wp:posOffset>
                  </wp:positionH>
                  <wp:positionV relativeFrom="paragraph">
                    <wp:posOffset>123825</wp:posOffset>
                  </wp:positionV>
                  <wp:extent cx="203835" cy="145415"/>
                  <wp:effectExtent l="0" t="0" r="5715" b="6985"/>
                  <wp:wrapTight wrapText="bothSides">
                    <wp:wrapPolygon edited="0">
                      <wp:start x="0" y="0"/>
                      <wp:lineTo x="0" y="19808"/>
                      <wp:lineTo x="20187" y="19808"/>
                      <wp:lineTo x="2018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2CE3F43D" w14:textId="77777777" w:rsidR="007371C6" w:rsidRPr="00F06E45" w:rsidRDefault="007371C6" w:rsidP="00F06E45">
            <w:pPr>
              <w:rPr>
                <w:color w:val="808080" w:themeColor="background1" w:themeShade="80"/>
                <w:sz w:val="16"/>
                <w:szCs w:val="16"/>
              </w:rPr>
            </w:pPr>
            <w:r w:rsidRPr="00F06E45">
              <w:rPr>
                <w:sz w:val="16"/>
                <w:szCs w:val="16"/>
              </w:rPr>
              <w:t xml:space="preserve">The figure was particularly high this quarter due to our Annual Library Book Sale, which was held in July (more than 2,000 people attended the sale). We also experienced increased attendance at our weekly </w:t>
            </w:r>
            <w:r w:rsidRPr="00F06E45">
              <w:rPr>
                <w:i/>
                <w:sz w:val="16"/>
                <w:szCs w:val="16"/>
              </w:rPr>
              <w:t>Storytime</w:t>
            </w:r>
            <w:r w:rsidRPr="00F06E45">
              <w:rPr>
                <w:sz w:val="16"/>
                <w:szCs w:val="16"/>
              </w:rPr>
              <w:t xml:space="preserve"> sessions during the 1</w:t>
            </w:r>
            <w:r w:rsidRPr="00F06E45">
              <w:rPr>
                <w:sz w:val="16"/>
                <w:szCs w:val="16"/>
                <w:vertAlign w:val="superscript"/>
              </w:rPr>
              <w:t>st</w:t>
            </w:r>
            <w:r w:rsidRPr="00F06E45">
              <w:rPr>
                <w:sz w:val="16"/>
                <w:szCs w:val="16"/>
              </w:rPr>
              <w:t xml:space="preserve"> quarter.</w:t>
            </w:r>
          </w:p>
          <w:p w14:paraId="401D98B5" w14:textId="77777777" w:rsidR="007371C6" w:rsidRPr="00F06E45" w:rsidRDefault="007371C6" w:rsidP="00F06E45">
            <w:pPr>
              <w:rPr>
                <w:sz w:val="16"/>
                <w:szCs w:val="16"/>
              </w:rPr>
            </w:pPr>
            <w:r w:rsidRPr="00F06E45">
              <w:rPr>
                <w:color w:val="808080" w:themeColor="background1" w:themeShade="80"/>
                <w:sz w:val="16"/>
                <w:szCs w:val="16"/>
              </w:rPr>
              <w:t>.</w:t>
            </w:r>
          </w:p>
        </w:tc>
      </w:tr>
      <w:tr w:rsidR="007371C6" w:rsidRPr="00F06E45" w14:paraId="2A5A8C75" w14:textId="77777777" w:rsidTr="00063500">
        <w:tc>
          <w:tcPr>
            <w:tcW w:w="15593" w:type="dxa"/>
            <w:gridSpan w:val="7"/>
            <w:tcBorders>
              <w:top w:val="single" w:sz="18" w:space="0" w:color="E36C0A"/>
              <w:bottom w:val="single" w:sz="18" w:space="0" w:color="E36C0A"/>
            </w:tcBorders>
            <w:shd w:val="clear" w:color="auto" w:fill="FABF8F"/>
          </w:tcPr>
          <w:p w14:paraId="0197747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1.6 Our culture, identity and heritage being valued, documented and preserved</w:t>
            </w:r>
            <w:r w:rsidRPr="00F06E45">
              <w:rPr>
                <w:b/>
                <w:sz w:val="20"/>
                <w:szCs w:val="20"/>
              </w:rPr>
              <w:t xml:space="preserve">  </w:t>
            </w:r>
          </w:p>
        </w:tc>
      </w:tr>
      <w:tr w:rsidR="007371C6" w:rsidRPr="00F06E45" w14:paraId="063A921D" w14:textId="77777777" w:rsidTr="00063500">
        <w:tc>
          <w:tcPr>
            <w:tcW w:w="15593" w:type="dxa"/>
            <w:gridSpan w:val="7"/>
            <w:tcBorders>
              <w:top w:val="single" w:sz="18" w:space="0" w:color="E36C0A"/>
              <w:bottom w:val="single" w:sz="18" w:space="0" w:color="E36C0A"/>
            </w:tcBorders>
          </w:tcPr>
          <w:p w14:paraId="6ECB3EF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1.6.1 Promote cultural development through understanding, recognising, recording and preserving the region's heritage, diversity, arts and culture</w:t>
            </w:r>
          </w:p>
        </w:tc>
      </w:tr>
      <w:tr w:rsidR="007371C6" w:rsidRPr="00F06E45" w14:paraId="1C4209E1" w14:textId="77777777" w:rsidTr="00063500">
        <w:trPr>
          <w:trHeight w:val="95"/>
        </w:trPr>
        <w:tc>
          <w:tcPr>
            <w:tcW w:w="1134" w:type="dxa"/>
            <w:tcBorders>
              <w:top w:val="single" w:sz="18" w:space="0" w:color="E36C0A"/>
            </w:tcBorders>
            <w:shd w:val="clear" w:color="auto" w:fill="auto"/>
          </w:tcPr>
          <w:p w14:paraId="1004034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E36C0A"/>
            </w:tcBorders>
            <w:shd w:val="clear" w:color="auto" w:fill="auto"/>
          </w:tcPr>
          <w:p w14:paraId="04FEA31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969" w:type="dxa"/>
            <w:tcBorders>
              <w:top w:val="single" w:sz="18" w:space="0" w:color="E36C0A"/>
            </w:tcBorders>
            <w:shd w:val="clear" w:color="auto" w:fill="auto"/>
          </w:tcPr>
          <w:p w14:paraId="37C3A39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E36C0A"/>
            </w:tcBorders>
            <w:shd w:val="clear" w:color="auto" w:fill="auto"/>
          </w:tcPr>
          <w:p w14:paraId="6766AEF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tcBorders>
              <w:top w:val="single" w:sz="18" w:space="0" w:color="E36C0A"/>
            </w:tcBorders>
            <w:shd w:val="clear" w:color="auto" w:fill="auto"/>
          </w:tcPr>
          <w:p w14:paraId="695329E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E36C0A"/>
            </w:tcBorders>
          </w:tcPr>
          <w:p w14:paraId="367B332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tcBorders>
              <w:top w:val="single" w:sz="18" w:space="0" w:color="E36C0A"/>
            </w:tcBorders>
            <w:shd w:val="clear" w:color="auto" w:fill="auto"/>
          </w:tcPr>
          <w:p w14:paraId="2F66F7E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666E8B5A" w14:textId="77777777" w:rsidTr="00063500">
        <w:trPr>
          <w:trHeight w:val="2308"/>
        </w:trPr>
        <w:tc>
          <w:tcPr>
            <w:tcW w:w="1134" w:type="dxa"/>
            <w:shd w:val="clear" w:color="auto" w:fill="auto"/>
          </w:tcPr>
          <w:p w14:paraId="2C81BAD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tc>
        <w:tc>
          <w:tcPr>
            <w:tcW w:w="2410" w:type="dxa"/>
            <w:shd w:val="clear" w:color="auto" w:fill="auto"/>
          </w:tcPr>
          <w:p w14:paraId="07EA2D4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Arts &amp; Culture: Culture &amp; Identity </w:t>
            </w:r>
          </w:p>
        </w:tc>
        <w:tc>
          <w:tcPr>
            <w:tcW w:w="3969" w:type="dxa"/>
            <w:shd w:val="clear" w:color="auto" w:fill="auto"/>
          </w:tcPr>
          <w:p w14:paraId="3DD83F8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Culture &amp; Identity projects/programs delivered. A Culture &amp; Identity project/program develops and promotes our local regional identity. It may include representations about our regional identity from individual, community, national and/or global perspectives.</w:t>
            </w:r>
          </w:p>
        </w:tc>
        <w:tc>
          <w:tcPr>
            <w:tcW w:w="851" w:type="dxa"/>
            <w:shd w:val="clear" w:color="auto" w:fill="auto"/>
          </w:tcPr>
          <w:p w14:paraId="2C0A217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1BB2C30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4</w:t>
            </w:r>
          </w:p>
        </w:tc>
        <w:tc>
          <w:tcPr>
            <w:tcW w:w="850" w:type="dxa"/>
            <w:shd w:val="clear" w:color="auto" w:fill="auto"/>
          </w:tcPr>
          <w:p w14:paraId="33EF98A3" w14:textId="77777777" w:rsidR="007371C6" w:rsidRPr="00F06E45" w:rsidRDefault="007371C6" w:rsidP="00F06E45">
            <w:pPr>
              <w:rPr>
                <w:rFonts w:ascii="Calibri" w:eastAsia="Calibri" w:hAnsi="Calibri" w:cs="Times New Roman"/>
                <w:sz w:val="16"/>
                <w:szCs w:val="16"/>
              </w:rPr>
            </w:pPr>
          </w:p>
          <w:p w14:paraId="09BF838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5</w:t>
            </w:r>
          </w:p>
        </w:tc>
        <w:tc>
          <w:tcPr>
            <w:tcW w:w="709" w:type="dxa"/>
          </w:tcPr>
          <w:p w14:paraId="13268600" w14:textId="77777777" w:rsidR="007371C6" w:rsidRPr="00F06E45" w:rsidRDefault="007371C6" w:rsidP="00F06E45">
            <w:r w:rsidRPr="00F06E45">
              <w:rPr>
                <w:noProof/>
                <w:lang w:eastAsia="en-AU"/>
              </w:rPr>
              <w:drawing>
                <wp:anchor distT="0" distB="0" distL="114300" distR="114300" simplePos="0" relativeHeight="251754496" behindDoc="1" locked="0" layoutInCell="1" allowOverlap="1" wp14:anchorId="6E2463D4" wp14:editId="0516BD6C">
                  <wp:simplePos x="0" y="0"/>
                  <wp:positionH relativeFrom="column">
                    <wp:posOffset>-1905</wp:posOffset>
                  </wp:positionH>
                  <wp:positionV relativeFrom="paragraph">
                    <wp:posOffset>125095</wp:posOffset>
                  </wp:positionV>
                  <wp:extent cx="203835" cy="145415"/>
                  <wp:effectExtent l="0" t="0" r="5715" b="6985"/>
                  <wp:wrapTight wrapText="bothSides">
                    <wp:wrapPolygon edited="0">
                      <wp:start x="0" y="0"/>
                      <wp:lineTo x="0" y="19808"/>
                      <wp:lineTo x="20187" y="19808"/>
                      <wp:lineTo x="20187"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p w14:paraId="47EF764E" w14:textId="77777777" w:rsidR="007371C6" w:rsidRPr="00F06E45" w:rsidRDefault="007371C6" w:rsidP="00F06E45"/>
        </w:tc>
        <w:tc>
          <w:tcPr>
            <w:tcW w:w="5670" w:type="dxa"/>
            <w:shd w:val="clear" w:color="auto" w:fill="auto"/>
          </w:tcPr>
          <w:p w14:paraId="489A730A" w14:textId="77777777" w:rsidR="007371C6" w:rsidRPr="00F06E45" w:rsidRDefault="007371C6" w:rsidP="00F06E45">
            <w:r w:rsidRPr="00F06E45">
              <w:rPr>
                <w:sz w:val="16"/>
                <w:szCs w:val="16"/>
              </w:rPr>
              <w:t xml:space="preserve">5 culture and identity projects were delivered during the 1st quarter.                  These included: </w:t>
            </w:r>
            <w:r w:rsidRPr="00F06E45">
              <w:rPr>
                <w:i/>
                <w:sz w:val="16"/>
                <w:szCs w:val="16"/>
              </w:rPr>
              <w:t>WideBay High Desert II</w:t>
            </w:r>
            <w:r w:rsidRPr="00F06E45">
              <w:rPr>
                <w:sz w:val="16"/>
                <w:szCs w:val="16"/>
              </w:rPr>
              <w:t xml:space="preserve">, an international art exchange with Las Crusces, New Mexico, involving 6 artists from the Wide Bay region; </w:t>
            </w:r>
            <w:r w:rsidRPr="00F06E45">
              <w:rPr>
                <w:i/>
                <w:sz w:val="16"/>
                <w:szCs w:val="16"/>
              </w:rPr>
              <w:t>Botanicals</w:t>
            </w:r>
            <w:r w:rsidRPr="00F06E45">
              <w:rPr>
                <w:sz w:val="16"/>
                <w:szCs w:val="16"/>
              </w:rPr>
              <w:t xml:space="preserve">, an exhibition at ChARTs involving a Childers’ based glass artists inspired by the landscape in the Isis region; </w:t>
            </w:r>
            <w:r w:rsidRPr="00F06E45">
              <w:rPr>
                <w:i/>
                <w:sz w:val="16"/>
                <w:szCs w:val="16"/>
              </w:rPr>
              <w:t>Through My Eyes</w:t>
            </w:r>
            <w:r w:rsidRPr="00F06E45">
              <w:rPr>
                <w:sz w:val="16"/>
                <w:szCs w:val="16"/>
              </w:rPr>
              <w:t xml:space="preserve">, an exhibition which featured works by indigenous artist Michael Cook and a performance by the </w:t>
            </w:r>
            <w:r w:rsidRPr="00F06E45">
              <w:rPr>
                <w:i/>
                <w:sz w:val="16"/>
                <w:szCs w:val="16"/>
              </w:rPr>
              <w:t>Taribelang Dance Group</w:t>
            </w:r>
            <w:r w:rsidRPr="00F06E45">
              <w:rPr>
                <w:sz w:val="16"/>
                <w:szCs w:val="16"/>
              </w:rPr>
              <w:t xml:space="preserve">. (The exhibition was held to celebrate NAIDOC Week); a presentation of images from the Bundaberg Regional Libraries </w:t>
            </w:r>
            <w:r w:rsidRPr="00F06E45">
              <w:rPr>
                <w:i/>
                <w:sz w:val="16"/>
                <w:szCs w:val="16"/>
              </w:rPr>
              <w:t>Picture Bundaberg</w:t>
            </w:r>
            <w:r w:rsidRPr="00F06E45">
              <w:rPr>
                <w:sz w:val="16"/>
                <w:szCs w:val="16"/>
              </w:rPr>
              <w:t xml:space="preserve"> archive, and the </w:t>
            </w:r>
            <w:r w:rsidRPr="00F06E45">
              <w:rPr>
                <w:i/>
                <w:sz w:val="16"/>
                <w:szCs w:val="16"/>
              </w:rPr>
              <w:t>Childers Festival</w:t>
            </w:r>
            <w:r w:rsidRPr="00F06E45">
              <w:rPr>
                <w:sz w:val="16"/>
                <w:szCs w:val="16"/>
              </w:rPr>
              <w:t>- during the festival an exhibition featuring local artists and related Arts activities were held on the ChARTs veranda. The Galleries also organised a stall featuring artworks by local artists.</w:t>
            </w:r>
          </w:p>
          <w:p w14:paraId="683C2544" w14:textId="77777777" w:rsidR="007371C6" w:rsidRPr="00F06E45" w:rsidRDefault="007371C6" w:rsidP="00F06E45"/>
        </w:tc>
      </w:tr>
      <w:tr w:rsidR="007371C6" w:rsidRPr="00F06E45" w14:paraId="46134438" w14:textId="77777777" w:rsidTr="00063500">
        <w:tc>
          <w:tcPr>
            <w:tcW w:w="1134" w:type="dxa"/>
            <w:shd w:val="clear" w:color="auto" w:fill="auto"/>
          </w:tcPr>
          <w:p w14:paraId="39E4D9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Arts &amp; Theatre</w:t>
            </w:r>
          </w:p>
        </w:tc>
        <w:tc>
          <w:tcPr>
            <w:tcW w:w="2410" w:type="dxa"/>
            <w:shd w:val="clear" w:color="auto" w:fill="auto"/>
          </w:tcPr>
          <w:p w14:paraId="1B8772F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Libraries: Local History: Recording and preserving our region’s heritage</w:t>
            </w:r>
          </w:p>
        </w:tc>
        <w:tc>
          <w:tcPr>
            <w:tcW w:w="3969" w:type="dxa"/>
            <w:shd w:val="clear" w:color="auto" w:fill="auto"/>
          </w:tcPr>
          <w:p w14:paraId="3651581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images, recordings and items documented, catalogued or posted to our website (i.e. in Picture Bundaberg, Bundaberg Stories or History Bytes).</w:t>
            </w:r>
          </w:p>
        </w:tc>
        <w:tc>
          <w:tcPr>
            <w:tcW w:w="851" w:type="dxa"/>
            <w:shd w:val="clear" w:color="auto" w:fill="auto"/>
          </w:tcPr>
          <w:p w14:paraId="69AD9B0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44218DF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200</w:t>
            </w:r>
          </w:p>
        </w:tc>
        <w:tc>
          <w:tcPr>
            <w:tcW w:w="850" w:type="dxa"/>
            <w:shd w:val="clear" w:color="auto" w:fill="auto"/>
          </w:tcPr>
          <w:p w14:paraId="564F6969" w14:textId="77777777" w:rsidR="007371C6" w:rsidRPr="00F06E45" w:rsidRDefault="007371C6" w:rsidP="00F06E45">
            <w:pPr>
              <w:rPr>
                <w:rFonts w:ascii="Calibri" w:eastAsia="Calibri" w:hAnsi="Calibri" w:cs="Times New Roman"/>
                <w:sz w:val="16"/>
                <w:szCs w:val="16"/>
              </w:rPr>
            </w:pPr>
          </w:p>
          <w:p w14:paraId="3F8BBB9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882</w:t>
            </w:r>
          </w:p>
        </w:tc>
        <w:tc>
          <w:tcPr>
            <w:tcW w:w="709" w:type="dxa"/>
          </w:tcPr>
          <w:p w14:paraId="6EA8262E" w14:textId="77777777" w:rsidR="007371C6" w:rsidRPr="00F06E45" w:rsidRDefault="007371C6" w:rsidP="00F06E45">
            <w:pPr>
              <w:rPr>
                <w:rFonts w:cs="Aharoni"/>
                <w:noProof/>
                <w:color w:val="1F4E79" w:themeColor="accent1" w:themeShade="80"/>
                <w:sz w:val="20"/>
                <w:szCs w:val="20"/>
                <w:lang w:eastAsia="en-AU"/>
              </w:rPr>
            </w:pPr>
            <w:r w:rsidRPr="00F06E45">
              <w:rPr>
                <w:rFonts w:cs="Aharoni"/>
                <w:noProof/>
                <w:color w:val="1F4E79" w:themeColor="accent1" w:themeShade="80"/>
                <w:sz w:val="20"/>
                <w:szCs w:val="20"/>
                <w:lang w:eastAsia="en-AU"/>
              </w:rPr>
              <w:drawing>
                <wp:anchor distT="0" distB="0" distL="114300" distR="114300" simplePos="0" relativeHeight="251755520" behindDoc="1" locked="0" layoutInCell="1" allowOverlap="1" wp14:anchorId="546D8005" wp14:editId="07D52AF8">
                  <wp:simplePos x="0" y="0"/>
                  <wp:positionH relativeFrom="column">
                    <wp:posOffset>-5080</wp:posOffset>
                  </wp:positionH>
                  <wp:positionV relativeFrom="paragraph">
                    <wp:posOffset>165100</wp:posOffset>
                  </wp:positionV>
                  <wp:extent cx="203835" cy="145415"/>
                  <wp:effectExtent l="0" t="0" r="5715" b="6985"/>
                  <wp:wrapTight wrapText="bothSides">
                    <wp:wrapPolygon edited="0">
                      <wp:start x="0" y="0"/>
                      <wp:lineTo x="0" y="19808"/>
                      <wp:lineTo x="20187" y="19808"/>
                      <wp:lineTo x="20187"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43CDB7DC" w14:textId="77777777" w:rsidR="007371C6" w:rsidRPr="00F06E45" w:rsidRDefault="007371C6" w:rsidP="00F06E45">
            <w:pPr>
              <w:rPr>
                <w:rFonts w:cs="Tahoma"/>
                <w:sz w:val="16"/>
                <w:szCs w:val="16"/>
              </w:rPr>
            </w:pPr>
            <w:r w:rsidRPr="00F06E45">
              <w:rPr>
                <w:sz w:val="16"/>
                <w:szCs w:val="16"/>
              </w:rPr>
              <w:t xml:space="preserve">Updated ICT systems (which were not available last quarter) allowed Library staff to process a backlog of files. A large number of digital aerial images, and over 500 new images were scanned and entered into our Picture Bundaberg archive, this quarter. </w:t>
            </w:r>
          </w:p>
        </w:tc>
      </w:tr>
      <w:tr w:rsidR="007371C6" w:rsidRPr="00F06E45" w14:paraId="04C58105" w14:textId="77777777" w:rsidTr="00063500">
        <w:tc>
          <w:tcPr>
            <w:tcW w:w="1134" w:type="dxa"/>
            <w:tcBorders>
              <w:bottom w:val="single" w:sz="18" w:space="0" w:color="E36C0A"/>
            </w:tcBorders>
            <w:shd w:val="clear" w:color="auto" w:fill="auto"/>
          </w:tcPr>
          <w:p w14:paraId="6C2CF541" w14:textId="77777777" w:rsidR="007371C6" w:rsidRPr="00F06E45" w:rsidRDefault="007371C6" w:rsidP="00F06E45">
            <w:pPr>
              <w:ind w:left="-108"/>
              <w:rPr>
                <w:sz w:val="18"/>
                <w:szCs w:val="18"/>
              </w:rPr>
            </w:pPr>
          </w:p>
        </w:tc>
        <w:tc>
          <w:tcPr>
            <w:tcW w:w="2410" w:type="dxa"/>
            <w:tcBorders>
              <w:bottom w:val="single" w:sz="18" w:space="0" w:color="E36C0A"/>
            </w:tcBorders>
            <w:shd w:val="clear" w:color="auto" w:fill="auto"/>
          </w:tcPr>
          <w:p w14:paraId="13C9A172" w14:textId="77777777" w:rsidR="007371C6" w:rsidRPr="00F06E45" w:rsidRDefault="007371C6" w:rsidP="00F06E45">
            <w:pPr>
              <w:ind w:left="-108"/>
              <w:rPr>
                <w:sz w:val="18"/>
                <w:szCs w:val="18"/>
              </w:rPr>
            </w:pPr>
          </w:p>
        </w:tc>
        <w:tc>
          <w:tcPr>
            <w:tcW w:w="3969" w:type="dxa"/>
            <w:tcBorders>
              <w:bottom w:val="single" w:sz="18" w:space="0" w:color="E36C0A"/>
            </w:tcBorders>
            <w:shd w:val="clear" w:color="auto" w:fill="auto"/>
          </w:tcPr>
          <w:p w14:paraId="39435C5E" w14:textId="77777777" w:rsidR="007371C6" w:rsidRPr="00F06E45" w:rsidRDefault="007371C6" w:rsidP="00F06E45">
            <w:pPr>
              <w:ind w:left="-108"/>
              <w:rPr>
                <w:sz w:val="18"/>
                <w:szCs w:val="18"/>
              </w:rPr>
            </w:pPr>
          </w:p>
        </w:tc>
        <w:tc>
          <w:tcPr>
            <w:tcW w:w="851" w:type="dxa"/>
            <w:tcBorders>
              <w:bottom w:val="single" w:sz="18" w:space="0" w:color="E36C0A"/>
            </w:tcBorders>
            <w:shd w:val="clear" w:color="auto" w:fill="auto"/>
          </w:tcPr>
          <w:p w14:paraId="683B66B3" w14:textId="77777777" w:rsidR="007371C6" w:rsidRPr="00F06E45" w:rsidRDefault="007371C6" w:rsidP="00F06E45">
            <w:pPr>
              <w:ind w:left="-108"/>
              <w:rPr>
                <w:sz w:val="16"/>
                <w:szCs w:val="16"/>
              </w:rPr>
            </w:pPr>
          </w:p>
        </w:tc>
        <w:tc>
          <w:tcPr>
            <w:tcW w:w="850" w:type="dxa"/>
            <w:tcBorders>
              <w:bottom w:val="single" w:sz="18" w:space="0" w:color="E36C0A"/>
            </w:tcBorders>
            <w:shd w:val="clear" w:color="auto" w:fill="auto"/>
          </w:tcPr>
          <w:p w14:paraId="49DFD817" w14:textId="77777777" w:rsidR="007371C6" w:rsidRPr="00F06E45" w:rsidRDefault="007371C6" w:rsidP="00F06E45">
            <w:pPr>
              <w:ind w:left="-108"/>
              <w:rPr>
                <w:sz w:val="16"/>
                <w:szCs w:val="16"/>
              </w:rPr>
            </w:pPr>
          </w:p>
        </w:tc>
        <w:tc>
          <w:tcPr>
            <w:tcW w:w="709" w:type="dxa"/>
            <w:tcBorders>
              <w:bottom w:val="single" w:sz="18" w:space="0" w:color="E36C0A"/>
            </w:tcBorders>
          </w:tcPr>
          <w:p w14:paraId="2B71B5E3" w14:textId="77777777" w:rsidR="007371C6" w:rsidRPr="00F06E45" w:rsidRDefault="007371C6" w:rsidP="00F06E45">
            <w:pPr>
              <w:rPr>
                <w:sz w:val="16"/>
                <w:szCs w:val="16"/>
              </w:rPr>
            </w:pPr>
          </w:p>
        </w:tc>
        <w:tc>
          <w:tcPr>
            <w:tcW w:w="5670" w:type="dxa"/>
            <w:tcBorders>
              <w:bottom w:val="single" w:sz="18" w:space="0" w:color="E36C0A"/>
            </w:tcBorders>
            <w:shd w:val="clear" w:color="auto" w:fill="auto"/>
          </w:tcPr>
          <w:p w14:paraId="445B7C8A" w14:textId="77777777" w:rsidR="007371C6" w:rsidRPr="00F06E45" w:rsidRDefault="007371C6" w:rsidP="00F06E45">
            <w:pPr>
              <w:rPr>
                <w:sz w:val="16"/>
                <w:szCs w:val="16"/>
              </w:rPr>
            </w:pPr>
            <w:r w:rsidRPr="00F06E45">
              <w:rPr>
                <w:sz w:val="16"/>
                <w:szCs w:val="16"/>
              </w:rPr>
              <w:t xml:space="preserve"> </w:t>
            </w:r>
          </w:p>
        </w:tc>
      </w:tr>
    </w:tbl>
    <w:p w14:paraId="27F349DA" w14:textId="77777777" w:rsidR="007371C6" w:rsidRPr="00F06E45" w:rsidRDefault="007371C6" w:rsidP="00F06E45">
      <w:pPr>
        <w:spacing w:after="0" w:line="240" w:lineRule="auto"/>
        <w:rPr>
          <w:rFonts w:ascii="Times New Roman" w:eastAsia="Calibri" w:hAnsi="Times New Roman" w:cs="Times New Roman"/>
          <w:b/>
          <w:i/>
          <w:color w:val="368243"/>
          <w:sz w:val="28"/>
          <w:szCs w:val="28"/>
        </w:rPr>
      </w:pPr>
      <w:r w:rsidRPr="00F06E45">
        <w:rPr>
          <w:rFonts w:ascii="Times New Roman" w:eastAsia="Calibri" w:hAnsi="Times New Roman" w:cs="Times New Roman"/>
          <w:b/>
          <w:i/>
          <w:color w:val="368243"/>
          <w:sz w:val="28"/>
          <w:szCs w:val="28"/>
        </w:rPr>
        <w:t xml:space="preserve">  </w:t>
      </w:r>
    </w:p>
    <w:p w14:paraId="3B64EA0A" w14:textId="77777777" w:rsidR="007371C6" w:rsidRPr="00F06E45" w:rsidRDefault="007371C6" w:rsidP="00F06E45">
      <w:pPr>
        <w:spacing w:after="0" w:line="240" w:lineRule="auto"/>
      </w:pPr>
      <w:r w:rsidRPr="00F06E45">
        <w:t xml:space="preserve"> </w:t>
      </w:r>
    </w:p>
    <w:p w14:paraId="2973642A" w14:textId="77777777" w:rsidR="007371C6" w:rsidRPr="00F06E45" w:rsidRDefault="007371C6" w:rsidP="00F06E45">
      <w:pPr>
        <w:spacing w:after="0" w:line="240" w:lineRule="auto"/>
      </w:pPr>
    </w:p>
    <w:p w14:paraId="4AD673A0" w14:textId="77777777" w:rsidR="007371C6" w:rsidRPr="00F06E45" w:rsidRDefault="007371C6" w:rsidP="00F06E45"/>
    <w:p w14:paraId="201EAF32" w14:textId="77777777" w:rsidR="007371C6" w:rsidRPr="00F06E45" w:rsidRDefault="007371C6" w:rsidP="00F06E45">
      <w:pPr>
        <w:spacing w:after="0" w:line="240" w:lineRule="auto"/>
        <w:sectPr w:rsidR="007371C6" w:rsidRPr="00F06E45" w:rsidSect="000F71F5">
          <w:footerReference w:type="default" r:id="rId40"/>
          <w:pgSz w:w="16838" w:h="11906" w:orient="landscape"/>
          <w:pgMar w:top="0" w:right="678" w:bottom="709" w:left="567" w:header="708" w:footer="173" w:gutter="0"/>
          <w:cols w:space="708"/>
          <w:titlePg/>
          <w:docGrid w:linePitch="360"/>
        </w:sectPr>
      </w:pPr>
      <w:r w:rsidRPr="00F06E45">
        <w:t xml:space="preserve"> </w:t>
      </w:r>
    </w:p>
    <w:p w14:paraId="5433E47C" w14:textId="77777777" w:rsidR="007371C6" w:rsidRPr="00F06E45" w:rsidRDefault="007371C6" w:rsidP="00F06E45"/>
    <w:p w14:paraId="65D14249" w14:textId="77777777" w:rsidR="007371C6" w:rsidRPr="00F06E45" w:rsidRDefault="007371C6" w:rsidP="00F06E45">
      <w:pPr>
        <w:tabs>
          <w:tab w:val="left" w:pos="1025"/>
        </w:tabs>
        <w:spacing w:after="200" w:line="276" w:lineRule="auto"/>
        <w:rPr>
          <w:rFonts w:ascii="Times New Roman" w:eastAsia="Calibri" w:hAnsi="Times New Roman" w:cs="Times New Roman"/>
          <w:b/>
        </w:rPr>
      </w:pPr>
      <w:r w:rsidRPr="00F06E45">
        <w:rPr>
          <w:rFonts w:ascii="Times New Roman" w:eastAsia="Calibri" w:hAnsi="Times New Roman" w:cs="Times New Roman"/>
          <w:b/>
          <w:i/>
          <w:color w:val="368243"/>
          <w:sz w:val="28"/>
          <w:szCs w:val="28"/>
        </w:rPr>
        <w:t>A healthy natural environment</w:t>
      </w:r>
      <w:r w:rsidRPr="00F06E45">
        <w:rPr>
          <w:rFonts w:ascii="Times New Roman" w:eastAsia="Calibri" w:hAnsi="Times New Roman" w:cs="Times New Roman"/>
          <w:b/>
          <w:i/>
          <w:color w:val="368243"/>
          <w:sz w:val="28"/>
          <w:szCs w:val="28"/>
        </w:rPr>
        <w:tab/>
      </w:r>
      <w:r w:rsidRPr="00F06E45">
        <w:rPr>
          <w:rFonts w:ascii="Times New Roman" w:eastAsia="Calibri" w:hAnsi="Times New Roman" w:cs="Times New Roman"/>
          <w:b/>
          <w:i/>
          <w:color w:val="368243"/>
          <w:sz w:val="28"/>
          <w:szCs w:val="28"/>
        </w:rPr>
        <w:tab/>
        <w:t xml:space="preserve">                                                                                 </w:t>
      </w:r>
      <w:r w:rsidRPr="00F06E45">
        <w:rPr>
          <w:rFonts w:ascii="Times New Roman" w:eastAsia="Calibri" w:hAnsi="Times New Roman" w:cs="Times New Roman"/>
          <w:b/>
        </w:rPr>
        <w:t>caring for our surrounding, sustaining the environment</w:t>
      </w:r>
    </w:p>
    <w:tbl>
      <w:tblPr>
        <w:tblStyle w:val="TableGrid1"/>
        <w:tblpPr w:leftFromText="180" w:rightFromText="180" w:vertAnchor="text" w:horzAnchor="page" w:tblpX="498" w:tblpY="100"/>
        <w:tblW w:w="15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552"/>
        <w:gridCol w:w="3685"/>
        <w:gridCol w:w="142"/>
        <w:gridCol w:w="851"/>
        <w:gridCol w:w="51"/>
        <w:gridCol w:w="693"/>
        <w:gridCol w:w="106"/>
        <w:gridCol w:w="709"/>
        <w:gridCol w:w="1789"/>
        <w:gridCol w:w="852"/>
        <w:gridCol w:w="3171"/>
      </w:tblGrid>
      <w:tr w:rsidR="007371C6" w:rsidRPr="00F06E45" w14:paraId="6EE6DF0C" w14:textId="77777777" w:rsidTr="00063500">
        <w:trPr>
          <w:trHeight w:val="254"/>
        </w:trPr>
        <w:tc>
          <w:tcPr>
            <w:tcW w:w="7513" w:type="dxa"/>
            <w:gridSpan w:val="4"/>
            <w:tcBorders>
              <w:top w:val="single" w:sz="18" w:space="0" w:color="308060"/>
              <w:bottom w:val="single" w:sz="18" w:space="0" w:color="308060"/>
            </w:tcBorders>
            <w:shd w:val="clear" w:color="auto" w:fill="C7E6A4"/>
          </w:tcPr>
          <w:p w14:paraId="27E8D12C"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2.1  A natural environment that is valued and sustainable</w:t>
            </w:r>
            <w:r w:rsidRPr="00F06E45">
              <w:rPr>
                <w:rFonts w:ascii="Calibri" w:eastAsia="Calibri" w:hAnsi="Calibri" w:cs="Times New Roman"/>
                <w:b/>
                <w:sz w:val="20"/>
                <w:szCs w:val="20"/>
              </w:rPr>
              <w:t xml:space="preserve"> </w:t>
            </w:r>
          </w:p>
        </w:tc>
        <w:tc>
          <w:tcPr>
            <w:tcW w:w="902" w:type="dxa"/>
            <w:gridSpan w:val="2"/>
            <w:tcBorders>
              <w:top w:val="single" w:sz="18" w:space="0" w:color="308060"/>
              <w:bottom w:val="single" w:sz="18" w:space="0" w:color="308060"/>
            </w:tcBorders>
            <w:shd w:val="clear" w:color="auto" w:fill="C7E6A4"/>
          </w:tcPr>
          <w:p w14:paraId="29AD58FB" w14:textId="77777777" w:rsidR="007371C6" w:rsidRPr="00F06E45" w:rsidRDefault="007371C6" w:rsidP="00F06E45">
            <w:pPr>
              <w:tabs>
                <w:tab w:val="left" w:pos="2235"/>
              </w:tabs>
              <w:rPr>
                <w:rFonts w:ascii="Calibri" w:eastAsia="Calibri" w:hAnsi="Calibri" w:cs="Times New Roman"/>
                <w:b/>
                <w:sz w:val="18"/>
                <w:szCs w:val="18"/>
              </w:rPr>
            </w:pPr>
          </w:p>
        </w:tc>
        <w:tc>
          <w:tcPr>
            <w:tcW w:w="3297" w:type="dxa"/>
            <w:gridSpan w:val="4"/>
            <w:tcBorders>
              <w:top w:val="single" w:sz="18" w:space="0" w:color="308060"/>
              <w:bottom w:val="single" w:sz="18" w:space="0" w:color="308060"/>
            </w:tcBorders>
            <w:shd w:val="clear" w:color="auto" w:fill="C7E6A4"/>
          </w:tcPr>
          <w:p w14:paraId="7A3B6069" w14:textId="77777777" w:rsidR="007371C6" w:rsidRPr="00F06E45" w:rsidRDefault="007371C6" w:rsidP="00F06E45">
            <w:pPr>
              <w:tabs>
                <w:tab w:val="left" w:pos="2235"/>
              </w:tabs>
              <w:rPr>
                <w:rFonts w:ascii="Calibri" w:eastAsia="Calibri" w:hAnsi="Calibri" w:cs="Times New Roman"/>
                <w:b/>
                <w:sz w:val="18"/>
                <w:szCs w:val="18"/>
              </w:rPr>
            </w:pPr>
          </w:p>
        </w:tc>
        <w:tc>
          <w:tcPr>
            <w:tcW w:w="852" w:type="dxa"/>
            <w:tcBorders>
              <w:top w:val="single" w:sz="18" w:space="0" w:color="308060"/>
              <w:bottom w:val="single" w:sz="18" w:space="0" w:color="308060"/>
            </w:tcBorders>
            <w:shd w:val="clear" w:color="auto" w:fill="C7E6A4"/>
          </w:tcPr>
          <w:p w14:paraId="52EE8412" w14:textId="77777777" w:rsidR="007371C6" w:rsidRPr="00F06E45" w:rsidRDefault="007371C6" w:rsidP="00F06E45">
            <w:pPr>
              <w:tabs>
                <w:tab w:val="left" w:pos="2235"/>
              </w:tabs>
              <w:rPr>
                <w:rFonts w:ascii="Calibri" w:eastAsia="Calibri" w:hAnsi="Calibri" w:cs="Times New Roman"/>
                <w:b/>
                <w:sz w:val="18"/>
                <w:szCs w:val="18"/>
              </w:rPr>
            </w:pPr>
          </w:p>
        </w:tc>
        <w:tc>
          <w:tcPr>
            <w:tcW w:w="3171" w:type="dxa"/>
            <w:tcBorders>
              <w:top w:val="single" w:sz="18" w:space="0" w:color="308060"/>
              <w:bottom w:val="single" w:sz="18" w:space="0" w:color="308060"/>
            </w:tcBorders>
            <w:shd w:val="clear" w:color="auto" w:fill="C7E6A4"/>
          </w:tcPr>
          <w:p w14:paraId="234D7DFC" w14:textId="77777777" w:rsidR="007371C6" w:rsidRPr="00F06E45" w:rsidRDefault="007371C6" w:rsidP="00F06E45">
            <w:pPr>
              <w:tabs>
                <w:tab w:val="left" w:pos="2235"/>
              </w:tabs>
              <w:rPr>
                <w:rFonts w:ascii="Calibri" w:eastAsia="Calibri" w:hAnsi="Calibri" w:cs="Times New Roman"/>
                <w:b/>
                <w:sz w:val="18"/>
                <w:szCs w:val="18"/>
              </w:rPr>
            </w:pPr>
          </w:p>
        </w:tc>
      </w:tr>
      <w:tr w:rsidR="007371C6" w:rsidRPr="00F06E45" w14:paraId="05657F16" w14:textId="77777777" w:rsidTr="00063500">
        <w:trPr>
          <w:trHeight w:val="216"/>
        </w:trPr>
        <w:tc>
          <w:tcPr>
            <w:tcW w:w="15735" w:type="dxa"/>
            <w:gridSpan w:val="12"/>
            <w:tcBorders>
              <w:top w:val="single" w:sz="18" w:space="0" w:color="308060"/>
              <w:bottom w:val="single" w:sz="18" w:space="0" w:color="308060"/>
            </w:tcBorders>
          </w:tcPr>
          <w:p w14:paraId="2A07B98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2.1.1 Provide a range of community awareness activities and programs that enable the community to support the preservation of the region's natural environment</w:t>
            </w:r>
          </w:p>
        </w:tc>
      </w:tr>
      <w:tr w:rsidR="007371C6" w:rsidRPr="00F06E45" w14:paraId="684C4003" w14:textId="77777777" w:rsidTr="00063500">
        <w:trPr>
          <w:trHeight w:val="202"/>
        </w:trPr>
        <w:tc>
          <w:tcPr>
            <w:tcW w:w="1134" w:type="dxa"/>
            <w:tcBorders>
              <w:top w:val="single" w:sz="18" w:space="0" w:color="308060"/>
            </w:tcBorders>
          </w:tcPr>
          <w:p w14:paraId="21C918F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552" w:type="dxa"/>
            <w:tcBorders>
              <w:top w:val="single" w:sz="18" w:space="0" w:color="308060"/>
            </w:tcBorders>
          </w:tcPr>
          <w:p w14:paraId="3ACF17B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308060"/>
            </w:tcBorders>
          </w:tcPr>
          <w:p w14:paraId="35CCACF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993" w:type="dxa"/>
            <w:gridSpan w:val="2"/>
            <w:tcBorders>
              <w:top w:val="single" w:sz="18" w:space="0" w:color="308060"/>
            </w:tcBorders>
          </w:tcPr>
          <w:p w14:paraId="0814DE3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gridSpan w:val="3"/>
            <w:tcBorders>
              <w:top w:val="single" w:sz="18" w:space="0" w:color="308060"/>
            </w:tcBorders>
          </w:tcPr>
          <w:p w14:paraId="239CE2C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08060"/>
            </w:tcBorders>
          </w:tcPr>
          <w:p w14:paraId="54B5CCF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3"/>
            <w:tcBorders>
              <w:top w:val="single" w:sz="18" w:space="0" w:color="308060"/>
            </w:tcBorders>
          </w:tcPr>
          <w:p w14:paraId="5D85925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3DEB23A3" w14:textId="77777777" w:rsidTr="00063500">
        <w:trPr>
          <w:trHeight w:val="1420"/>
        </w:trPr>
        <w:tc>
          <w:tcPr>
            <w:tcW w:w="1134" w:type="dxa"/>
            <w:tcBorders>
              <w:bottom w:val="single" w:sz="18" w:space="0" w:color="308060"/>
            </w:tcBorders>
            <w:shd w:val="clear" w:color="auto" w:fill="auto"/>
          </w:tcPr>
          <w:p w14:paraId="5040B19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Parks, Sports &amp; Natural Areas</w:t>
            </w:r>
          </w:p>
        </w:tc>
        <w:tc>
          <w:tcPr>
            <w:tcW w:w="2552" w:type="dxa"/>
            <w:tcBorders>
              <w:bottom w:val="single" w:sz="18" w:space="0" w:color="308060"/>
            </w:tcBorders>
            <w:shd w:val="clear" w:color="auto" w:fill="auto"/>
          </w:tcPr>
          <w:p w14:paraId="5CE8F8E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Natural Resource Management: Public Awareness &amp; Education</w:t>
            </w:r>
          </w:p>
        </w:tc>
        <w:tc>
          <w:tcPr>
            <w:tcW w:w="3685" w:type="dxa"/>
            <w:tcBorders>
              <w:bottom w:val="single" w:sz="18" w:space="0" w:color="308060"/>
            </w:tcBorders>
            <w:shd w:val="clear" w:color="auto" w:fill="auto"/>
          </w:tcPr>
          <w:p w14:paraId="70A12E4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public awareness and education programs and activities. Programs include: field days, community events, brochures, workshops &amp; signage. </w:t>
            </w:r>
          </w:p>
        </w:tc>
        <w:tc>
          <w:tcPr>
            <w:tcW w:w="993" w:type="dxa"/>
            <w:gridSpan w:val="2"/>
            <w:tcBorders>
              <w:bottom w:val="single" w:sz="18" w:space="0" w:color="308060"/>
            </w:tcBorders>
            <w:shd w:val="clear" w:color="auto" w:fill="auto"/>
          </w:tcPr>
          <w:p w14:paraId="72791F6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2BB6828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w:t>
            </w:r>
          </w:p>
        </w:tc>
        <w:tc>
          <w:tcPr>
            <w:tcW w:w="850" w:type="dxa"/>
            <w:gridSpan w:val="3"/>
            <w:tcBorders>
              <w:bottom w:val="single" w:sz="18" w:space="0" w:color="308060"/>
            </w:tcBorders>
            <w:shd w:val="clear" w:color="auto" w:fill="auto"/>
          </w:tcPr>
          <w:p w14:paraId="13B9E28A" w14:textId="77777777" w:rsidR="007371C6" w:rsidRPr="00F06E45" w:rsidRDefault="007371C6" w:rsidP="00F06E45">
            <w:pPr>
              <w:rPr>
                <w:rFonts w:ascii="Calibri" w:eastAsia="Calibri" w:hAnsi="Calibri" w:cs="Times New Roman"/>
                <w:sz w:val="16"/>
                <w:szCs w:val="16"/>
              </w:rPr>
            </w:pPr>
          </w:p>
          <w:p w14:paraId="5D3480C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w:t>
            </w:r>
          </w:p>
        </w:tc>
        <w:tc>
          <w:tcPr>
            <w:tcW w:w="709" w:type="dxa"/>
            <w:tcBorders>
              <w:bottom w:val="single" w:sz="18" w:space="0" w:color="308060"/>
            </w:tcBorders>
            <w:shd w:val="clear" w:color="auto" w:fill="auto"/>
          </w:tcPr>
          <w:p w14:paraId="423D386C"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57568" behindDoc="1" locked="0" layoutInCell="1" allowOverlap="1" wp14:anchorId="17DE15D5" wp14:editId="3DF84686">
                  <wp:simplePos x="0" y="0"/>
                  <wp:positionH relativeFrom="column">
                    <wp:posOffset>-1905</wp:posOffset>
                  </wp:positionH>
                  <wp:positionV relativeFrom="paragraph">
                    <wp:posOffset>124460</wp:posOffset>
                  </wp:positionV>
                  <wp:extent cx="203835" cy="145415"/>
                  <wp:effectExtent l="0" t="0" r="5715" b="6985"/>
                  <wp:wrapTight wrapText="bothSides">
                    <wp:wrapPolygon edited="0">
                      <wp:start x="0" y="0"/>
                      <wp:lineTo x="0" y="19808"/>
                      <wp:lineTo x="20187" y="19808"/>
                      <wp:lineTo x="2018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3"/>
            <w:tcBorders>
              <w:bottom w:val="single" w:sz="18" w:space="0" w:color="308060"/>
            </w:tcBorders>
            <w:shd w:val="clear" w:color="auto" w:fill="auto"/>
          </w:tcPr>
          <w:p w14:paraId="41AA50D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 environmental awareness or education campaigns were held in the 1st quarter. These included: the new Nature Park for Gin Gin article; New Meadowvale Nature Park brochure developed and distributed; Cottonwood Tree Replacement Project article on BRC Facebook page; G</w:t>
            </w:r>
            <w:r w:rsidR="00C67AEE" w:rsidRPr="00F06E45">
              <w:rPr>
                <w:rFonts w:ascii="Calibri" w:eastAsia="Calibri" w:hAnsi="Calibri" w:cs="Times New Roman"/>
                <w:sz w:val="16"/>
                <w:szCs w:val="16"/>
              </w:rPr>
              <w:t>iant Rat Tail grass (GRT)</w:t>
            </w:r>
            <w:r w:rsidRPr="00F06E45">
              <w:rPr>
                <w:rFonts w:ascii="Calibri" w:eastAsia="Calibri" w:hAnsi="Calibri" w:cs="Times New Roman"/>
                <w:sz w:val="16"/>
                <w:szCs w:val="16"/>
              </w:rPr>
              <w:t xml:space="preserve"> Field Day Mount Larcom; GRT and African Lovegrass Information Session in Childers with Isis Canegrowers; ABC Radio Interview with Eric Dyke on GRT control options; Sale of declared pest plants at markets article in News Mail; coordinated wild dog baiting program. </w:t>
            </w:r>
          </w:p>
        </w:tc>
      </w:tr>
      <w:tr w:rsidR="007371C6" w:rsidRPr="00F06E45" w14:paraId="5550FCF8" w14:textId="77777777" w:rsidTr="00063500">
        <w:trPr>
          <w:trHeight w:val="202"/>
        </w:trPr>
        <w:tc>
          <w:tcPr>
            <w:tcW w:w="15735" w:type="dxa"/>
            <w:gridSpan w:val="12"/>
            <w:tcBorders>
              <w:top w:val="single" w:sz="18" w:space="0" w:color="308060"/>
              <w:bottom w:val="single" w:sz="18" w:space="0" w:color="308060"/>
            </w:tcBorders>
          </w:tcPr>
          <w:p w14:paraId="00C3098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2.1.3 Within resources and in partnerships with key stakeholders, effectively and efficiently manage, rehabilitate and preserve the environment amenity of our region</w:t>
            </w:r>
          </w:p>
        </w:tc>
      </w:tr>
      <w:tr w:rsidR="007371C6" w:rsidRPr="00F06E45" w14:paraId="650ABDE1" w14:textId="77777777" w:rsidTr="00063500">
        <w:trPr>
          <w:trHeight w:val="216"/>
        </w:trPr>
        <w:tc>
          <w:tcPr>
            <w:tcW w:w="1134" w:type="dxa"/>
            <w:tcBorders>
              <w:top w:val="single" w:sz="18" w:space="0" w:color="308060"/>
            </w:tcBorders>
            <w:shd w:val="clear" w:color="auto" w:fill="auto"/>
          </w:tcPr>
          <w:p w14:paraId="1F05A52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552" w:type="dxa"/>
            <w:tcBorders>
              <w:top w:val="single" w:sz="18" w:space="0" w:color="308060"/>
            </w:tcBorders>
            <w:shd w:val="clear" w:color="auto" w:fill="auto"/>
          </w:tcPr>
          <w:p w14:paraId="369D1C5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308060"/>
            </w:tcBorders>
            <w:shd w:val="clear" w:color="auto" w:fill="auto"/>
          </w:tcPr>
          <w:p w14:paraId="4455DDC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1044" w:type="dxa"/>
            <w:gridSpan w:val="3"/>
            <w:tcBorders>
              <w:top w:val="single" w:sz="18" w:space="0" w:color="308060"/>
            </w:tcBorders>
            <w:shd w:val="clear" w:color="auto" w:fill="auto"/>
          </w:tcPr>
          <w:p w14:paraId="2D2AB5E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693" w:type="dxa"/>
            <w:tcBorders>
              <w:top w:val="single" w:sz="18" w:space="0" w:color="308060"/>
            </w:tcBorders>
            <w:shd w:val="clear" w:color="auto" w:fill="auto"/>
          </w:tcPr>
          <w:p w14:paraId="5A91FE4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15" w:type="dxa"/>
            <w:gridSpan w:val="2"/>
            <w:tcBorders>
              <w:top w:val="single" w:sz="18" w:space="0" w:color="308060"/>
            </w:tcBorders>
          </w:tcPr>
          <w:p w14:paraId="2DD4673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3"/>
            <w:tcBorders>
              <w:top w:val="single" w:sz="18" w:space="0" w:color="308060"/>
            </w:tcBorders>
            <w:shd w:val="clear" w:color="auto" w:fill="auto"/>
          </w:tcPr>
          <w:p w14:paraId="4889AEF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227AC9C" w14:textId="77777777" w:rsidTr="00063500">
        <w:trPr>
          <w:trHeight w:val="1319"/>
        </w:trPr>
        <w:tc>
          <w:tcPr>
            <w:tcW w:w="1134" w:type="dxa"/>
            <w:tcBorders>
              <w:bottom w:val="single" w:sz="18" w:space="0" w:color="308060"/>
            </w:tcBorders>
            <w:shd w:val="clear" w:color="auto" w:fill="auto"/>
          </w:tcPr>
          <w:p w14:paraId="682353C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Parks, Sport &amp; Natural Areas </w:t>
            </w:r>
          </w:p>
          <w:p w14:paraId="2E50E5FC" w14:textId="77777777" w:rsidR="007371C6" w:rsidRPr="00F06E45" w:rsidRDefault="007371C6" w:rsidP="00F06E45">
            <w:pPr>
              <w:ind w:left="-108"/>
              <w:rPr>
                <w:rFonts w:ascii="Calibri" w:eastAsia="Calibri" w:hAnsi="Calibri" w:cs="Times New Roman"/>
                <w:sz w:val="18"/>
                <w:szCs w:val="18"/>
              </w:rPr>
            </w:pPr>
          </w:p>
        </w:tc>
        <w:tc>
          <w:tcPr>
            <w:tcW w:w="2552" w:type="dxa"/>
            <w:tcBorders>
              <w:bottom w:val="single" w:sz="18" w:space="0" w:color="308060"/>
            </w:tcBorders>
            <w:shd w:val="clear" w:color="auto" w:fill="auto"/>
          </w:tcPr>
          <w:p w14:paraId="7093CA56" w14:textId="77777777" w:rsidR="00645065"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Natural Resource Management: Natural Areas Operational Plan</w:t>
            </w:r>
            <w:r w:rsidR="00645065" w:rsidRPr="00F06E45">
              <w:rPr>
                <w:rFonts w:ascii="Calibri" w:eastAsia="Calibri" w:hAnsi="Calibri" w:cs="Times New Roman"/>
                <w:sz w:val="18"/>
                <w:szCs w:val="18"/>
              </w:rPr>
              <w:t>s</w:t>
            </w:r>
          </w:p>
          <w:p w14:paraId="70C6449E" w14:textId="77777777" w:rsidR="007371C6" w:rsidRPr="00F06E45" w:rsidRDefault="007371C6" w:rsidP="00F06E45">
            <w:pPr>
              <w:ind w:left="-108"/>
              <w:rPr>
                <w:rFonts w:ascii="Calibri" w:eastAsia="Calibri" w:hAnsi="Calibri" w:cs="Times New Roman"/>
                <w:sz w:val="18"/>
                <w:szCs w:val="18"/>
              </w:rPr>
            </w:pPr>
          </w:p>
        </w:tc>
        <w:tc>
          <w:tcPr>
            <w:tcW w:w="3685" w:type="dxa"/>
            <w:tcBorders>
              <w:bottom w:val="single" w:sz="18" w:space="0" w:color="308060"/>
            </w:tcBorders>
            <w:shd w:val="clear" w:color="auto" w:fill="auto"/>
          </w:tcPr>
          <w:p w14:paraId="0143598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actions undertaken. </w:t>
            </w:r>
            <w:r w:rsidR="00645065" w:rsidRPr="00F06E45">
              <w:rPr>
                <w:rFonts w:ascii="Calibri" w:eastAsia="Calibri" w:hAnsi="Calibri" w:cs="Times New Roman"/>
                <w:sz w:val="18"/>
                <w:szCs w:val="18"/>
              </w:rPr>
              <w:t>Key priorities include: Weed control</w:t>
            </w:r>
            <w:r w:rsidR="00485C54" w:rsidRPr="00F06E45">
              <w:rPr>
                <w:rFonts w:ascii="Calibri" w:eastAsia="Calibri" w:hAnsi="Calibri" w:cs="Times New Roman"/>
                <w:sz w:val="18"/>
                <w:szCs w:val="18"/>
              </w:rPr>
              <w:t>,</w:t>
            </w:r>
            <w:r w:rsidR="00645065" w:rsidRPr="00F06E45">
              <w:rPr>
                <w:rFonts w:ascii="Calibri" w:eastAsia="Calibri" w:hAnsi="Calibri" w:cs="Times New Roman"/>
                <w:sz w:val="18"/>
                <w:szCs w:val="18"/>
              </w:rPr>
              <w:t xml:space="preserve"> track maintenance</w:t>
            </w:r>
            <w:r w:rsidR="00485C54" w:rsidRPr="00F06E45">
              <w:rPr>
                <w:rFonts w:ascii="Calibri" w:eastAsia="Calibri" w:hAnsi="Calibri" w:cs="Times New Roman"/>
                <w:sz w:val="18"/>
                <w:szCs w:val="18"/>
              </w:rPr>
              <w:t>,</w:t>
            </w:r>
            <w:r w:rsidR="00645065" w:rsidRPr="00F06E45">
              <w:rPr>
                <w:rFonts w:ascii="Calibri" w:eastAsia="Calibri" w:hAnsi="Calibri" w:cs="Times New Roman"/>
                <w:sz w:val="18"/>
                <w:szCs w:val="18"/>
              </w:rPr>
              <w:t xml:space="preserve"> regeneration </w:t>
            </w:r>
            <w:r w:rsidR="00485C54" w:rsidRPr="00F06E45">
              <w:rPr>
                <w:rFonts w:ascii="Calibri" w:eastAsia="Calibri" w:hAnsi="Calibri" w:cs="Times New Roman"/>
                <w:sz w:val="18"/>
                <w:szCs w:val="18"/>
              </w:rPr>
              <w:t>projects and</w:t>
            </w:r>
            <w:r w:rsidR="005051A6" w:rsidRPr="00F06E45">
              <w:rPr>
                <w:rFonts w:ascii="Calibri" w:eastAsia="Calibri" w:hAnsi="Calibri" w:cs="Times New Roman"/>
                <w:sz w:val="18"/>
                <w:szCs w:val="18"/>
              </w:rPr>
              <w:t xml:space="preserve"> Natural A</w:t>
            </w:r>
            <w:r w:rsidR="00485C54" w:rsidRPr="00F06E45">
              <w:rPr>
                <w:rFonts w:ascii="Calibri" w:eastAsia="Calibri" w:hAnsi="Calibri" w:cs="Times New Roman"/>
                <w:sz w:val="18"/>
                <w:szCs w:val="18"/>
              </w:rPr>
              <w:t>reas improvement</w:t>
            </w:r>
            <w:r w:rsidR="00645065" w:rsidRPr="00F06E45">
              <w:rPr>
                <w:rFonts w:ascii="Calibri" w:eastAsia="Calibri" w:hAnsi="Calibri" w:cs="Times New Roman"/>
                <w:sz w:val="18"/>
                <w:szCs w:val="18"/>
              </w:rPr>
              <w:t xml:space="preserve">. </w:t>
            </w:r>
          </w:p>
        </w:tc>
        <w:tc>
          <w:tcPr>
            <w:tcW w:w="1044" w:type="dxa"/>
            <w:gridSpan w:val="3"/>
            <w:tcBorders>
              <w:bottom w:val="single" w:sz="18" w:space="0" w:color="308060"/>
            </w:tcBorders>
            <w:shd w:val="clear" w:color="auto" w:fill="auto"/>
          </w:tcPr>
          <w:p w14:paraId="0FCDB0A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 75%</w:t>
            </w:r>
          </w:p>
        </w:tc>
        <w:tc>
          <w:tcPr>
            <w:tcW w:w="693" w:type="dxa"/>
            <w:tcBorders>
              <w:bottom w:val="single" w:sz="18" w:space="0" w:color="308060"/>
            </w:tcBorders>
            <w:shd w:val="clear" w:color="auto" w:fill="auto"/>
          </w:tcPr>
          <w:p w14:paraId="60FF1477" w14:textId="77777777" w:rsidR="007371C6" w:rsidRPr="00F06E45" w:rsidRDefault="007371C6" w:rsidP="00F06E45">
            <w:pPr>
              <w:rPr>
                <w:rFonts w:ascii="Calibri" w:eastAsia="Calibri" w:hAnsi="Calibri" w:cs="Times New Roman"/>
                <w:sz w:val="16"/>
                <w:szCs w:val="16"/>
              </w:rPr>
            </w:pPr>
          </w:p>
          <w:p w14:paraId="34C1131A" w14:textId="77777777" w:rsidR="00645065" w:rsidRPr="00F06E45" w:rsidRDefault="00645065" w:rsidP="00F06E45">
            <w:pPr>
              <w:rPr>
                <w:rFonts w:ascii="Calibri" w:eastAsia="Calibri" w:hAnsi="Calibri" w:cs="Times New Roman"/>
                <w:sz w:val="16"/>
                <w:szCs w:val="16"/>
              </w:rPr>
            </w:pPr>
            <w:r w:rsidRPr="00F06E45">
              <w:rPr>
                <w:rFonts w:ascii="Calibri" w:eastAsia="Calibri" w:hAnsi="Calibri" w:cs="Times New Roman"/>
                <w:sz w:val="16"/>
                <w:szCs w:val="16"/>
              </w:rPr>
              <w:t>n/a</w:t>
            </w:r>
          </w:p>
        </w:tc>
        <w:tc>
          <w:tcPr>
            <w:tcW w:w="815" w:type="dxa"/>
            <w:gridSpan w:val="2"/>
            <w:tcBorders>
              <w:bottom w:val="single" w:sz="18" w:space="0" w:color="308060"/>
            </w:tcBorders>
          </w:tcPr>
          <w:p w14:paraId="6E06A3F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58592" behindDoc="1" locked="0" layoutInCell="1" allowOverlap="1" wp14:anchorId="78B65AB8" wp14:editId="06C32F19">
                  <wp:simplePos x="0" y="0"/>
                  <wp:positionH relativeFrom="column">
                    <wp:posOffset>-3810</wp:posOffset>
                  </wp:positionH>
                  <wp:positionV relativeFrom="paragraph">
                    <wp:posOffset>125730</wp:posOffset>
                  </wp:positionV>
                  <wp:extent cx="203835" cy="145415"/>
                  <wp:effectExtent l="0" t="0" r="5715" b="6985"/>
                  <wp:wrapTight wrapText="bothSides">
                    <wp:wrapPolygon edited="0">
                      <wp:start x="0" y="0"/>
                      <wp:lineTo x="0" y="19808"/>
                      <wp:lineTo x="20187" y="19808"/>
                      <wp:lineTo x="20187"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3"/>
            <w:tcBorders>
              <w:bottom w:val="single" w:sz="18" w:space="0" w:color="308060"/>
            </w:tcBorders>
            <w:shd w:val="clear" w:color="auto" w:fill="auto"/>
          </w:tcPr>
          <w:p w14:paraId="0FCCF434" w14:textId="77777777" w:rsidR="00485C54" w:rsidRPr="00F06E45" w:rsidRDefault="00645065" w:rsidP="00F06E45">
            <w:pPr>
              <w:rPr>
                <w:rFonts w:ascii="Calibri" w:eastAsia="Calibri" w:hAnsi="Calibri" w:cs="Times New Roman"/>
                <w:sz w:val="16"/>
                <w:szCs w:val="16"/>
              </w:rPr>
            </w:pPr>
            <w:r w:rsidRPr="00F06E45">
              <w:rPr>
                <w:rFonts w:ascii="Calibri" w:eastAsia="Calibri" w:hAnsi="Calibri" w:cs="Times New Roman"/>
                <w:sz w:val="16"/>
                <w:szCs w:val="16"/>
              </w:rPr>
              <w:t>This KPI will be reported on in the 4</w:t>
            </w:r>
            <w:r w:rsidRPr="00F06E45">
              <w:rPr>
                <w:rFonts w:ascii="Calibri" w:eastAsia="Calibri" w:hAnsi="Calibri" w:cs="Times New Roman"/>
                <w:sz w:val="16"/>
                <w:szCs w:val="16"/>
                <w:vertAlign w:val="superscript"/>
              </w:rPr>
              <w:t>th</w:t>
            </w:r>
            <w:r w:rsidRPr="00F06E45">
              <w:rPr>
                <w:rFonts w:ascii="Calibri" w:eastAsia="Calibri" w:hAnsi="Calibri" w:cs="Times New Roman"/>
                <w:sz w:val="16"/>
                <w:szCs w:val="16"/>
              </w:rPr>
              <w:t xml:space="preserve"> quarter.</w:t>
            </w:r>
            <w:r w:rsidR="00F362AB" w:rsidRPr="00F06E45">
              <w:rPr>
                <w:rFonts w:ascii="Calibri" w:eastAsia="Calibri" w:hAnsi="Calibri" w:cs="Times New Roman"/>
                <w:sz w:val="16"/>
                <w:szCs w:val="16"/>
              </w:rPr>
              <w:t xml:space="preserve"> </w:t>
            </w:r>
            <w:r w:rsidR="00485C54" w:rsidRPr="00F06E45">
              <w:rPr>
                <w:rFonts w:ascii="Calibri" w:eastAsia="Calibri" w:hAnsi="Calibri" w:cs="Times New Roman"/>
                <w:sz w:val="16"/>
                <w:szCs w:val="16"/>
              </w:rPr>
              <w:t xml:space="preserve">(The 2014-2015 result was </w:t>
            </w:r>
          </w:p>
          <w:p w14:paraId="44C12EA8" w14:textId="77777777" w:rsidR="007371C6" w:rsidRPr="00F06E45" w:rsidRDefault="00485C54" w:rsidP="00F06E45">
            <w:pPr>
              <w:rPr>
                <w:rFonts w:ascii="Calibri" w:eastAsia="Calibri" w:hAnsi="Calibri" w:cs="Times New Roman"/>
                <w:sz w:val="18"/>
                <w:szCs w:val="18"/>
              </w:rPr>
            </w:pPr>
            <w:r w:rsidRPr="00F06E45">
              <w:rPr>
                <w:rFonts w:ascii="Calibri" w:eastAsia="Calibri" w:hAnsi="Calibri" w:cs="Times New Roman"/>
                <w:sz w:val="16"/>
                <w:szCs w:val="16"/>
              </w:rPr>
              <w:t xml:space="preserve">100 %). </w:t>
            </w:r>
            <w:r w:rsidR="00F362AB" w:rsidRPr="00F06E45">
              <w:rPr>
                <w:rFonts w:ascii="Calibri" w:eastAsia="Calibri" w:hAnsi="Calibri" w:cs="Times New Roman"/>
                <w:sz w:val="16"/>
                <w:szCs w:val="16"/>
              </w:rPr>
              <w:t>Natural Resource Management has 10 Operational Plans for the following Natural Areas: Avondale Reserve, Baldwin Swamp, Barolin Nature Reserve, Helms Remnant, Hummock, Meadowvale Nature Park, Riverview, R</w:t>
            </w:r>
            <w:r w:rsidR="002962A5" w:rsidRPr="00F06E45">
              <w:rPr>
                <w:rFonts w:ascii="Calibri" w:eastAsia="Calibri" w:hAnsi="Calibri" w:cs="Times New Roman"/>
                <w:sz w:val="16"/>
                <w:szCs w:val="16"/>
              </w:rPr>
              <w:t xml:space="preserve">usso Park, Sharon Nature Park </w:t>
            </w:r>
            <w:r w:rsidR="00F362AB" w:rsidRPr="00F06E45">
              <w:rPr>
                <w:rFonts w:ascii="Calibri" w:eastAsia="Calibri" w:hAnsi="Calibri" w:cs="Times New Roman"/>
                <w:sz w:val="16"/>
                <w:szCs w:val="16"/>
              </w:rPr>
              <w:t>and Vera Scarth-Johnson Wildflower Reserve</w:t>
            </w:r>
            <w:r w:rsidR="00F362AB" w:rsidRPr="00F06E45">
              <w:rPr>
                <w:rFonts w:ascii="Calibri" w:eastAsia="Calibri" w:hAnsi="Calibri" w:cs="Times New Roman"/>
                <w:sz w:val="18"/>
                <w:szCs w:val="18"/>
              </w:rPr>
              <w:t xml:space="preserve">.    </w:t>
            </w:r>
          </w:p>
        </w:tc>
      </w:tr>
      <w:tr w:rsidR="007371C6" w:rsidRPr="00F06E45" w14:paraId="6929B8B0" w14:textId="77777777" w:rsidTr="00063500">
        <w:trPr>
          <w:trHeight w:val="202"/>
        </w:trPr>
        <w:tc>
          <w:tcPr>
            <w:tcW w:w="15735" w:type="dxa"/>
            <w:gridSpan w:val="12"/>
            <w:tcBorders>
              <w:top w:val="single" w:sz="18" w:space="0" w:color="308060"/>
              <w:bottom w:val="single" w:sz="18" w:space="0" w:color="308060"/>
            </w:tcBorders>
            <w:shd w:val="clear" w:color="auto" w:fill="DDF0C8"/>
          </w:tcPr>
          <w:p w14:paraId="0715C4C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2.1.4 Develop and implement plans underpinned by the principles of sustainable development </w:t>
            </w:r>
          </w:p>
        </w:tc>
      </w:tr>
      <w:tr w:rsidR="007371C6" w:rsidRPr="00F06E45" w14:paraId="0D7B632B" w14:textId="77777777" w:rsidTr="00063500">
        <w:trPr>
          <w:trHeight w:val="216"/>
        </w:trPr>
        <w:tc>
          <w:tcPr>
            <w:tcW w:w="1134" w:type="dxa"/>
            <w:tcBorders>
              <w:top w:val="single" w:sz="18" w:space="0" w:color="308060"/>
            </w:tcBorders>
          </w:tcPr>
          <w:p w14:paraId="009F27F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552" w:type="dxa"/>
            <w:tcBorders>
              <w:top w:val="single" w:sz="18" w:space="0" w:color="308060"/>
            </w:tcBorders>
          </w:tcPr>
          <w:p w14:paraId="74CCAAA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308060"/>
            </w:tcBorders>
          </w:tcPr>
          <w:p w14:paraId="6ABCDCC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1044" w:type="dxa"/>
            <w:gridSpan w:val="3"/>
            <w:tcBorders>
              <w:top w:val="single" w:sz="18" w:space="0" w:color="308060"/>
            </w:tcBorders>
          </w:tcPr>
          <w:p w14:paraId="6A6DD41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693" w:type="dxa"/>
            <w:tcBorders>
              <w:top w:val="single" w:sz="18" w:space="0" w:color="308060"/>
            </w:tcBorders>
          </w:tcPr>
          <w:p w14:paraId="126F7458"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15" w:type="dxa"/>
            <w:gridSpan w:val="2"/>
            <w:tcBorders>
              <w:top w:val="single" w:sz="18" w:space="0" w:color="308060"/>
            </w:tcBorders>
          </w:tcPr>
          <w:p w14:paraId="58CF0798"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812" w:type="dxa"/>
            <w:gridSpan w:val="3"/>
            <w:tcBorders>
              <w:top w:val="single" w:sz="18" w:space="0" w:color="308060"/>
            </w:tcBorders>
          </w:tcPr>
          <w:p w14:paraId="196331D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14F5471" w14:textId="77777777" w:rsidTr="00063500">
        <w:trPr>
          <w:trHeight w:val="622"/>
        </w:trPr>
        <w:tc>
          <w:tcPr>
            <w:tcW w:w="1134" w:type="dxa"/>
            <w:tcBorders>
              <w:bottom w:val="single" w:sz="18" w:space="0" w:color="308060"/>
            </w:tcBorders>
            <w:shd w:val="clear" w:color="auto" w:fill="auto"/>
          </w:tcPr>
          <w:p w14:paraId="5198113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w:t>
            </w:r>
          </w:p>
        </w:tc>
        <w:tc>
          <w:tcPr>
            <w:tcW w:w="2552" w:type="dxa"/>
            <w:tcBorders>
              <w:bottom w:val="single" w:sz="18" w:space="0" w:color="308060"/>
            </w:tcBorders>
            <w:shd w:val="clear" w:color="auto" w:fill="auto"/>
          </w:tcPr>
          <w:p w14:paraId="51D9EF8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Policy Development Implementation </w:t>
            </w:r>
          </w:p>
          <w:p w14:paraId="30C6175C" w14:textId="77777777" w:rsidR="007371C6" w:rsidRPr="00F06E45" w:rsidRDefault="007371C6" w:rsidP="00F06E45">
            <w:pPr>
              <w:ind w:left="-108"/>
              <w:rPr>
                <w:rFonts w:ascii="Calibri" w:eastAsia="Calibri" w:hAnsi="Calibri" w:cs="Times New Roman"/>
                <w:sz w:val="16"/>
                <w:szCs w:val="16"/>
              </w:rPr>
            </w:pPr>
          </w:p>
        </w:tc>
        <w:tc>
          <w:tcPr>
            <w:tcW w:w="3685" w:type="dxa"/>
            <w:tcBorders>
              <w:bottom w:val="single" w:sz="18" w:space="0" w:color="308060"/>
            </w:tcBorders>
            <w:shd w:val="clear" w:color="auto" w:fill="auto"/>
          </w:tcPr>
          <w:p w14:paraId="3A7AE2B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Bundaberg CBD Master Plan:  Percentage the CBD Master Plan has been finalised for adoption.</w:t>
            </w:r>
          </w:p>
          <w:p w14:paraId="1757519B" w14:textId="77777777" w:rsidR="007371C6" w:rsidRPr="00F06E45" w:rsidRDefault="007371C6" w:rsidP="00F06E45">
            <w:pPr>
              <w:ind w:left="-108"/>
              <w:rPr>
                <w:rFonts w:ascii="Calibri" w:eastAsia="Calibri" w:hAnsi="Calibri" w:cs="Times New Roman"/>
                <w:sz w:val="18"/>
                <w:szCs w:val="18"/>
              </w:rPr>
            </w:pPr>
          </w:p>
        </w:tc>
        <w:tc>
          <w:tcPr>
            <w:tcW w:w="1044" w:type="dxa"/>
            <w:gridSpan w:val="3"/>
            <w:tcBorders>
              <w:bottom w:val="single" w:sz="18" w:space="0" w:color="308060"/>
            </w:tcBorders>
            <w:shd w:val="clear" w:color="auto" w:fill="auto"/>
          </w:tcPr>
          <w:p w14:paraId="0BE26EB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w:t>
            </w:r>
          </w:p>
          <w:p w14:paraId="08BE404B" w14:textId="77777777" w:rsidR="007371C6" w:rsidRPr="00F06E45" w:rsidRDefault="007371C6" w:rsidP="00F06E45">
            <w:pPr>
              <w:rPr>
                <w:rFonts w:ascii="Calibri" w:eastAsia="Calibri" w:hAnsi="Calibri" w:cs="Times New Roman"/>
                <w:sz w:val="14"/>
                <w:szCs w:val="14"/>
              </w:rPr>
            </w:pPr>
            <w:r w:rsidRPr="00F06E45">
              <w:rPr>
                <w:rFonts w:ascii="Calibri" w:eastAsia="Calibri" w:hAnsi="Calibri" w:cs="Times New Roman"/>
                <w:sz w:val="14"/>
                <w:szCs w:val="14"/>
              </w:rPr>
              <w:t>(Goal Post)</w:t>
            </w:r>
          </w:p>
          <w:p w14:paraId="05B5409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693" w:type="dxa"/>
            <w:tcBorders>
              <w:bottom w:val="single" w:sz="18" w:space="0" w:color="308060"/>
            </w:tcBorders>
            <w:shd w:val="clear" w:color="auto" w:fill="auto"/>
          </w:tcPr>
          <w:p w14:paraId="157C5F7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5F6713F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w:t>
            </w:r>
          </w:p>
        </w:tc>
        <w:tc>
          <w:tcPr>
            <w:tcW w:w="815" w:type="dxa"/>
            <w:gridSpan w:val="2"/>
            <w:tcBorders>
              <w:bottom w:val="single" w:sz="18" w:space="0" w:color="308060"/>
            </w:tcBorders>
            <w:shd w:val="clear" w:color="auto" w:fill="auto"/>
          </w:tcPr>
          <w:p w14:paraId="10752234"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85888" behindDoc="1" locked="0" layoutInCell="1" allowOverlap="1" wp14:anchorId="08F27514" wp14:editId="58822D12">
                  <wp:simplePos x="0" y="0"/>
                  <wp:positionH relativeFrom="column">
                    <wp:posOffset>-3175</wp:posOffset>
                  </wp:positionH>
                  <wp:positionV relativeFrom="paragraph">
                    <wp:posOffset>124460</wp:posOffset>
                  </wp:positionV>
                  <wp:extent cx="203835" cy="145415"/>
                  <wp:effectExtent l="0" t="0" r="5715" b="6985"/>
                  <wp:wrapTight wrapText="bothSides">
                    <wp:wrapPolygon edited="0">
                      <wp:start x="0" y="0"/>
                      <wp:lineTo x="0" y="19808"/>
                      <wp:lineTo x="20187" y="19808"/>
                      <wp:lineTo x="201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gridSpan w:val="3"/>
            <w:tcBorders>
              <w:bottom w:val="single" w:sz="18" w:space="0" w:color="308060"/>
            </w:tcBorders>
            <w:shd w:val="clear" w:color="auto" w:fill="auto"/>
          </w:tcPr>
          <w:p w14:paraId="78ADDEF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The draft project plan has been developed and reviewed. Initial information download from internal stakeholders has been collected and is currently being reviewed.</w:t>
            </w:r>
          </w:p>
        </w:tc>
      </w:tr>
    </w:tbl>
    <w:p w14:paraId="1B673B36"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62573705"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46E6A1B1"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18D5EC34"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61D345C1"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sectPr w:rsidR="007371C6" w:rsidRPr="00F06E45"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b/>
          <w:i/>
          <w:color w:val="368243"/>
          <w:sz w:val="28"/>
          <w:szCs w:val="28"/>
        </w:rPr>
        <w:t xml:space="preserve"> </w:t>
      </w:r>
    </w:p>
    <w:p w14:paraId="0127E62B"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72B5A60E"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r w:rsidRPr="00F06E45">
        <w:rPr>
          <w:rFonts w:ascii="Times New Roman" w:eastAsia="Calibri" w:hAnsi="Times New Roman" w:cs="Times New Roman"/>
          <w:b/>
          <w:i/>
          <w:color w:val="368243"/>
          <w:sz w:val="28"/>
          <w:szCs w:val="28"/>
        </w:rPr>
        <w:t xml:space="preserve">Sustainable environmental planning and design                                                      </w:t>
      </w:r>
      <w:r w:rsidRPr="00F06E45">
        <w:rPr>
          <w:rFonts w:ascii="Times New Roman" w:eastAsia="Calibri" w:hAnsi="Times New Roman" w:cs="Times New Roman"/>
          <w:b/>
        </w:rPr>
        <w:t>recognising local character, prioritising regional infrastructure</w:t>
      </w:r>
    </w:p>
    <w:tbl>
      <w:tblPr>
        <w:tblStyle w:val="TableGrid1"/>
        <w:tblpPr w:leftFromText="180" w:rightFromText="180" w:vertAnchor="text" w:horzAnchor="margin" w:tblpY="38"/>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411"/>
        <w:gridCol w:w="3583"/>
        <w:gridCol w:w="1095"/>
        <w:gridCol w:w="708"/>
        <w:gridCol w:w="106"/>
        <w:gridCol w:w="745"/>
        <w:gridCol w:w="5528"/>
      </w:tblGrid>
      <w:tr w:rsidR="007371C6" w:rsidRPr="00F06E45" w14:paraId="3482B311" w14:textId="77777777" w:rsidTr="00063500">
        <w:trPr>
          <w:trHeight w:val="259"/>
        </w:trPr>
        <w:tc>
          <w:tcPr>
            <w:tcW w:w="15451" w:type="dxa"/>
            <w:gridSpan w:val="8"/>
            <w:tcBorders>
              <w:top w:val="single" w:sz="18" w:space="0" w:color="308060"/>
              <w:bottom w:val="single" w:sz="18" w:space="0" w:color="308060"/>
            </w:tcBorders>
            <w:shd w:val="clear" w:color="auto" w:fill="C7E6A4"/>
          </w:tcPr>
          <w:p w14:paraId="3DB06E42" w14:textId="77777777" w:rsidR="007371C6" w:rsidRPr="00F06E45" w:rsidRDefault="007371C6" w:rsidP="00F06E45">
            <w:pPr>
              <w:tabs>
                <w:tab w:val="left" w:pos="2235"/>
              </w:tabs>
              <w:rPr>
                <w:rFonts w:ascii="Calibri" w:eastAsia="Calibri" w:hAnsi="Calibri" w:cs="Times New Roman"/>
                <w:b/>
                <w:sz w:val="18"/>
                <w:szCs w:val="18"/>
              </w:rPr>
            </w:pPr>
            <w:r w:rsidRPr="00F06E45">
              <w:rPr>
                <w:rFonts w:ascii="Calibri" w:eastAsia="Calibri" w:hAnsi="Calibri" w:cs="Times New Roman"/>
                <w:b/>
              </w:rPr>
              <w:t>Outcome 2.2  A quality, aesthetically pleasing built environment that meets basic community needs</w:t>
            </w:r>
            <w:r w:rsidRPr="00F06E45">
              <w:rPr>
                <w:rFonts w:ascii="Calibri" w:eastAsia="Calibri" w:hAnsi="Calibri" w:cs="Times New Roman"/>
                <w:b/>
                <w:sz w:val="20"/>
                <w:szCs w:val="20"/>
              </w:rPr>
              <w:t xml:space="preserve">   </w:t>
            </w:r>
          </w:p>
        </w:tc>
      </w:tr>
      <w:tr w:rsidR="007371C6" w:rsidRPr="00F06E45" w14:paraId="7E63E610" w14:textId="77777777" w:rsidTr="00063500">
        <w:trPr>
          <w:trHeight w:val="220"/>
        </w:trPr>
        <w:tc>
          <w:tcPr>
            <w:tcW w:w="15451" w:type="dxa"/>
            <w:gridSpan w:val="8"/>
            <w:tcBorders>
              <w:top w:val="single" w:sz="18" w:space="0" w:color="308060"/>
              <w:bottom w:val="single" w:sz="18" w:space="0" w:color="308060"/>
            </w:tcBorders>
          </w:tcPr>
          <w:p w14:paraId="151C6BE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2.2.2 Enable, support and manage our built environment so that it embraces the identity and liveability of individual communities</w:t>
            </w:r>
          </w:p>
        </w:tc>
      </w:tr>
      <w:tr w:rsidR="007371C6" w:rsidRPr="00F06E45" w14:paraId="137AC503" w14:textId="77777777" w:rsidTr="00063500">
        <w:trPr>
          <w:trHeight w:val="221"/>
        </w:trPr>
        <w:tc>
          <w:tcPr>
            <w:tcW w:w="1275" w:type="dxa"/>
            <w:tcBorders>
              <w:top w:val="single" w:sz="18" w:space="0" w:color="308060"/>
            </w:tcBorders>
          </w:tcPr>
          <w:p w14:paraId="597DE4A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1" w:type="dxa"/>
            <w:tcBorders>
              <w:top w:val="single" w:sz="18" w:space="0" w:color="308060"/>
            </w:tcBorders>
          </w:tcPr>
          <w:p w14:paraId="4DB9C9C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583" w:type="dxa"/>
            <w:tcBorders>
              <w:top w:val="single" w:sz="18" w:space="0" w:color="308060"/>
            </w:tcBorders>
          </w:tcPr>
          <w:p w14:paraId="6B7F0C2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1095" w:type="dxa"/>
            <w:tcBorders>
              <w:top w:val="single" w:sz="18" w:space="0" w:color="308060"/>
            </w:tcBorders>
          </w:tcPr>
          <w:p w14:paraId="0402B9E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tcBorders>
              <w:top w:val="single" w:sz="18" w:space="0" w:color="308060"/>
            </w:tcBorders>
          </w:tcPr>
          <w:p w14:paraId="77A24BC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gridSpan w:val="2"/>
            <w:tcBorders>
              <w:top w:val="single" w:sz="18" w:space="0" w:color="308060"/>
            </w:tcBorders>
          </w:tcPr>
          <w:p w14:paraId="2842C77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528" w:type="dxa"/>
            <w:tcBorders>
              <w:top w:val="single" w:sz="18" w:space="0" w:color="308060"/>
            </w:tcBorders>
          </w:tcPr>
          <w:p w14:paraId="24EC2CA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257E85A" w14:textId="77777777" w:rsidTr="00063500">
        <w:trPr>
          <w:trHeight w:val="815"/>
        </w:trPr>
        <w:tc>
          <w:tcPr>
            <w:tcW w:w="1275" w:type="dxa"/>
            <w:shd w:val="clear" w:color="auto" w:fill="auto"/>
          </w:tcPr>
          <w:p w14:paraId="67E4C79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Parks, Sport &amp; Natural Areas</w:t>
            </w:r>
          </w:p>
        </w:tc>
        <w:tc>
          <w:tcPr>
            <w:tcW w:w="2411" w:type="dxa"/>
            <w:shd w:val="clear" w:color="auto" w:fill="auto"/>
          </w:tcPr>
          <w:p w14:paraId="4ECA2BA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Infrastructure Provision: Requirements &amp; Provision</w:t>
            </w:r>
          </w:p>
        </w:tc>
        <w:tc>
          <w:tcPr>
            <w:tcW w:w="3583" w:type="dxa"/>
            <w:shd w:val="clear" w:color="auto" w:fill="auto"/>
          </w:tcPr>
          <w:p w14:paraId="3CFA3F5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public open space areas upgraded with new infrastructure.</w:t>
            </w:r>
          </w:p>
        </w:tc>
        <w:tc>
          <w:tcPr>
            <w:tcW w:w="1095" w:type="dxa"/>
            <w:shd w:val="clear" w:color="auto" w:fill="auto"/>
          </w:tcPr>
          <w:p w14:paraId="675C24D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w:t>
            </w:r>
          </w:p>
          <w:p w14:paraId="54FD8C0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w:t>
            </w:r>
          </w:p>
          <w:p w14:paraId="1DF25039" w14:textId="77777777" w:rsidR="007371C6" w:rsidRPr="00F06E45" w:rsidRDefault="007371C6" w:rsidP="00F06E45">
            <w:pPr>
              <w:rPr>
                <w:rFonts w:ascii="Calibri" w:eastAsia="Calibri" w:hAnsi="Calibri" w:cs="Times New Roman"/>
                <w:sz w:val="18"/>
                <w:szCs w:val="18"/>
              </w:rPr>
            </w:pPr>
          </w:p>
        </w:tc>
        <w:tc>
          <w:tcPr>
            <w:tcW w:w="814" w:type="dxa"/>
            <w:gridSpan w:val="2"/>
            <w:shd w:val="clear" w:color="auto" w:fill="auto"/>
          </w:tcPr>
          <w:p w14:paraId="73FC667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34F388D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w:t>
            </w:r>
          </w:p>
        </w:tc>
        <w:tc>
          <w:tcPr>
            <w:tcW w:w="745" w:type="dxa"/>
            <w:shd w:val="clear" w:color="auto" w:fill="auto"/>
          </w:tcPr>
          <w:p w14:paraId="7DD5A77F"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2992" behindDoc="1" locked="0" layoutInCell="1" allowOverlap="1" wp14:anchorId="1507FD35" wp14:editId="6E89A2C8">
                  <wp:simplePos x="0" y="0"/>
                  <wp:positionH relativeFrom="column">
                    <wp:posOffset>-67945</wp:posOffset>
                  </wp:positionH>
                  <wp:positionV relativeFrom="paragraph">
                    <wp:posOffset>95885</wp:posOffset>
                  </wp:positionV>
                  <wp:extent cx="221615" cy="158115"/>
                  <wp:effectExtent l="0" t="0" r="6985" b="0"/>
                  <wp:wrapTight wrapText="bothSides">
                    <wp:wrapPolygon edited="0">
                      <wp:start x="0" y="0"/>
                      <wp:lineTo x="0" y="18217"/>
                      <wp:lineTo x="20424" y="18217"/>
                      <wp:lineTo x="20424"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shd w:val="clear" w:color="auto" w:fill="auto"/>
          </w:tcPr>
          <w:p w14:paraId="0887BBF6" w14:textId="77777777" w:rsidR="007371C6" w:rsidRPr="00F06E45" w:rsidRDefault="007371C6" w:rsidP="00F06E45">
            <w:pPr>
              <w:ind w:left="-108"/>
              <w:rPr>
                <w:sz w:val="16"/>
                <w:szCs w:val="16"/>
              </w:rPr>
            </w:pPr>
            <w:r w:rsidRPr="00F06E45">
              <w:rPr>
                <w:sz w:val="16"/>
                <w:szCs w:val="16"/>
              </w:rPr>
              <w:t>There have been 2 capital projects completed that have provided new assets and improved park and streetscape environments this quarter- the completion of Millennium Park Childers and the electrical upgrade including lighting at Alexandra Park West (Finemore Pk). 8 projects are in planning phases and are on track to be completed during the financial year.</w:t>
            </w:r>
          </w:p>
          <w:p w14:paraId="5A42738E" w14:textId="77777777" w:rsidR="007371C6" w:rsidRPr="00F06E45" w:rsidRDefault="007371C6" w:rsidP="00F06E45">
            <w:pPr>
              <w:ind w:left="-108"/>
              <w:rPr>
                <w:rFonts w:ascii="Calibri" w:eastAsia="Calibri" w:hAnsi="Calibri" w:cs="Times New Roman"/>
                <w:sz w:val="16"/>
                <w:szCs w:val="16"/>
              </w:rPr>
            </w:pPr>
          </w:p>
        </w:tc>
      </w:tr>
      <w:tr w:rsidR="007371C6" w:rsidRPr="00F06E45" w14:paraId="13F62F45" w14:textId="77777777" w:rsidTr="00063500">
        <w:trPr>
          <w:trHeight w:val="415"/>
        </w:trPr>
        <w:tc>
          <w:tcPr>
            <w:tcW w:w="1275" w:type="dxa"/>
            <w:tcBorders>
              <w:bottom w:val="single" w:sz="18" w:space="0" w:color="308060"/>
            </w:tcBorders>
            <w:shd w:val="clear" w:color="auto" w:fill="auto"/>
          </w:tcPr>
          <w:p w14:paraId="41798F6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Parks, Sport &amp; Natural Areas </w:t>
            </w:r>
          </w:p>
          <w:p w14:paraId="6F7F1990" w14:textId="77777777" w:rsidR="007371C6" w:rsidRPr="00F06E45" w:rsidRDefault="007371C6" w:rsidP="00F06E45">
            <w:pPr>
              <w:ind w:left="-108"/>
              <w:rPr>
                <w:rFonts w:ascii="Calibri" w:eastAsia="Calibri" w:hAnsi="Calibri" w:cs="Times New Roman"/>
                <w:sz w:val="18"/>
                <w:szCs w:val="18"/>
              </w:rPr>
            </w:pPr>
          </w:p>
        </w:tc>
        <w:tc>
          <w:tcPr>
            <w:tcW w:w="2411" w:type="dxa"/>
            <w:tcBorders>
              <w:bottom w:val="single" w:sz="18" w:space="0" w:color="308060"/>
            </w:tcBorders>
            <w:shd w:val="clear" w:color="auto" w:fill="auto"/>
          </w:tcPr>
          <w:p w14:paraId="7A049D8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Asset Maintenance &amp; Renewal: Requirements &amp; Provision</w:t>
            </w:r>
          </w:p>
        </w:tc>
        <w:tc>
          <w:tcPr>
            <w:tcW w:w="3583" w:type="dxa"/>
            <w:tcBorders>
              <w:bottom w:val="single" w:sz="18" w:space="0" w:color="308060"/>
            </w:tcBorders>
            <w:shd w:val="clear" w:color="auto" w:fill="auto"/>
          </w:tcPr>
          <w:p w14:paraId="1E1C136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identified priority capital projects completed to maintain and renew existing infrastructure.</w:t>
            </w:r>
          </w:p>
        </w:tc>
        <w:tc>
          <w:tcPr>
            <w:tcW w:w="1095" w:type="dxa"/>
            <w:tcBorders>
              <w:bottom w:val="single" w:sz="18" w:space="0" w:color="308060"/>
            </w:tcBorders>
            <w:shd w:val="clear" w:color="auto" w:fill="auto"/>
          </w:tcPr>
          <w:p w14:paraId="3620CAF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2316D48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w:t>
            </w:r>
          </w:p>
          <w:p w14:paraId="3DE2EE85" w14:textId="77777777" w:rsidR="007371C6" w:rsidRPr="00F06E45" w:rsidRDefault="007371C6" w:rsidP="00F06E45">
            <w:pPr>
              <w:rPr>
                <w:rFonts w:ascii="Calibri" w:eastAsia="Calibri" w:hAnsi="Calibri" w:cs="Times New Roman"/>
                <w:sz w:val="16"/>
                <w:szCs w:val="16"/>
              </w:rPr>
            </w:pPr>
          </w:p>
        </w:tc>
        <w:tc>
          <w:tcPr>
            <w:tcW w:w="814" w:type="dxa"/>
            <w:gridSpan w:val="2"/>
            <w:tcBorders>
              <w:bottom w:val="single" w:sz="18" w:space="0" w:color="308060"/>
            </w:tcBorders>
            <w:shd w:val="clear" w:color="auto" w:fill="auto"/>
          </w:tcPr>
          <w:p w14:paraId="45E52AC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03A5D7B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w:t>
            </w:r>
          </w:p>
        </w:tc>
        <w:tc>
          <w:tcPr>
            <w:tcW w:w="745" w:type="dxa"/>
            <w:tcBorders>
              <w:bottom w:val="single" w:sz="18" w:space="0" w:color="308060"/>
            </w:tcBorders>
            <w:shd w:val="clear" w:color="auto" w:fill="auto"/>
          </w:tcPr>
          <w:p w14:paraId="0C50C09A"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4016" behindDoc="1" locked="0" layoutInCell="1" allowOverlap="1" wp14:anchorId="3136CC44" wp14:editId="1E471F0D">
                  <wp:simplePos x="0" y="0"/>
                  <wp:positionH relativeFrom="column">
                    <wp:posOffset>-68220</wp:posOffset>
                  </wp:positionH>
                  <wp:positionV relativeFrom="paragraph">
                    <wp:posOffset>34818</wp:posOffset>
                  </wp:positionV>
                  <wp:extent cx="221615" cy="158115"/>
                  <wp:effectExtent l="0" t="0" r="6985" b="0"/>
                  <wp:wrapTight wrapText="bothSides">
                    <wp:wrapPolygon edited="0">
                      <wp:start x="0" y="0"/>
                      <wp:lineTo x="0" y="18217"/>
                      <wp:lineTo x="20424" y="18217"/>
                      <wp:lineTo x="20424"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bottom w:val="single" w:sz="18" w:space="0" w:color="308060"/>
            </w:tcBorders>
            <w:shd w:val="clear" w:color="auto" w:fill="auto"/>
          </w:tcPr>
          <w:p w14:paraId="10F98DDE" w14:textId="77777777" w:rsidR="007371C6" w:rsidRPr="00F06E45" w:rsidRDefault="007371C6" w:rsidP="00F06E45">
            <w:pPr>
              <w:ind w:left="-108"/>
              <w:rPr>
                <w:sz w:val="16"/>
                <w:szCs w:val="16"/>
              </w:rPr>
            </w:pPr>
            <w:r w:rsidRPr="00F06E45">
              <w:rPr>
                <w:sz w:val="16"/>
                <w:szCs w:val="16"/>
              </w:rPr>
              <w:t>There have been 3 projects undertaken in parks and streetscape areas that have maintained and renewed infrastructure- the Rotunda at Alexandra Park had the floor and roof replaced, a deteriorated shelter at Illet Park, Burnett Downs was replaced, and a carpark was resealed at Loeskow Park, Avoca. A further 7 maintenance projects are on track to be completed by the end of the financial year</w:t>
            </w:r>
          </w:p>
          <w:p w14:paraId="50C440C9" w14:textId="77777777" w:rsidR="007371C6" w:rsidRPr="00F06E45" w:rsidRDefault="007371C6" w:rsidP="00F06E45">
            <w:pPr>
              <w:ind w:left="-108"/>
              <w:rPr>
                <w:rFonts w:ascii="Calibri" w:eastAsia="Calibri" w:hAnsi="Calibri" w:cs="Times New Roman"/>
                <w:sz w:val="16"/>
                <w:szCs w:val="16"/>
              </w:rPr>
            </w:pPr>
          </w:p>
        </w:tc>
      </w:tr>
      <w:tr w:rsidR="007371C6" w:rsidRPr="00F06E45" w14:paraId="5F10AB9A" w14:textId="77777777" w:rsidTr="00063500">
        <w:trPr>
          <w:trHeight w:val="272"/>
        </w:trPr>
        <w:tc>
          <w:tcPr>
            <w:tcW w:w="15451" w:type="dxa"/>
            <w:gridSpan w:val="8"/>
            <w:tcBorders>
              <w:top w:val="single" w:sz="18" w:space="0" w:color="308060"/>
              <w:bottom w:val="single" w:sz="18" w:space="0" w:color="308060"/>
            </w:tcBorders>
            <w:shd w:val="clear" w:color="auto" w:fill="B2D69A"/>
          </w:tcPr>
          <w:p w14:paraId="66803225" w14:textId="77777777" w:rsidR="007371C6" w:rsidRPr="00F06E45" w:rsidRDefault="007371C6" w:rsidP="00F06E45">
            <w:pPr>
              <w:ind w:left="-108"/>
              <w:rPr>
                <w:rFonts w:ascii="Calibri" w:eastAsia="Calibri" w:hAnsi="Calibri" w:cs="Times New Roman"/>
                <w:b/>
              </w:rPr>
            </w:pPr>
            <w:r w:rsidRPr="00F06E45">
              <w:rPr>
                <w:rFonts w:ascii="Calibri" w:eastAsia="Calibri" w:hAnsi="Calibri" w:cs="Times New Roman"/>
                <w:b/>
              </w:rPr>
              <w:t>Outcome 2.3 The provision of infrastructure fit for purpose that meets the region's current and future needs</w:t>
            </w:r>
          </w:p>
        </w:tc>
      </w:tr>
      <w:tr w:rsidR="007371C6" w:rsidRPr="00F06E45" w14:paraId="564D8F13" w14:textId="77777777" w:rsidTr="00063500">
        <w:trPr>
          <w:trHeight w:val="207"/>
        </w:trPr>
        <w:tc>
          <w:tcPr>
            <w:tcW w:w="15451" w:type="dxa"/>
            <w:gridSpan w:val="8"/>
            <w:tcBorders>
              <w:top w:val="single" w:sz="18" w:space="0" w:color="308060"/>
              <w:bottom w:val="single" w:sz="18" w:space="0" w:color="308060"/>
            </w:tcBorders>
          </w:tcPr>
          <w:p w14:paraId="1D941DF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2.3.1 Ensure a coordinated and integrated approach to regional infrastructure, implementation and maintenance  </w:t>
            </w:r>
          </w:p>
        </w:tc>
      </w:tr>
      <w:tr w:rsidR="007371C6" w:rsidRPr="00F06E45" w14:paraId="4E07EDF7" w14:textId="77777777" w:rsidTr="00063500">
        <w:trPr>
          <w:trHeight w:val="252"/>
        </w:trPr>
        <w:tc>
          <w:tcPr>
            <w:tcW w:w="1275" w:type="dxa"/>
            <w:tcBorders>
              <w:top w:val="single" w:sz="18" w:space="0" w:color="308060"/>
            </w:tcBorders>
            <w:shd w:val="clear" w:color="auto" w:fill="auto"/>
          </w:tcPr>
          <w:p w14:paraId="7876B4A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1" w:type="dxa"/>
            <w:tcBorders>
              <w:top w:val="single" w:sz="18" w:space="0" w:color="308060"/>
            </w:tcBorders>
            <w:shd w:val="clear" w:color="auto" w:fill="auto"/>
          </w:tcPr>
          <w:p w14:paraId="7CFD41F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583" w:type="dxa"/>
            <w:tcBorders>
              <w:top w:val="single" w:sz="18" w:space="0" w:color="308060"/>
            </w:tcBorders>
            <w:shd w:val="clear" w:color="auto" w:fill="auto"/>
          </w:tcPr>
          <w:p w14:paraId="1AD8455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1095" w:type="dxa"/>
            <w:tcBorders>
              <w:top w:val="single" w:sz="18" w:space="0" w:color="308060"/>
            </w:tcBorders>
            <w:shd w:val="clear" w:color="auto" w:fill="auto"/>
          </w:tcPr>
          <w:p w14:paraId="75EA209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tcBorders>
              <w:top w:val="single" w:sz="18" w:space="0" w:color="308060"/>
            </w:tcBorders>
            <w:shd w:val="clear" w:color="auto" w:fill="auto"/>
          </w:tcPr>
          <w:p w14:paraId="31F1C50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gridSpan w:val="2"/>
            <w:tcBorders>
              <w:top w:val="single" w:sz="18" w:space="0" w:color="308060"/>
            </w:tcBorders>
            <w:shd w:val="clear" w:color="auto" w:fill="auto"/>
          </w:tcPr>
          <w:p w14:paraId="231FAA6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528" w:type="dxa"/>
            <w:tcBorders>
              <w:top w:val="single" w:sz="18" w:space="0" w:color="308060"/>
            </w:tcBorders>
            <w:shd w:val="clear" w:color="auto" w:fill="auto"/>
          </w:tcPr>
          <w:p w14:paraId="10D81E1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3AE4EFCF" w14:textId="77777777" w:rsidTr="00063500">
        <w:trPr>
          <w:trHeight w:val="557"/>
        </w:trPr>
        <w:tc>
          <w:tcPr>
            <w:tcW w:w="1275" w:type="dxa"/>
            <w:shd w:val="clear" w:color="auto" w:fill="auto"/>
          </w:tcPr>
          <w:p w14:paraId="2140F5B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Development </w:t>
            </w:r>
          </w:p>
          <w:p w14:paraId="54207222" w14:textId="77777777" w:rsidR="007371C6" w:rsidRPr="00F06E45" w:rsidRDefault="007371C6" w:rsidP="00F06E45">
            <w:pPr>
              <w:ind w:left="-108"/>
              <w:rPr>
                <w:rFonts w:ascii="Calibri" w:eastAsia="Calibri" w:hAnsi="Calibri" w:cs="Times New Roman"/>
                <w:sz w:val="18"/>
                <w:szCs w:val="18"/>
              </w:rPr>
            </w:pPr>
          </w:p>
        </w:tc>
        <w:tc>
          <w:tcPr>
            <w:tcW w:w="2411" w:type="dxa"/>
            <w:shd w:val="clear" w:color="auto" w:fill="auto"/>
          </w:tcPr>
          <w:p w14:paraId="7BC762B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 Assessment: 10 days or less</w:t>
            </w:r>
          </w:p>
        </w:tc>
        <w:tc>
          <w:tcPr>
            <w:tcW w:w="3583" w:type="dxa"/>
            <w:shd w:val="clear" w:color="auto" w:fill="auto"/>
          </w:tcPr>
          <w:p w14:paraId="2B22AA3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total development applications issued with a decision within 10 days.</w:t>
            </w:r>
          </w:p>
        </w:tc>
        <w:tc>
          <w:tcPr>
            <w:tcW w:w="1095" w:type="dxa"/>
            <w:shd w:val="clear" w:color="auto" w:fill="auto"/>
          </w:tcPr>
          <w:p w14:paraId="6BE918E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686D721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30%</w:t>
            </w:r>
          </w:p>
        </w:tc>
        <w:tc>
          <w:tcPr>
            <w:tcW w:w="708" w:type="dxa"/>
            <w:shd w:val="clear" w:color="auto" w:fill="auto"/>
          </w:tcPr>
          <w:p w14:paraId="49BDE4B2" w14:textId="77777777" w:rsidR="007371C6" w:rsidRPr="00F06E45" w:rsidRDefault="007371C6" w:rsidP="00F06E45">
            <w:pPr>
              <w:rPr>
                <w:rFonts w:ascii="Calibri" w:eastAsia="Calibri" w:hAnsi="Calibri" w:cs="Times New Roman"/>
                <w:sz w:val="16"/>
                <w:szCs w:val="16"/>
              </w:rPr>
            </w:pPr>
          </w:p>
          <w:p w14:paraId="14FB576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29%</w:t>
            </w:r>
          </w:p>
        </w:tc>
        <w:tc>
          <w:tcPr>
            <w:tcW w:w="851" w:type="dxa"/>
            <w:gridSpan w:val="2"/>
            <w:shd w:val="clear" w:color="auto" w:fill="auto"/>
          </w:tcPr>
          <w:p w14:paraId="0955FDD7"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5040" behindDoc="1" locked="0" layoutInCell="1" allowOverlap="1" wp14:anchorId="297F011A" wp14:editId="085A11F3">
                  <wp:simplePos x="0" y="0"/>
                  <wp:positionH relativeFrom="column">
                    <wp:posOffset>-12436</wp:posOffset>
                  </wp:positionH>
                  <wp:positionV relativeFrom="paragraph">
                    <wp:posOffset>67885</wp:posOffset>
                  </wp:positionV>
                  <wp:extent cx="221615" cy="158115"/>
                  <wp:effectExtent l="0" t="0" r="6985" b="0"/>
                  <wp:wrapTight wrapText="bothSides">
                    <wp:wrapPolygon edited="0">
                      <wp:start x="0" y="0"/>
                      <wp:lineTo x="0" y="18217"/>
                      <wp:lineTo x="20424" y="18217"/>
                      <wp:lineTo x="2042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shd w:val="clear" w:color="auto" w:fill="auto"/>
          </w:tcPr>
          <w:p w14:paraId="42F7E3A4" w14:textId="77777777" w:rsidR="007371C6" w:rsidRPr="00F06E45" w:rsidRDefault="007371C6" w:rsidP="00F06E45">
            <w:pPr>
              <w:ind w:left="-108"/>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This quarter, 24 Applications were decided in ten days or less.</w:t>
            </w:r>
          </w:p>
        </w:tc>
      </w:tr>
      <w:tr w:rsidR="007371C6" w:rsidRPr="00F06E45" w14:paraId="10F36D36" w14:textId="77777777" w:rsidTr="00063500">
        <w:trPr>
          <w:trHeight w:val="462"/>
        </w:trPr>
        <w:tc>
          <w:tcPr>
            <w:tcW w:w="1275" w:type="dxa"/>
            <w:shd w:val="clear" w:color="auto" w:fill="auto"/>
          </w:tcPr>
          <w:p w14:paraId="7BD09A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w:t>
            </w:r>
          </w:p>
        </w:tc>
        <w:tc>
          <w:tcPr>
            <w:tcW w:w="2411" w:type="dxa"/>
            <w:shd w:val="clear" w:color="auto" w:fill="auto"/>
          </w:tcPr>
          <w:p w14:paraId="0CD2C34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 Assessment: 40 days or less</w:t>
            </w:r>
          </w:p>
        </w:tc>
        <w:tc>
          <w:tcPr>
            <w:tcW w:w="3583" w:type="dxa"/>
            <w:shd w:val="clear" w:color="auto" w:fill="auto"/>
          </w:tcPr>
          <w:p w14:paraId="0C99E89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total development applications issued with a decision within 40 days.</w:t>
            </w:r>
          </w:p>
        </w:tc>
        <w:tc>
          <w:tcPr>
            <w:tcW w:w="1095" w:type="dxa"/>
            <w:shd w:val="clear" w:color="auto" w:fill="auto"/>
          </w:tcPr>
          <w:p w14:paraId="077C970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51BA23B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85%</w:t>
            </w:r>
          </w:p>
        </w:tc>
        <w:tc>
          <w:tcPr>
            <w:tcW w:w="708" w:type="dxa"/>
            <w:shd w:val="clear" w:color="auto" w:fill="auto"/>
          </w:tcPr>
          <w:p w14:paraId="6CF9AE5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91.5%</w:t>
            </w:r>
          </w:p>
        </w:tc>
        <w:tc>
          <w:tcPr>
            <w:tcW w:w="851" w:type="dxa"/>
            <w:gridSpan w:val="2"/>
            <w:shd w:val="clear" w:color="auto" w:fill="auto"/>
          </w:tcPr>
          <w:p w14:paraId="41A372DD" w14:textId="77777777" w:rsidR="007371C6" w:rsidRPr="00F06E45" w:rsidRDefault="007371C6" w:rsidP="00F06E45">
            <w:pPr>
              <w:rPr>
                <w:rFonts w:ascii="Calibri" w:eastAsia="Calibri" w:hAnsi="Calibri" w:cs="Times New Roman"/>
                <w:sz w:val="16"/>
                <w:szCs w:val="16"/>
              </w:rPr>
            </w:pPr>
            <w:r w:rsidRPr="00F06E45">
              <w:rPr>
                <w:rFonts w:cs="Aharoni"/>
                <w:noProof/>
                <w:sz w:val="20"/>
                <w:szCs w:val="20"/>
                <w:lang w:eastAsia="en-AU"/>
              </w:rPr>
              <w:drawing>
                <wp:anchor distT="0" distB="0" distL="114300" distR="114300" simplePos="0" relativeHeight="251686912" behindDoc="1" locked="0" layoutInCell="1" allowOverlap="1" wp14:anchorId="026F400B" wp14:editId="00F89248">
                  <wp:simplePos x="0" y="0"/>
                  <wp:positionH relativeFrom="column">
                    <wp:posOffset>-30456</wp:posOffset>
                  </wp:positionH>
                  <wp:positionV relativeFrom="paragraph">
                    <wp:posOffset>22922</wp:posOffset>
                  </wp:positionV>
                  <wp:extent cx="221615" cy="158115"/>
                  <wp:effectExtent l="0" t="0" r="6985" b="0"/>
                  <wp:wrapTight wrapText="bothSides">
                    <wp:wrapPolygon edited="0">
                      <wp:start x="0" y="0"/>
                      <wp:lineTo x="0" y="18217"/>
                      <wp:lineTo x="20424" y="18217"/>
                      <wp:lineTo x="2042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shd w:val="clear" w:color="auto" w:fill="auto"/>
          </w:tcPr>
          <w:p w14:paraId="367A67F8" w14:textId="77777777" w:rsidR="007371C6" w:rsidRPr="00F06E45" w:rsidRDefault="007371C6" w:rsidP="00F06E45">
            <w:pPr>
              <w:ind w:left="-108"/>
              <w:rPr>
                <w:rFonts w:ascii="Calibri" w:eastAsia="Calibri" w:hAnsi="Calibri" w:cs="Times New Roman"/>
                <w:sz w:val="16"/>
                <w:szCs w:val="16"/>
              </w:rPr>
            </w:pPr>
            <w:r w:rsidRPr="00F06E45">
              <w:rPr>
                <w:rFonts w:ascii="Calibri" w:eastAsia="Calibri" w:hAnsi="Calibri" w:cs="Times New Roman"/>
                <w:sz w:val="16"/>
                <w:szCs w:val="16"/>
              </w:rPr>
              <w:t>76 applications out of a total of 83 were determined within statutory time frames.</w:t>
            </w:r>
          </w:p>
        </w:tc>
      </w:tr>
      <w:tr w:rsidR="007371C6" w:rsidRPr="00F06E45" w14:paraId="513C9ABF" w14:textId="77777777" w:rsidTr="00063500">
        <w:trPr>
          <w:trHeight w:val="556"/>
        </w:trPr>
        <w:tc>
          <w:tcPr>
            <w:tcW w:w="1275" w:type="dxa"/>
            <w:shd w:val="clear" w:color="auto" w:fill="auto"/>
          </w:tcPr>
          <w:p w14:paraId="65B17B7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w:t>
            </w:r>
          </w:p>
          <w:p w14:paraId="64DA960A" w14:textId="77777777" w:rsidR="007371C6" w:rsidRPr="00F06E45" w:rsidRDefault="007371C6" w:rsidP="00F06E45">
            <w:pPr>
              <w:ind w:left="-108"/>
              <w:rPr>
                <w:rFonts w:ascii="Calibri" w:eastAsia="Calibri" w:hAnsi="Calibri" w:cs="Times New Roman"/>
                <w:sz w:val="18"/>
                <w:szCs w:val="18"/>
              </w:rPr>
            </w:pPr>
          </w:p>
        </w:tc>
        <w:tc>
          <w:tcPr>
            <w:tcW w:w="2411" w:type="dxa"/>
            <w:shd w:val="clear" w:color="auto" w:fill="auto"/>
          </w:tcPr>
          <w:p w14:paraId="30BAE99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 Assessment: Negotiated Requests</w:t>
            </w:r>
          </w:p>
        </w:tc>
        <w:tc>
          <w:tcPr>
            <w:tcW w:w="3583" w:type="dxa"/>
            <w:shd w:val="clear" w:color="auto" w:fill="auto"/>
          </w:tcPr>
          <w:p w14:paraId="0DA0AF5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development approvals that have a negotiated request.</w:t>
            </w:r>
          </w:p>
        </w:tc>
        <w:tc>
          <w:tcPr>
            <w:tcW w:w="1095" w:type="dxa"/>
            <w:shd w:val="clear" w:color="auto" w:fill="auto"/>
          </w:tcPr>
          <w:p w14:paraId="6873296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2508CA0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 10%</w:t>
            </w:r>
          </w:p>
        </w:tc>
        <w:tc>
          <w:tcPr>
            <w:tcW w:w="708" w:type="dxa"/>
            <w:shd w:val="clear" w:color="auto" w:fill="auto"/>
          </w:tcPr>
          <w:p w14:paraId="5D3B7EC7" w14:textId="77777777" w:rsidR="007371C6" w:rsidRPr="00F06E45" w:rsidRDefault="007371C6" w:rsidP="00F06E45">
            <w:pPr>
              <w:rPr>
                <w:rFonts w:ascii="Calibri" w:eastAsia="Calibri" w:hAnsi="Calibri" w:cs="Times New Roman"/>
                <w:sz w:val="16"/>
                <w:szCs w:val="16"/>
              </w:rPr>
            </w:pPr>
          </w:p>
          <w:p w14:paraId="4E7B8B6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w:t>
            </w:r>
          </w:p>
        </w:tc>
        <w:tc>
          <w:tcPr>
            <w:tcW w:w="851" w:type="dxa"/>
            <w:gridSpan w:val="2"/>
            <w:shd w:val="clear" w:color="auto" w:fill="auto"/>
          </w:tcPr>
          <w:p w14:paraId="749F0870" w14:textId="77777777" w:rsidR="007371C6" w:rsidRPr="00F06E45" w:rsidRDefault="007371C6" w:rsidP="00F06E45">
            <w:pPr>
              <w:rPr>
                <w:rFonts w:ascii="Calibri" w:eastAsia="Calibri" w:hAnsi="Calibri" w:cs="Times New Roman"/>
                <w:sz w:val="16"/>
                <w:szCs w:val="16"/>
              </w:rPr>
            </w:pPr>
            <w:r w:rsidRPr="00F06E45">
              <w:rPr>
                <w:rFonts w:cs="Aharoni"/>
                <w:noProof/>
                <w:sz w:val="20"/>
                <w:szCs w:val="20"/>
                <w:lang w:eastAsia="en-AU"/>
              </w:rPr>
              <w:drawing>
                <wp:anchor distT="0" distB="0" distL="114300" distR="114300" simplePos="0" relativeHeight="251687936" behindDoc="1" locked="0" layoutInCell="1" allowOverlap="1" wp14:anchorId="5B10950C" wp14:editId="2632C360">
                  <wp:simplePos x="0" y="0"/>
                  <wp:positionH relativeFrom="column">
                    <wp:posOffset>-37836</wp:posOffset>
                  </wp:positionH>
                  <wp:positionV relativeFrom="paragraph">
                    <wp:posOffset>27988</wp:posOffset>
                  </wp:positionV>
                  <wp:extent cx="221615" cy="158115"/>
                  <wp:effectExtent l="0" t="0" r="6985" b="0"/>
                  <wp:wrapTight wrapText="bothSides">
                    <wp:wrapPolygon edited="0">
                      <wp:start x="0" y="0"/>
                      <wp:lineTo x="0" y="18217"/>
                      <wp:lineTo x="20424" y="18217"/>
                      <wp:lineTo x="2042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shd w:val="clear" w:color="auto" w:fill="auto"/>
          </w:tcPr>
          <w:p w14:paraId="1413A8BA" w14:textId="77777777" w:rsidR="007371C6" w:rsidRPr="00F06E45" w:rsidRDefault="007371C6" w:rsidP="00F06E45">
            <w:pPr>
              <w:ind w:left="-108"/>
              <w:rPr>
                <w:rFonts w:ascii="Calibri" w:eastAsia="Calibri" w:hAnsi="Calibri" w:cs="Times New Roman"/>
                <w:color w:val="808080" w:themeColor="background1" w:themeShade="80"/>
                <w:sz w:val="16"/>
                <w:szCs w:val="16"/>
              </w:rPr>
            </w:pPr>
            <w:r w:rsidRPr="00F06E45">
              <w:rPr>
                <w:rFonts w:ascii="Calibri" w:eastAsia="Calibri" w:hAnsi="Calibri" w:cs="Times New Roman"/>
                <w:color w:val="000000" w:themeColor="text1"/>
                <w:sz w:val="16"/>
                <w:szCs w:val="16"/>
              </w:rPr>
              <w:t>There were 2 negotiated decision notices issued during the 1st quarter, equating to 2% of the total development approvals this quarter.</w:t>
            </w:r>
          </w:p>
        </w:tc>
      </w:tr>
      <w:tr w:rsidR="007371C6" w:rsidRPr="00F06E45" w14:paraId="714E187C" w14:textId="77777777" w:rsidTr="00063500">
        <w:trPr>
          <w:trHeight w:val="636"/>
        </w:trPr>
        <w:tc>
          <w:tcPr>
            <w:tcW w:w="1275" w:type="dxa"/>
            <w:shd w:val="clear" w:color="auto" w:fill="auto"/>
          </w:tcPr>
          <w:p w14:paraId="1D096D8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w:t>
            </w:r>
          </w:p>
          <w:p w14:paraId="0DBC7DBD" w14:textId="77777777" w:rsidR="007371C6" w:rsidRPr="00F06E45" w:rsidRDefault="007371C6" w:rsidP="00F06E45">
            <w:pPr>
              <w:ind w:left="-108"/>
              <w:rPr>
                <w:rFonts w:ascii="Calibri" w:eastAsia="Calibri" w:hAnsi="Calibri" w:cs="Times New Roman"/>
                <w:sz w:val="18"/>
                <w:szCs w:val="18"/>
              </w:rPr>
            </w:pPr>
          </w:p>
        </w:tc>
        <w:tc>
          <w:tcPr>
            <w:tcW w:w="2411" w:type="dxa"/>
            <w:shd w:val="clear" w:color="auto" w:fill="auto"/>
          </w:tcPr>
          <w:p w14:paraId="1330620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Policy Development and Implementation</w:t>
            </w:r>
          </w:p>
        </w:tc>
        <w:tc>
          <w:tcPr>
            <w:tcW w:w="3583" w:type="dxa"/>
            <w:shd w:val="clear" w:color="auto" w:fill="auto"/>
          </w:tcPr>
          <w:p w14:paraId="422D5A0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Local Government Infrastructure Plan adopted for the Bundaberg region.</w:t>
            </w:r>
          </w:p>
          <w:p w14:paraId="60E3437D" w14:textId="77777777" w:rsidR="007371C6" w:rsidRPr="00F06E45" w:rsidRDefault="007371C6" w:rsidP="00F06E45">
            <w:pPr>
              <w:ind w:left="-108"/>
              <w:rPr>
                <w:rFonts w:ascii="Calibri" w:eastAsia="Calibri" w:hAnsi="Calibri" w:cs="Times New Roman"/>
                <w:sz w:val="18"/>
                <w:szCs w:val="18"/>
              </w:rPr>
            </w:pPr>
          </w:p>
        </w:tc>
        <w:tc>
          <w:tcPr>
            <w:tcW w:w="1095" w:type="dxa"/>
            <w:shd w:val="clear" w:color="auto" w:fill="auto"/>
          </w:tcPr>
          <w:p w14:paraId="09A0EBC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 </w:t>
            </w:r>
          </w:p>
          <w:p w14:paraId="7D82E5B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80%</w:t>
            </w:r>
          </w:p>
          <w:p w14:paraId="21B2CFC8" w14:textId="77777777" w:rsidR="007371C6" w:rsidRPr="00F06E45" w:rsidRDefault="007371C6" w:rsidP="00F06E45">
            <w:pPr>
              <w:rPr>
                <w:rFonts w:ascii="Calibri" w:eastAsia="Calibri" w:hAnsi="Calibri" w:cs="Times New Roman"/>
                <w:sz w:val="16"/>
                <w:szCs w:val="16"/>
              </w:rPr>
            </w:pPr>
          </w:p>
        </w:tc>
        <w:tc>
          <w:tcPr>
            <w:tcW w:w="708" w:type="dxa"/>
            <w:shd w:val="clear" w:color="auto" w:fill="auto"/>
          </w:tcPr>
          <w:p w14:paraId="63D9F7B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YTD </w:t>
            </w:r>
          </w:p>
          <w:p w14:paraId="3C00C29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15%</w:t>
            </w:r>
          </w:p>
        </w:tc>
        <w:tc>
          <w:tcPr>
            <w:tcW w:w="851" w:type="dxa"/>
            <w:gridSpan w:val="2"/>
            <w:shd w:val="clear" w:color="auto" w:fill="auto"/>
          </w:tcPr>
          <w:p w14:paraId="043684B6" w14:textId="77777777" w:rsidR="007371C6" w:rsidRPr="00F06E45" w:rsidRDefault="007371C6" w:rsidP="00F06E45">
            <w:pPr>
              <w:rPr>
                <w:rFonts w:ascii="Calibri" w:eastAsia="Calibri" w:hAnsi="Calibri" w:cs="Times New Roman"/>
                <w:sz w:val="16"/>
                <w:szCs w:val="16"/>
              </w:rPr>
            </w:pPr>
            <w:r w:rsidRPr="00F06E45">
              <w:rPr>
                <w:rFonts w:cs="Aharoni"/>
                <w:noProof/>
                <w:sz w:val="20"/>
                <w:szCs w:val="20"/>
                <w:lang w:eastAsia="en-AU"/>
              </w:rPr>
              <w:drawing>
                <wp:anchor distT="0" distB="0" distL="114300" distR="114300" simplePos="0" relativeHeight="251688960" behindDoc="1" locked="0" layoutInCell="1" allowOverlap="1" wp14:anchorId="047DEE54" wp14:editId="6E2CC5AF">
                  <wp:simplePos x="0" y="0"/>
                  <wp:positionH relativeFrom="column">
                    <wp:posOffset>-21326</wp:posOffset>
                  </wp:positionH>
                  <wp:positionV relativeFrom="paragraph">
                    <wp:posOffset>91655</wp:posOffset>
                  </wp:positionV>
                  <wp:extent cx="221615" cy="158115"/>
                  <wp:effectExtent l="0" t="0" r="6985" b="0"/>
                  <wp:wrapTight wrapText="bothSides">
                    <wp:wrapPolygon edited="0">
                      <wp:start x="0" y="0"/>
                      <wp:lineTo x="0" y="18217"/>
                      <wp:lineTo x="20424" y="18217"/>
                      <wp:lineTo x="2042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shd w:val="clear" w:color="auto" w:fill="auto"/>
          </w:tcPr>
          <w:p w14:paraId="3A8DE9C6" w14:textId="77777777" w:rsidR="007371C6" w:rsidRPr="00F06E45" w:rsidRDefault="007371C6" w:rsidP="00F06E45">
            <w:pPr>
              <w:ind w:left="-108"/>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Project consultants have been appointed and project inception meeting held. Consultants are currently developing a population module, which is scheduled to be completed by end of October.</w:t>
            </w:r>
          </w:p>
        </w:tc>
      </w:tr>
      <w:tr w:rsidR="007371C6" w:rsidRPr="00F06E45" w14:paraId="5C730DA4" w14:textId="77777777" w:rsidTr="00063500">
        <w:trPr>
          <w:trHeight w:val="862"/>
        </w:trPr>
        <w:tc>
          <w:tcPr>
            <w:tcW w:w="1275" w:type="dxa"/>
            <w:shd w:val="clear" w:color="auto" w:fill="auto"/>
          </w:tcPr>
          <w:p w14:paraId="5C0E38C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Information Systems </w:t>
            </w:r>
          </w:p>
          <w:p w14:paraId="28A5A561" w14:textId="77777777" w:rsidR="007371C6" w:rsidRPr="00F06E45" w:rsidRDefault="007371C6" w:rsidP="00F06E45">
            <w:pPr>
              <w:ind w:left="-108"/>
              <w:rPr>
                <w:rFonts w:ascii="Calibri" w:eastAsia="Calibri" w:hAnsi="Calibri" w:cs="Times New Roman"/>
                <w:sz w:val="18"/>
                <w:szCs w:val="18"/>
              </w:rPr>
            </w:pPr>
          </w:p>
        </w:tc>
        <w:tc>
          <w:tcPr>
            <w:tcW w:w="2411" w:type="dxa"/>
            <w:shd w:val="clear" w:color="auto" w:fill="auto"/>
          </w:tcPr>
          <w:p w14:paraId="75C647B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Planning &amp; Development: Long-term Planning: Operations against Capital </w:t>
            </w:r>
          </w:p>
        </w:tc>
        <w:tc>
          <w:tcPr>
            <w:tcW w:w="3583" w:type="dxa"/>
            <w:shd w:val="clear" w:color="auto" w:fill="auto"/>
          </w:tcPr>
          <w:p w14:paraId="52BA0A4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expenditure on operations against expenditure on capital.</w:t>
            </w:r>
          </w:p>
        </w:tc>
        <w:tc>
          <w:tcPr>
            <w:tcW w:w="1095" w:type="dxa"/>
            <w:shd w:val="clear" w:color="auto" w:fill="auto"/>
          </w:tcPr>
          <w:p w14:paraId="462914B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310BAE6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Trend</w:t>
            </w:r>
          </w:p>
        </w:tc>
        <w:tc>
          <w:tcPr>
            <w:tcW w:w="708" w:type="dxa"/>
            <w:shd w:val="clear" w:color="auto" w:fill="auto"/>
          </w:tcPr>
          <w:p w14:paraId="282E990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59%</w:t>
            </w:r>
          </w:p>
        </w:tc>
        <w:tc>
          <w:tcPr>
            <w:tcW w:w="851" w:type="dxa"/>
            <w:gridSpan w:val="2"/>
            <w:shd w:val="clear" w:color="auto" w:fill="auto"/>
          </w:tcPr>
          <w:p w14:paraId="1EB1AC2A"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inline distT="0" distB="0" distL="0" distR="0" wp14:anchorId="46A8BB1E" wp14:editId="521F4125">
                  <wp:extent cx="221941" cy="221941"/>
                  <wp:effectExtent l="0" t="0" r="6985"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935" cy="229935"/>
                          </a:xfrm>
                          <a:prstGeom prst="rect">
                            <a:avLst/>
                          </a:prstGeom>
                        </pic:spPr>
                      </pic:pic>
                    </a:graphicData>
                  </a:graphic>
                </wp:inline>
              </w:drawing>
            </w:r>
          </w:p>
        </w:tc>
        <w:tc>
          <w:tcPr>
            <w:tcW w:w="5528" w:type="dxa"/>
            <w:shd w:val="clear" w:color="auto" w:fill="auto"/>
          </w:tcPr>
          <w:p w14:paraId="21267C16" w14:textId="77777777" w:rsidR="007371C6" w:rsidRPr="00F06E45" w:rsidRDefault="007371C6" w:rsidP="00F06E45">
            <w:pPr>
              <w:ind w:left="-108"/>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 xml:space="preserve">This figure has risen 12% from 2014-2015.  A further increase in capital expenditure has been budgeted for this year to cover </w:t>
            </w:r>
            <w:r w:rsidRPr="00F06E45">
              <w:rPr>
                <w:rFonts w:ascii="Calibri" w:eastAsia="Calibri" w:hAnsi="Calibri" w:cs="Times New Roman"/>
                <w:i/>
                <w:sz w:val="16"/>
                <w:szCs w:val="16"/>
              </w:rPr>
              <w:t>Core System Replacement</w:t>
            </w:r>
            <w:r w:rsidRPr="00F06E45">
              <w:rPr>
                <w:rFonts w:ascii="Calibri" w:eastAsia="Calibri" w:hAnsi="Calibri" w:cs="Times New Roman"/>
                <w:sz w:val="16"/>
                <w:szCs w:val="16"/>
              </w:rPr>
              <w:t xml:space="preserve"> and other </w:t>
            </w:r>
            <w:r w:rsidRPr="00F06E45">
              <w:rPr>
                <w:rFonts w:ascii="Calibri" w:eastAsia="Calibri" w:hAnsi="Calibri" w:cs="Times New Roman"/>
                <w:i/>
                <w:sz w:val="16"/>
                <w:szCs w:val="16"/>
              </w:rPr>
              <w:t>Infrastructure, Applications</w:t>
            </w:r>
            <w:r w:rsidRPr="00F06E45">
              <w:rPr>
                <w:rFonts w:ascii="Calibri" w:eastAsia="Calibri" w:hAnsi="Calibri" w:cs="Times New Roman"/>
                <w:sz w:val="16"/>
                <w:szCs w:val="16"/>
              </w:rPr>
              <w:t xml:space="preserve"> and</w:t>
            </w:r>
            <w:r w:rsidRPr="00F06E45">
              <w:rPr>
                <w:rFonts w:ascii="Calibri" w:eastAsia="Calibri" w:hAnsi="Calibri" w:cs="Times New Roman"/>
                <w:i/>
                <w:sz w:val="16"/>
                <w:szCs w:val="16"/>
              </w:rPr>
              <w:t xml:space="preserve"> GIS</w:t>
            </w:r>
            <w:r w:rsidRPr="00F06E45">
              <w:rPr>
                <w:rFonts w:ascii="Calibri" w:eastAsia="Calibri" w:hAnsi="Calibri" w:cs="Times New Roman"/>
                <w:sz w:val="16"/>
                <w:szCs w:val="16"/>
              </w:rPr>
              <w:t xml:space="preserve"> projects.  </w:t>
            </w:r>
          </w:p>
        </w:tc>
      </w:tr>
      <w:tr w:rsidR="007371C6" w:rsidRPr="00F06E45" w14:paraId="03C6FC50" w14:textId="77777777" w:rsidTr="00063500">
        <w:trPr>
          <w:trHeight w:val="1010"/>
        </w:trPr>
        <w:tc>
          <w:tcPr>
            <w:tcW w:w="1275" w:type="dxa"/>
            <w:tcBorders>
              <w:bottom w:val="single" w:sz="18" w:space="0" w:color="308060"/>
            </w:tcBorders>
            <w:shd w:val="clear" w:color="auto" w:fill="auto"/>
          </w:tcPr>
          <w:p w14:paraId="44DF288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Roads &amp; Drainage</w:t>
            </w:r>
          </w:p>
        </w:tc>
        <w:tc>
          <w:tcPr>
            <w:tcW w:w="2411" w:type="dxa"/>
            <w:tcBorders>
              <w:bottom w:val="single" w:sz="18" w:space="0" w:color="308060"/>
            </w:tcBorders>
            <w:shd w:val="clear" w:color="auto" w:fill="auto"/>
          </w:tcPr>
          <w:p w14:paraId="402224E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Construction: Management &amp; delivery of  Annual Capital Works Program </w:t>
            </w:r>
          </w:p>
        </w:tc>
        <w:tc>
          <w:tcPr>
            <w:tcW w:w="3583" w:type="dxa"/>
            <w:tcBorders>
              <w:bottom w:val="single" w:sz="18" w:space="0" w:color="308060"/>
            </w:tcBorders>
            <w:shd w:val="clear" w:color="auto" w:fill="auto"/>
          </w:tcPr>
          <w:p w14:paraId="78EF4AD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works completed.</w:t>
            </w:r>
          </w:p>
        </w:tc>
        <w:tc>
          <w:tcPr>
            <w:tcW w:w="1095" w:type="dxa"/>
            <w:tcBorders>
              <w:bottom w:val="single" w:sz="18" w:space="0" w:color="308060"/>
            </w:tcBorders>
            <w:shd w:val="clear" w:color="auto" w:fill="auto"/>
          </w:tcPr>
          <w:p w14:paraId="0F16595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w:t>
            </w:r>
          </w:p>
          <w:p w14:paraId="676F476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708" w:type="dxa"/>
            <w:tcBorders>
              <w:bottom w:val="single" w:sz="18" w:space="0" w:color="308060"/>
            </w:tcBorders>
            <w:shd w:val="clear" w:color="auto" w:fill="auto"/>
          </w:tcPr>
          <w:p w14:paraId="33126B7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64B0BD0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21%</w:t>
            </w:r>
          </w:p>
        </w:tc>
        <w:tc>
          <w:tcPr>
            <w:tcW w:w="851" w:type="dxa"/>
            <w:gridSpan w:val="2"/>
            <w:tcBorders>
              <w:bottom w:val="single" w:sz="18" w:space="0" w:color="308060"/>
            </w:tcBorders>
            <w:shd w:val="clear" w:color="auto" w:fill="auto"/>
          </w:tcPr>
          <w:p w14:paraId="6B504307"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74624" behindDoc="1" locked="0" layoutInCell="1" allowOverlap="1" wp14:anchorId="1412FAB7" wp14:editId="372902E4">
                  <wp:simplePos x="0" y="0"/>
                  <wp:positionH relativeFrom="column">
                    <wp:posOffset>-41312</wp:posOffset>
                  </wp:positionH>
                  <wp:positionV relativeFrom="paragraph">
                    <wp:posOffset>72390</wp:posOffset>
                  </wp:positionV>
                  <wp:extent cx="221615" cy="158115"/>
                  <wp:effectExtent l="0" t="0" r="6985" b="0"/>
                  <wp:wrapTight wrapText="bothSides">
                    <wp:wrapPolygon edited="0">
                      <wp:start x="0" y="0"/>
                      <wp:lineTo x="0" y="18217"/>
                      <wp:lineTo x="20424" y="18217"/>
                      <wp:lineTo x="20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bottom w:val="single" w:sz="18" w:space="0" w:color="308060"/>
            </w:tcBorders>
            <w:shd w:val="clear" w:color="auto" w:fill="auto"/>
          </w:tcPr>
          <w:p w14:paraId="01285810" w14:textId="77777777" w:rsidR="007371C6" w:rsidRPr="00F06E45" w:rsidRDefault="007371C6" w:rsidP="00F06E45">
            <w:pPr>
              <w:ind w:left="-108"/>
              <w:rPr>
                <w:rFonts w:ascii="Calibri" w:eastAsia="Calibri" w:hAnsi="Calibri" w:cs="Times New Roman"/>
                <w:sz w:val="16"/>
                <w:szCs w:val="16"/>
              </w:rPr>
            </w:pPr>
            <w:r w:rsidRPr="00F06E45">
              <w:rPr>
                <w:rFonts w:ascii="Calibri" w:eastAsia="Calibri" w:hAnsi="Calibri" w:cs="Times New Roman"/>
                <w:sz w:val="16"/>
                <w:szCs w:val="16"/>
              </w:rPr>
              <w:t>Overall capital works expenditure is slightly under quarterly expenditure due to major contract works not commencing until the next quarter. Works delivered by internal day labour crews is on track this quarter.</w:t>
            </w:r>
          </w:p>
        </w:tc>
      </w:tr>
    </w:tbl>
    <w:p w14:paraId="03CA39C5" w14:textId="77777777" w:rsidR="007371C6" w:rsidRPr="00F06E45" w:rsidRDefault="007371C6" w:rsidP="00F06E45">
      <w:pPr>
        <w:spacing w:after="0" w:line="240" w:lineRule="auto"/>
        <w:rPr>
          <w:rFonts w:ascii="Times New Roman" w:eastAsia="Calibri" w:hAnsi="Times New Roman" w:cs="Times New Roman"/>
          <w:b/>
          <w:i/>
          <w:color w:val="368243"/>
          <w:sz w:val="28"/>
          <w:szCs w:val="28"/>
        </w:rPr>
      </w:pPr>
      <w:r w:rsidRPr="00F06E45">
        <w:rPr>
          <w:rFonts w:ascii="Times New Roman" w:eastAsia="Calibri" w:hAnsi="Times New Roman" w:cs="Times New Roman"/>
          <w:b/>
          <w:i/>
          <w:color w:val="368243"/>
          <w:sz w:val="28"/>
          <w:szCs w:val="28"/>
        </w:rPr>
        <w:t xml:space="preserve"> </w:t>
      </w:r>
    </w:p>
    <w:p w14:paraId="0016FC17" w14:textId="77777777" w:rsidR="007371C6" w:rsidRPr="00F06E45" w:rsidRDefault="007371C6" w:rsidP="00F06E45">
      <w:pPr>
        <w:spacing w:after="0" w:line="240" w:lineRule="auto"/>
        <w:rPr>
          <w:rFonts w:ascii="Times New Roman" w:eastAsia="Calibri" w:hAnsi="Times New Roman" w:cs="Times New Roman"/>
          <w:b/>
          <w:i/>
          <w:color w:val="368243"/>
          <w:sz w:val="28"/>
          <w:szCs w:val="28"/>
        </w:rPr>
        <w:sectPr w:rsidR="007371C6" w:rsidRPr="00F06E45"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b/>
          <w:i/>
          <w:color w:val="368243"/>
          <w:sz w:val="28"/>
          <w:szCs w:val="28"/>
        </w:rPr>
        <w:t xml:space="preserve">   </w:t>
      </w:r>
    </w:p>
    <w:p w14:paraId="0CD1B76E"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6476BA64"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r w:rsidRPr="00F06E45">
        <w:rPr>
          <w:rFonts w:ascii="Times New Roman" w:eastAsia="Calibri" w:hAnsi="Times New Roman" w:cs="Times New Roman"/>
          <w:b/>
          <w:i/>
          <w:color w:val="368243"/>
          <w:sz w:val="28"/>
          <w:szCs w:val="28"/>
        </w:rPr>
        <w:t xml:space="preserve">Sustainable environmental planning and design                                                      </w:t>
      </w:r>
      <w:r w:rsidRPr="00F06E45">
        <w:rPr>
          <w:rFonts w:ascii="Times New Roman" w:eastAsia="Calibri" w:hAnsi="Times New Roman" w:cs="Times New Roman"/>
          <w:b/>
        </w:rPr>
        <w:t>recognising local character, prioritising regional infrastructure</w:t>
      </w:r>
    </w:p>
    <w:tbl>
      <w:tblPr>
        <w:tblStyle w:val="TableGrid1"/>
        <w:tblpPr w:leftFromText="180" w:rightFromText="180" w:vertAnchor="text" w:horzAnchor="margin" w:tblpY="155"/>
        <w:tblW w:w="15593" w:type="dxa"/>
        <w:tblBorders>
          <w:top w:val="single" w:sz="4" w:space="0" w:color="308060"/>
          <w:left w:val="single" w:sz="4" w:space="0" w:color="308060"/>
          <w:bottom w:val="single" w:sz="4" w:space="0" w:color="308060"/>
          <w:right w:val="single" w:sz="4" w:space="0" w:color="308060"/>
          <w:insideH w:val="single" w:sz="4" w:space="0" w:color="308060"/>
          <w:insideV w:val="single" w:sz="4" w:space="0" w:color="308060"/>
        </w:tblBorders>
        <w:tblLook w:val="04A0" w:firstRow="1" w:lastRow="0" w:firstColumn="1" w:lastColumn="0" w:noHBand="0" w:noVBand="1"/>
      </w:tblPr>
      <w:tblGrid>
        <w:gridCol w:w="1276"/>
        <w:gridCol w:w="2410"/>
        <w:gridCol w:w="3544"/>
        <w:gridCol w:w="850"/>
        <w:gridCol w:w="851"/>
        <w:gridCol w:w="576"/>
        <w:gridCol w:w="6086"/>
      </w:tblGrid>
      <w:tr w:rsidR="007371C6" w:rsidRPr="00F06E45" w14:paraId="6822755A" w14:textId="77777777" w:rsidTr="00063500">
        <w:trPr>
          <w:trHeight w:val="236"/>
        </w:trPr>
        <w:tc>
          <w:tcPr>
            <w:tcW w:w="15593" w:type="dxa"/>
            <w:gridSpan w:val="7"/>
            <w:tcBorders>
              <w:top w:val="single" w:sz="18" w:space="0" w:color="308060"/>
              <w:left w:val="nil"/>
              <w:bottom w:val="single" w:sz="18" w:space="0" w:color="308060"/>
              <w:right w:val="nil"/>
            </w:tcBorders>
            <w:shd w:val="clear" w:color="auto" w:fill="C7E6A4"/>
          </w:tcPr>
          <w:p w14:paraId="39D9807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2.3 The provision of infrastructure fit for purpose that meets the region's current and future needs</w:t>
            </w:r>
          </w:p>
        </w:tc>
      </w:tr>
      <w:tr w:rsidR="007371C6" w:rsidRPr="00F06E45" w14:paraId="5BD9C973" w14:textId="77777777" w:rsidTr="00063500">
        <w:trPr>
          <w:trHeight w:val="189"/>
        </w:trPr>
        <w:tc>
          <w:tcPr>
            <w:tcW w:w="15593" w:type="dxa"/>
            <w:gridSpan w:val="7"/>
            <w:tcBorders>
              <w:top w:val="single" w:sz="18" w:space="0" w:color="308060"/>
              <w:left w:val="nil"/>
              <w:bottom w:val="single" w:sz="18" w:space="0" w:color="308060"/>
              <w:right w:val="nil"/>
            </w:tcBorders>
          </w:tcPr>
          <w:p w14:paraId="0CFCDDE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2.3.1 Ensure a coordinated and integrated approach to regional infrastructure, implementation and maintenance </w:t>
            </w:r>
          </w:p>
        </w:tc>
      </w:tr>
      <w:tr w:rsidR="007371C6" w:rsidRPr="00F06E45" w14:paraId="782ACEFA" w14:textId="77777777" w:rsidTr="00063500">
        <w:trPr>
          <w:trHeight w:val="189"/>
        </w:trPr>
        <w:tc>
          <w:tcPr>
            <w:tcW w:w="1276" w:type="dxa"/>
            <w:tcBorders>
              <w:top w:val="single" w:sz="18" w:space="0" w:color="308060"/>
              <w:left w:val="nil"/>
              <w:bottom w:val="nil"/>
              <w:right w:val="nil"/>
            </w:tcBorders>
          </w:tcPr>
          <w:p w14:paraId="4D12152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308060"/>
              <w:left w:val="nil"/>
              <w:bottom w:val="nil"/>
              <w:right w:val="nil"/>
            </w:tcBorders>
          </w:tcPr>
          <w:p w14:paraId="49C21A8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544" w:type="dxa"/>
            <w:tcBorders>
              <w:top w:val="single" w:sz="18" w:space="0" w:color="308060"/>
              <w:left w:val="nil"/>
              <w:bottom w:val="nil"/>
              <w:right w:val="nil"/>
            </w:tcBorders>
          </w:tcPr>
          <w:p w14:paraId="367FE6E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0" w:type="dxa"/>
            <w:tcBorders>
              <w:top w:val="single" w:sz="18" w:space="0" w:color="308060"/>
              <w:left w:val="nil"/>
              <w:bottom w:val="nil"/>
              <w:right w:val="nil"/>
            </w:tcBorders>
          </w:tcPr>
          <w:p w14:paraId="63CA51E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1" w:type="dxa"/>
            <w:tcBorders>
              <w:top w:val="single" w:sz="18" w:space="0" w:color="308060"/>
              <w:left w:val="nil"/>
              <w:bottom w:val="nil"/>
              <w:right w:val="nil"/>
            </w:tcBorders>
          </w:tcPr>
          <w:p w14:paraId="63B431C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576" w:type="dxa"/>
            <w:tcBorders>
              <w:top w:val="single" w:sz="18" w:space="0" w:color="308060"/>
              <w:left w:val="nil"/>
              <w:bottom w:val="nil"/>
              <w:right w:val="nil"/>
            </w:tcBorders>
          </w:tcPr>
          <w:p w14:paraId="12E58D1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Status </w:t>
            </w:r>
          </w:p>
        </w:tc>
        <w:tc>
          <w:tcPr>
            <w:tcW w:w="6086" w:type="dxa"/>
            <w:tcBorders>
              <w:top w:val="single" w:sz="18" w:space="0" w:color="308060"/>
              <w:left w:val="nil"/>
              <w:bottom w:val="nil"/>
              <w:right w:val="nil"/>
            </w:tcBorders>
          </w:tcPr>
          <w:p w14:paraId="0B63366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6D540BE" w14:textId="77777777" w:rsidTr="00063500">
        <w:trPr>
          <w:trHeight w:val="1278"/>
        </w:trPr>
        <w:tc>
          <w:tcPr>
            <w:tcW w:w="1276" w:type="dxa"/>
            <w:tcBorders>
              <w:top w:val="nil"/>
              <w:left w:val="nil"/>
              <w:bottom w:val="nil"/>
              <w:right w:val="nil"/>
            </w:tcBorders>
            <w:shd w:val="clear" w:color="auto" w:fill="auto"/>
          </w:tcPr>
          <w:p w14:paraId="1D534A8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Roads &amp; Drainage </w:t>
            </w:r>
          </w:p>
        </w:tc>
        <w:tc>
          <w:tcPr>
            <w:tcW w:w="2410" w:type="dxa"/>
            <w:tcBorders>
              <w:top w:val="nil"/>
              <w:left w:val="nil"/>
              <w:bottom w:val="nil"/>
              <w:right w:val="nil"/>
            </w:tcBorders>
            <w:shd w:val="clear" w:color="auto" w:fill="auto"/>
          </w:tcPr>
          <w:p w14:paraId="1F5FD54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Maintenance: Outstanding Defects</w:t>
            </w:r>
          </w:p>
        </w:tc>
        <w:tc>
          <w:tcPr>
            <w:tcW w:w="3544" w:type="dxa"/>
            <w:tcBorders>
              <w:top w:val="nil"/>
              <w:left w:val="nil"/>
              <w:bottom w:val="nil"/>
              <w:right w:val="nil"/>
            </w:tcBorders>
            <w:shd w:val="clear" w:color="auto" w:fill="auto"/>
          </w:tcPr>
          <w:p w14:paraId="3A858DE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increase or decrease of outstanding defects </w:t>
            </w:r>
          </w:p>
          <w:p w14:paraId="30A2E9CF" w14:textId="77777777" w:rsidR="007371C6" w:rsidRPr="00F06E45" w:rsidRDefault="007371C6" w:rsidP="00F06E45">
            <w:pPr>
              <w:ind w:left="-108"/>
            </w:pPr>
            <w:r w:rsidRPr="00F06E45">
              <w:rPr>
                <w:rFonts w:ascii="Calibri" w:eastAsia="Calibri" w:hAnsi="Calibri" w:cs="Times New Roman"/>
                <w:sz w:val="18"/>
                <w:szCs w:val="18"/>
              </w:rPr>
              <w:t>(i.e. maintenance work to be completed).</w:t>
            </w:r>
            <w:r w:rsidRPr="00F06E45">
              <w:rPr>
                <w:sz w:val="18"/>
                <w:szCs w:val="18"/>
              </w:rPr>
              <w:t xml:space="preserve"> </w:t>
            </w:r>
          </w:p>
        </w:tc>
        <w:tc>
          <w:tcPr>
            <w:tcW w:w="850" w:type="dxa"/>
            <w:tcBorders>
              <w:top w:val="nil"/>
              <w:left w:val="nil"/>
              <w:bottom w:val="nil"/>
              <w:right w:val="nil"/>
            </w:tcBorders>
            <w:shd w:val="clear" w:color="auto" w:fill="auto"/>
          </w:tcPr>
          <w:p w14:paraId="74F077D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4831BA62"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-2.5%</w:t>
            </w:r>
          </w:p>
        </w:tc>
        <w:tc>
          <w:tcPr>
            <w:tcW w:w="851" w:type="dxa"/>
            <w:tcBorders>
              <w:top w:val="nil"/>
              <w:left w:val="nil"/>
              <w:bottom w:val="nil"/>
              <w:right w:val="nil"/>
            </w:tcBorders>
            <w:shd w:val="clear" w:color="auto" w:fill="auto"/>
          </w:tcPr>
          <w:p w14:paraId="36C82EA0" w14:textId="77777777" w:rsidR="007371C6" w:rsidRPr="00F06E45" w:rsidRDefault="007371C6" w:rsidP="00F06E45">
            <w:pPr>
              <w:rPr>
                <w:rFonts w:ascii="Calibri" w:eastAsia="Calibri" w:hAnsi="Calibri" w:cs="Times New Roman"/>
                <w:sz w:val="16"/>
                <w:szCs w:val="16"/>
              </w:rPr>
            </w:pPr>
          </w:p>
          <w:p w14:paraId="38B16E9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w:t>
            </w:r>
          </w:p>
        </w:tc>
        <w:tc>
          <w:tcPr>
            <w:tcW w:w="576" w:type="dxa"/>
            <w:tcBorders>
              <w:top w:val="nil"/>
              <w:left w:val="nil"/>
              <w:bottom w:val="nil"/>
              <w:right w:val="nil"/>
            </w:tcBorders>
            <w:shd w:val="clear" w:color="auto" w:fill="auto"/>
          </w:tcPr>
          <w:p w14:paraId="09ED699C"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73600" behindDoc="1" locked="0" layoutInCell="1" allowOverlap="1" wp14:anchorId="3B60B873" wp14:editId="0890E288">
                  <wp:simplePos x="0" y="0"/>
                  <wp:positionH relativeFrom="column">
                    <wp:posOffset>-50890</wp:posOffset>
                  </wp:positionH>
                  <wp:positionV relativeFrom="paragraph">
                    <wp:posOffset>93345</wp:posOffset>
                  </wp:positionV>
                  <wp:extent cx="221615" cy="158115"/>
                  <wp:effectExtent l="0" t="0" r="6985" b="0"/>
                  <wp:wrapTight wrapText="bothSides">
                    <wp:wrapPolygon edited="0">
                      <wp:start x="0" y="0"/>
                      <wp:lineTo x="0" y="18217"/>
                      <wp:lineTo x="20424" y="18217"/>
                      <wp:lineTo x="20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p w14:paraId="73F940B6" w14:textId="77777777" w:rsidR="007371C6" w:rsidRPr="00F06E45" w:rsidRDefault="007371C6" w:rsidP="00F06E45">
            <w:pPr>
              <w:rPr>
                <w:rFonts w:ascii="Calibri" w:eastAsia="Calibri" w:hAnsi="Calibri" w:cs="Times New Roman"/>
                <w:sz w:val="16"/>
                <w:szCs w:val="16"/>
              </w:rPr>
            </w:pPr>
          </w:p>
        </w:tc>
        <w:tc>
          <w:tcPr>
            <w:tcW w:w="6086" w:type="dxa"/>
            <w:tcBorders>
              <w:top w:val="nil"/>
              <w:left w:val="nil"/>
              <w:bottom w:val="nil"/>
              <w:right w:val="nil"/>
            </w:tcBorders>
            <w:shd w:val="clear" w:color="auto" w:fill="auto"/>
          </w:tcPr>
          <w:p w14:paraId="3C348B6A"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2,817 defects were reported during the 1st quarter; however, a total of 2,946 defects were completed. Total outstanding defects decreased from 12,873 to 12,744, which is a decrease of 1.0% over the 3 month period. Defects are prioritised as high (hazard), medium and low risk. All high risk defects (hazards) are attended to as soon as possible, with the remainder being undertaken as planned area based maintenance operations.</w:t>
            </w:r>
          </w:p>
        </w:tc>
      </w:tr>
      <w:tr w:rsidR="007371C6" w:rsidRPr="00F06E45" w14:paraId="5521AFEA" w14:textId="77777777" w:rsidTr="00063500">
        <w:trPr>
          <w:trHeight w:val="853"/>
        </w:trPr>
        <w:tc>
          <w:tcPr>
            <w:tcW w:w="1276" w:type="dxa"/>
            <w:tcBorders>
              <w:top w:val="nil"/>
              <w:left w:val="nil"/>
              <w:bottom w:val="nil"/>
              <w:right w:val="nil"/>
            </w:tcBorders>
            <w:shd w:val="clear" w:color="auto" w:fill="auto"/>
          </w:tcPr>
          <w:p w14:paraId="7E218DB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p w14:paraId="6845A2E1" w14:textId="77777777" w:rsidR="007371C6" w:rsidRPr="00F06E45" w:rsidRDefault="007371C6" w:rsidP="00F06E45">
            <w:pPr>
              <w:ind w:left="-108"/>
              <w:rPr>
                <w:rFonts w:ascii="Calibri" w:eastAsia="Calibri" w:hAnsi="Calibri" w:cs="Times New Roman"/>
                <w:sz w:val="18"/>
                <w:szCs w:val="18"/>
              </w:rPr>
            </w:pPr>
          </w:p>
        </w:tc>
        <w:tc>
          <w:tcPr>
            <w:tcW w:w="2410" w:type="dxa"/>
            <w:tcBorders>
              <w:top w:val="nil"/>
              <w:left w:val="nil"/>
              <w:bottom w:val="nil"/>
              <w:right w:val="nil"/>
            </w:tcBorders>
            <w:shd w:val="clear" w:color="auto" w:fill="auto"/>
          </w:tcPr>
          <w:p w14:paraId="52867B0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Asset Maintenance: Advice, Planning &amp;  Design </w:t>
            </w:r>
          </w:p>
        </w:tc>
        <w:tc>
          <w:tcPr>
            <w:tcW w:w="3544" w:type="dxa"/>
            <w:tcBorders>
              <w:top w:val="nil"/>
              <w:left w:val="nil"/>
              <w:bottom w:val="nil"/>
              <w:right w:val="nil"/>
            </w:tcBorders>
            <w:shd w:val="clear" w:color="auto" w:fill="auto"/>
          </w:tcPr>
          <w:p w14:paraId="0C2A03C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internal client survey results satisfactory or above.</w:t>
            </w:r>
          </w:p>
        </w:tc>
        <w:tc>
          <w:tcPr>
            <w:tcW w:w="850" w:type="dxa"/>
            <w:tcBorders>
              <w:top w:val="nil"/>
              <w:left w:val="nil"/>
              <w:bottom w:val="nil"/>
              <w:right w:val="nil"/>
            </w:tcBorders>
            <w:shd w:val="clear" w:color="auto" w:fill="auto"/>
          </w:tcPr>
          <w:p w14:paraId="42E07D8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393D7F43"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75%</w:t>
            </w:r>
          </w:p>
        </w:tc>
        <w:tc>
          <w:tcPr>
            <w:tcW w:w="851" w:type="dxa"/>
            <w:tcBorders>
              <w:top w:val="nil"/>
              <w:left w:val="nil"/>
              <w:bottom w:val="nil"/>
              <w:right w:val="nil"/>
            </w:tcBorders>
            <w:shd w:val="clear" w:color="auto" w:fill="auto"/>
          </w:tcPr>
          <w:p w14:paraId="0747FC8B" w14:textId="77777777" w:rsidR="007371C6" w:rsidRPr="00F06E45" w:rsidRDefault="007371C6" w:rsidP="00F06E45">
            <w:pPr>
              <w:rPr>
                <w:rFonts w:ascii="Calibri" w:eastAsia="Calibri" w:hAnsi="Calibri" w:cs="Times New Roman"/>
                <w:sz w:val="16"/>
                <w:szCs w:val="16"/>
              </w:rPr>
            </w:pPr>
          </w:p>
          <w:p w14:paraId="6FB013B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80%</w:t>
            </w:r>
          </w:p>
        </w:tc>
        <w:tc>
          <w:tcPr>
            <w:tcW w:w="576" w:type="dxa"/>
            <w:tcBorders>
              <w:top w:val="nil"/>
              <w:left w:val="nil"/>
              <w:bottom w:val="nil"/>
              <w:right w:val="nil"/>
            </w:tcBorders>
            <w:shd w:val="clear" w:color="auto" w:fill="auto"/>
          </w:tcPr>
          <w:p w14:paraId="50F26984"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80768" behindDoc="1" locked="0" layoutInCell="1" allowOverlap="1" wp14:anchorId="394F2B36" wp14:editId="2D398C1D">
                  <wp:simplePos x="0" y="0"/>
                  <wp:positionH relativeFrom="column">
                    <wp:posOffset>-14424</wp:posOffset>
                  </wp:positionH>
                  <wp:positionV relativeFrom="paragraph">
                    <wp:posOffset>130810</wp:posOffset>
                  </wp:positionV>
                  <wp:extent cx="221615" cy="158115"/>
                  <wp:effectExtent l="0" t="0" r="6985" b="0"/>
                  <wp:wrapTight wrapText="bothSides">
                    <wp:wrapPolygon edited="0">
                      <wp:start x="0" y="0"/>
                      <wp:lineTo x="0" y="18217"/>
                      <wp:lineTo x="20424" y="18217"/>
                      <wp:lineTo x="204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p w14:paraId="7EC6D2C7" w14:textId="77777777" w:rsidR="007371C6" w:rsidRPr="00F06E45" w:rsidRDefault="007371C6" w:rsidP="00F06E45">
            <w:pPr>
              <w:rPr>
                <w:rFonts w:ascii="Calibri" w:eastAsia="Calibri" w:hAnsi="Calibri" w:cs="Times New Roman"/>
                <w:sz w:val="16"/>
                <w:szCs w:val="16"/>
              </w:rPr>
            </w:pPr>
          </w:p>
        </w:tc>
        <w:tc>
          <w:tcPr>
            <w:tcW w:w="6086" w:type="dxa"/>
            <w:tcBorders>
              <w:top w:val="nil"/>
              <w:left w:val="nil"/>
              <w:bottom w:val="nil"/>
              <w:right w:val="nil"/>
            </w:tcBorders>
            <w:shd w:val="clear" w:color="auto" w:fill="auto"/>
          </w:tcPr>
          <w:p w14:paraId="2C9116B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5 surveys were sent and 4 returned with average to very good ratings. Positive results related to work undertaken at Tantitha Street, Gin Gin Pool and Gin Gin Waste Treatment Plant. Work at Daph Geddes Park took longer than expected however, the client was satisfied with the completed work. </w:t>
            </w:r>
          </w:p>
        </w:tc>
      </w:tr>
      <w:tr w:rsidR="007371C6" w:rsidRPr="00F06E45" w14:paraId="4F96A42C" w14:textId="77777777" w:rsidTr="00063500">
        <w:trPr>
          <w:trHeight w:val="1072"/>
        </w:trPr>
        <w:tc>
          <w:tcPr>
            <w:tcW w:w="1276" w:type="dxa"/>
            <w:tcBorders>
              <w:top w:val="nil"/>
              <w:left w:val="nil"/>
              <w:bottom w:val="nil"/>
              <w:right w:val="nil"/>
            </w:tcBorders>
            <w:shd w:val="clear" w:color="auto" w:fill="auto"/>
          </w:tcPr>
          <w:p w14:paraId="086695C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p w14:paraId="628BB63F" w14:textId="77777777" w:rsidR="007371C6" w:rsidRPr="00F06E45" w:rsidRDefault="007371C6" w:rsidP="00F06E45">
            <w:pPr>
              <w:ind w:left="-108"/>
              <w:rPr>
                <w:rFonts w:ascii="Calibri" w:eastAsia="Calibri" w:hAnsi="Calibri" w:cs="Times New Roman"/>
                <w:sz w:val="18"/>
                <w:szCs w:val="18"/>
              </w:rPr>
            </w:pPr>
          </w:p>
        </w:tc>
        <w:tc>
          <w:tcPr>
            <w:tcW w:w="2410" w:type="dxa"/>
            <w:tcBorders>
              <w:top w:val="nil"/>
              <w:left w:val="nil"/>
              <w:bottom w:val="nil"/>
              <w:right w:val="nil"/>
            </w:tcBorders>
            <w:shd w:val="clear" w:color="auto" w:fill="auto"/>
          </w:tcPr>
          <w:p w14:paraId="24DB846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Asset Maintenance: Maintenance Delivery:  Planned Maintenance </w:t>
            </w:r>
          </w:p>
        </w:tc>
        <w:tc>
          <w:tcPr>
            <w:tcW w:w="3544" w:type="dxa"/>
            <w:tcBorders>
              <w:top w:val="nil"/>
              <w:left w:val="nil"/>
              <w:bottom w:val="nil"/>
              <w:right w:val="nil"/>
            </w:tcBorders>
            <w:shd w:val="clear" w:color="auto" w:fill="auto"/>
          </w:tcPr>
          <w:p w14:paraId="1472298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Priority 1 &amp; 2 work tickets raised against the total number tickets.</w:t>
            </w:r>
          </w:p>
        </w:tc>
        <w:tc>
          <w:tcPr>
            <w:tcW w:w="850" w:type="dxa"/>
            <w:tcBorders>
              <w:top w:val="nil"/>
              <w:left w:val="nil"/>
              <w:bottom w:val="nil"/>
              <w:right w:val="nil"/>
            </w:tcBorders>
            <w:shd w:val="clear" w:color="auto" w:fill="auto"/>
          </w:tcPr>
          <w:p w14:paraId="7AAFBA9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4295320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Trend </w:t>
            </w:r>
          </w:p>
        </w:tc>
        <w:tc>
          <w:tcPr>
            <w:tcW w:w="851" w:type="dxa"/>
            <w:tcBorders>
              <w:top w:val="nil"/>
              <w:left w:val="nil"/>
              <w:bottom w:val="nil"/>
              <w:right w:val="nil"/>
            </w:tcBorders>
            <w:shd w:val="clear" w:color="auto" w:fill="auto"/>
          </w:tcPr>
          <w:p w14:paraId="70AE13C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28.5%</w:t>
            </w:r>
          </w:p>
          <w:p w14:paraId="6139D18C" w14:textId="77777777" w:rsidR="007371C6" w:rsidRPr="00F06E45" w:rsidRDefault="007371C6" w:rsidP="00F06E45">
            <w:pPr>
              <w:rPr>
                <w:rFonts w:ascii="Calibri" w:eastAsia="Calibri" w:hAnsi="Calibri" w:cs="Times New Roman"/>
                <w:sz w:val="16"/>
                <w:szCs w:val="16"/>
              </w:rPr>
            </w:pPr>
          </w:p>
        </w:tc>
        <w:tc>
          <w:tcPr>
            <w:tcW w:w="576" w:type="dxa"/>
            <w:tcBorders>
              <w:top w:val="nil"/>
              <w:left w:val="nil"/>
              <w:bottom w:val="nil"/>
              <w:right w:val="nil"/>
            </w:tcBorders>
            <w:shd w:val="clear" w:color="auto" w:fill="auto"/>
          </w:tcPr>
          <w:p w14:paraId="0228C54D" w14:textId="77777777" w:rsidR="007371C6" w:rsidRPr="00F06E45" w:rsidRDefault="007371C6" w:rsidP="00F06E45">
            <w:pPr>
              <w:rPr>
                <w:rFonts w:cs="Tahoma"/>
                <w:sz w:val="16"/>
                <w:szCs w:val="16"/>
              </w:rPr>
            </w:pPr>
            <w:r w:rsidRPr="00F06E45">
              <w:rPr>
                <w:rFonts w:cs="Aharoni"/>
                <w:noProof/>
                <w:color w:val="1F4E79" w:themeColor="accent1" w:themeShade="80"/>
                <w:sz w:val="20"/>
                <w:szCs w:val="20"/>
                <w:lang w:eastAsia="en-AU"/>
              </w:rPr>
              <w:drawing>
                <wp:inline distT="0" distB="0" distL="0" distR="0" wp14:anchorId="13C0F1AE" wp14:editId="6C045C14">
                  <wp:extent cx="221941" cy="221941"/>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935" cy="229935"/>
                          </a:xfrm>
                          <a:prstGeom prst="rect">
                            <a:avLst/>
                          </a:prstGeom>
                        </pic:spPr>
                      </pic:pic>
                    </a:graphicData>
                  </a:graphic>
                </wp:inline>
              </w:drawing>
            </w:r>
          </w:p>
        </w:tc>
        <w:tc>
          <w:tcPr>
            <w:tcW w:w="6086" w:type="dxa"/>
            <w:tcBorders>
              <w:top w:val="nil"/>
              <w:left w:val="nil"/>
              <w:bottom w:val="nil"/>
              <w:right w:val="nil"/>
            </w:tcBorders>
            <w:shd w:val="clear" w:color="auto" w:fill="auto"/>
          </w:tcPr>
          <w:p w14:paraId="7125BB7D" w14:textId="77777777" w:rsidR="007371C6" w:rsidRPr="00F06E45" w:rsidRDefault="007371C6" w:rsidP="00F06E45">
            <w:pPr>
              <w:rPr>
                <w:rFonts w:eastAsia="Calibri" w:cs="Times New Roman"/>
                <w:sz w:val="16"/>
                <w:szCs w:val="16"/>
              </w:rPr>
            </w:pPr>
            <w:r w:rsidRPr="00F06E45">
              <w:rPr>
                <w:rFonts w:cs="Tahoma"/>
                <w:sz w:val="16"/>
                <w:szCs w:val="16"/>
              </w:rPr>
              <w:t xml:space="preserve">The total number of work tickets created for the quarter was 1642. The total of Priority 1 &amp; 2 tickets created was 624 - equating to 38%. This figure is 9.5% higher than last quarter. </w:t>
            </w:r>
            <w:r w:rsidRPr="00F06E45">
              <w:rPr>
                <w:rFonts w:cs="Tahoma"/>
                <w:i/>
                <w:sz w:val="16"/>
                <w:szCs w:val="16"/>
              </w:rPr>
              <w:t>Notes:</w:t>
            </w:r>
            <w:r w:rsidRPr="00F06E45">
              <w:rPr>
                <w:rFonts w:cs="Tahoma"/>
                <w:sz w:val="16"/>
                <w:szCs w:val="16"/>
              </w:rPr>
              <w:t xml:space="preserve"> P</w:t>
            </w:r>
            <w:r w:rsidRPr="00F06E45">
              <w:rPr>
                <w:iCs/>
                <w:sz w:val="16"/>
                <w:szCs w:val="16"/>
              </w:rPr>
              <w:t xml:space="preserve">riority 1 &amp; 2 work is primarily reactive maintenance. A high level will indicate a high focus on reactive rather than preventative maintenance. Asset Maintenance’s long-term objective is to increase planned and preventative maintenance. </w:t>
            </w:r>
          </w:p>
        </w:tc>
      </w:tr>
      <w:tr w:rsidR="007371C6" w:rsidRPr="00F06E45" w14:paraId="43903ECB" w14:textId="77777777" w:rsidTr="00063500">
        <w:trPr>
          <w:trHeight w:val="1631"/>
        </w:trPr>
        <w:tc>
          <w:tcPr>
            <w:tcW w:w="1276" w:type="dxa"/>
            <w:tcBorders>
              <w:top w:val="nil"/>
              <w:left w:val="nil"/>
              <w:bottom w:val="nil"/>
              <w:right w:val="nil"/>
            </w:tcBorders>
            <w:shd w:val="clear" w:color="auto" w:fill="auto"/>
          </w:tcPr>
          <w:p w14:paraId="6124FCD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p w14:paraId="630450D7" w14:textId="77777777" w:rsidR="007371C6" w:rsidRPr="00F06E45" w:rsidRDefault="007371C6" w:rsidP="00F06E45">
            <w:pPr>
              <w:ind w:left="-108"/>
              <w:rPr>
                <w:rFonts w:ascii="Calibri" w:eastAsia="Calibri" w:hAnsi="Calibri" w:cs="Times New Roman"/>
                <w:sz w:val="18"/>
                <w:szCs w:val="18"/>
              </w:rPr>
            </w:pPr>
          </w:p>
        </w:tc>
        <w:tc>
          <w:tcPr>
            <w:tcW w:w="2410" w:type="dxa"/>
            <w:tcBorders>
              <w:top w:val="nil"/>
              <w:left w:val="nil"/>
              <w:bottom w:val="nil"/>
              <w:right w:val="nil"/>
            </w:tcBorders>
            <w:shd w:val="clear" w:color="auto" w:fill="auto"/>
          </w:tcPr>
          <w:p w14:paraId="379E43A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Asset Maintenance: Maintenance Delivery: Requested Maintenance </w:t>
            </w:r>
          </w:p>
        </w:tc>
        <w:tc>
          <w:tcPr>
            <w:tcW w:w="3544" w:type="dxa"/>
            <w:tcBorders>
              <w:top w:val="nil"/>
              <w:left w:val="nil"/>
              <w:bottom w:val="nil"/>
              <w:right w:val="nil"/>
            </w:tcBorders>
            <w:shd w:val="clear" w:color="auto" w:fill="auto"/>
          </w:tcPr>
          <w:p w14:paraId="4D96986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Priority 1 &amp; 2 work tickets raised against the number of works completed.</w:t>
            </w:r>
          </w:p>
        </w:tc>
        <w:tc>
          <w:tcPr>
            <w:tcW w:w="850" w:type="dxa"/>
            <w:tcBorders>
              <w:top w:val="nil"/>
              <w:left w:val="nil"/>
              <w:bottom w:val="nil"/>
              <w:right w:val="nil"/>
            </w:tcBorders>
            <w:shd w:val="clear" w:color="auto" w:fill="auto"/>
          </w:tcPr>
          <w:p w14:paraId="256100A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1563F09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851" w:type="dxa"/>
            <w:tcBorders>
              <w:top w:val="nil"/>
              <w:left w:val="nil"/>
              <w:bottom w:val="nil"/>
              <w:right w:val="nil"/>
            </w:tcBorders>
            <w:shd w:val="clear" w:color="auto" w:fill="auto"/>
          </w:tcPr>
          <w:p w14:paraId="3610F751" w14:textId="77777777" w:rsidR="007371C6" w:rsidRPr="00F06E45" w:rsidRDefault="007371C6" w:rsidP="00F06E45">
            <w:pPr>
              <w:rPr>
                <w:rFonts w:ascii="Calibri" w:eastAsia="Calibri" w:hAnsi="Calibri" w:cs="Times New Roman"/>
                <w:sz w:val="16"/>
                <w:szCs w:val="16"/>
              </w:rPr>
            </w:pPr>
          </w:p>
          <w:p w14:paraId="43ECB5F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70%</w:t>
            </w:r>
          </w:p>
        </w:tc>
        <w:tc>
          <w:tcPr>
            <w:tcW w:w="576" w:type="dxa"/>
            <w:tcBorders>
              <w:top w:val="nil"/>
              <w:left w:val="nil"/>
              <w:bottom w:val="nil"/>
              <w:right w:val="nil"/>
            </w:tcBorders>
            <w:shd w:val="clear" w:color="auto" w:fill="auto"/>
          </w:tcPr>
          <w:p w14:paraId="6B0CBE62" w14:textId="77777777" w:rsidR="007371C6" w:rsidRPr="00F06E45" w:rsidRDefault="007371C6" w:rsidP="00F06E45">
            <w:pPr>
              <w:rPr>
                <w:rFonts w:cs="Tahoma"/>
                <w:sz w:val="16"/>
                <w:szCs w:val="16"/>
              </w:rPr>
            </w:pPr>
            <w:r w:rsidRPr="00F06E45">
              <w:rPr>
                <w:rFonts w:cs="Aharoni"/>
                <w:noProof/>
                <w:color w:val="1F4E79" w:themeColor="accent1" w:themeShade="80"/>
                <w:sz w:val="20"/>
                <w:szCs w:val="20"/>
                <w:lang w:eastAsia="en-AU"/>
              </w:rPr>
              <w:drawing>
                <wp:anchor distT="0" distB="0" distL="114300" distR="114300" simplePos="0" relativeHeight="251679744" behindDoc="1" locked="0" layoutInCell="1" allowOverlap="1" wp14:anchorId="7E4D4A1F" wp14:editId="762185F6">
                  <wp:simplePos x="0" y="0"/>
                  <wp:positionH relativeFrom="column">
                    <wp:posOffset>1905</wp:posOffset>
                  </wp:positionH>
                  <wp:positionV relativeFrom="paragraph">
                    <wp:posOffset>130810</wp:posOffset>
                  </wp:positionV>
                  <wp:extent cx="143510" cy="143510"/>
                  <wp:effectExtent l="0" t="0" r="8890" b="8890"/>
                  <wp:wrapTight wrapText="bothSides">
                    <wp:wrapPolygon edited="0">
                      <wp:start x="0" y="0"/>
                      <wp:lineTo x="0" y="20071"/>
                      <wp:lineTo x="20071" y="20071"/>
                      <wp:lineTo x="200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tc>
        <w:tc>
          <w:tcPr>
            <w:tcW w:w="6086" w:type="dxa"/>
            <w:tcBorders>
              <w:top w:val="nil"/>
              <w:left w:val="nil"/>
              <w:bottom w:val="nil"/>
              <w:right w:val="nil"/>
            </w:tcBorders>
            <w:shd w:val="clear" w:color="auto" w:fill="auto"/>
          </w:tcPr>
          <w:p w14:paraId="62F09BA7" w14:textId="77777777" w:rsidR="007371C6" w:rsidRPr="00F06E45" w:rsidRDefault="007371C6" w:rsidP="00F06E45">
            <w:pPr>
              <w:rPr>
                <w:rFonts w:cs="Tahoma"/>
                <w:sz w:val="16"/>
                <w:szCs w:val="16"/>
              </w:rPr>
            </w:pPr>
            <w:r w:rsidRPr="00F06E45">
              <w:rPr>
                <w:rFonts w:cs="Tahoma"/>
                <w:sz w:val="16"/>
                <w:szCs w:val="16"/>
              </w:rPr>
              <w:t>The total number of scheduled Priority 1 &amp; 2 requested maintenance work during the 1st quarter was 624. The total number of completed Priority 1 &amp; 2 work during the same period was 483- equating to 70%. Contributing factors: (1) AMS was inundated with work requests for High or Medium/High priority work in July 2015. The majority of these requests related to projects which required consultation, scoping, planning etc. (2) Jobs have been created in September 2015 for October 2015 work. (3) Not all jobs completed have been entered into the system. It has been decided to remind staff at the end of each month to close completed jobs.</w:t>
            </w:r>
          </w:p>
        </w:tc>
      </w:tr>
      <w:tr w:rsidR="007371C6" w:rsidRPr="00F06E45" w14:paraId="427CE17C" w14:textId="77777777" w:rsidTr="00063500">
        <w:trPr>
          <w:trHeight w:val="850"/>
        </w:trPr>
        <w:tc>
          <w:tcPr>
            <w:tcW w:w="1276" w:type="dxa"/>
            <w:tcBorders>
              <w:top w:val="nil"/>
              <w:left w:val="nil"/>
              <w:bottom w:val="nil"/>
              <w:right w:val="nil"/>
            </w:tcBorders>
            <w:shd w:val="clear" w:color="auto" w:fill="auto"/>
          </w:tcPr>
          <w:p w14:paraId="0FC5C58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p w14:paraId="313735A4" w14:textId="77777777" w:rsidR="007371C6" w:rsidRPr="00F06E45" w:rsidRDefault="007371C6" w:rsidP="00F06E45">
            <w:pPr>
              <w:ind w:left="-108"/>
              <w:rPr>
                <w:rFonts w:ascii="Calibri" w:eastAsia="Calibri" w:hAnsi="Calibri" w:cs="Times New Roman"/>
                <w:sz w:val="18"/>
                <w:szCs w:val="18"/>
              </w:rPr>
            </w:pPr>
          </w:p>
        </w:tc>
        <w:tc>
          <w:tcPr>
            <w:tcW w:w="2410" w:type="dxa"/>
            <w:tcBorders>
              <w:top w:val="nil"/>
              <w:left w:val="nil"/>
              <w:bottom w:val="nil"/>
              <w:right w:val="nil"/>
            </w:tcBorders>
            <w:shd w:val="clear" w:color="auto" w:fill="auto"/>
          </w:tcPr>
          <w:p w14:paraId="2E11A28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Design: Technical Advice: Provision of quality technical advice across Council Departments</w:t>
            </w:r>
          </w:p>
          <w:p w14:paraId="7594051A" w14:textId="77777777" w:rsidR="007371C6" w:rsidRPr="00F06E45" w:rsidRDefault="007371C6" w:rsidP="00F06E45">
            <w:pPr>
              <w:ind w:left="-108"/>
              <w:rPr>
                <w:rFonts w:ascii="Calibri" w:eastAsia="Calibri" w:hAnsi="Calibri" w:cs="Times New Roman"/>
                <w:sz w:val="18"/>
                <w:szCs w:val="18"/>
              </w:rPr>
            </w:pPr>
          </w:p>
        </w:tc>
        <w:tc>
          <w:tcPr>
            <w:tcW w:w="3544" w:type="dxa"/>
            <w:tcBorders>
              <w:top w:val="nil"/>
              <w:left w:val="nil"/>
              <w:bottom w:val="nil"/>
              <w:right w:val="nil"/>
            </w:tcBorders>
            <w:shd w:val="clear" w:color="auto" w:fill="auto"/>
          </w:tcPr>
          <w:p w14:paraId="4A94B94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internal client survey results satisfactory or above.</w:t>
            </w:r>
          </w:p>
        </w:tc>
        <w:tc>
          <w:tcPr>
            <w:tcW w:w="850" w:type="dxa"/>
            <w:tcBorders>
              <w:top w:val="nil"/>
              <w:left w:val="nil"/>
              <w:bottom w:val="nil"/>
              <w:right w:val="nil"/>
            </w:tcBorders>
            <w:shd w:val="clear" w:color="auto" w:fill="auto"/>
          </w:tcPr>
          <w:p w14:paraId="46946B9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46F0BD20"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75%</w:t>
            </w:r>
          </w:p>
        </w:tc>
        <w:tc>
          <w:tcPr>
            <w:tcW w:w="851" w:type="dxa"/>
            <w:tcBorders>
              <w:top w:val="nil"/>
              <w:left w:val="nil"/>
              <w:bottom w:val="nil"/>
              <w:right w:val="nil"/>
            </w:tcBorders>
            <w:shd w:val="clear" w:color="auto" w:fill="auto"/>
          </w:tcPr>
          <w:p w14:paraId="1C9447B9" w14:textId="77777777" w:rsidR="007371C6" w:rsidRPr="00F06E45" w:rsidRDefault="007371C6" w:rsidP="00F06E45">
            <w:pPr>
              <w:rPr>
                <w:rFonts w:ascii="Calibri" w:eastAsia="Calibri" w:hAnsi="Calibri" w:cs="Times New Roman"/>
                <w:sz w:val="16"/>
                <w:szCs w:val="16"/>
              </w:rPr>
            </w:pPr>
          </w:p>
          <w:p w14:paraId="7F90488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p w14:paraId="5D3BC925" w14:textId="77777777" w:rsidR="007371C6" w:rsidRPr="00F06E45" w:rsidRDefault="007371C6" w:rsidP="00F06E45">
            <w:pPr>
              <w:rPr>
                <w:rFonts w:ascii="Calibri" w:eastAsia="Calibri" w:hAnsi="Calibri" w:cs="Times New Roman"/>
                <w:sz w:val="16"/>
                <w:szCs w:val="16"/>
              </w:rPr>
            </w:pPr>
          </w:p>
        </w:tc>
        <w:tc>
          <w:tcPr>
            <w:tcW w:w="576" w:type="dxa"/>
            <w:tcBorders>
              <w:top w:val="nil"/>
              <w:left w:val="nil"/>
              <w:bottom w:val="nil"/>
              <w:right w:val="nil"/>
            </w:tcBorders>
            <w:shd w:val="clear" w:color="auto" w:fill="auto"/>
          </w:tcPr>
          <w:p w14:paraId="59A089C0"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0704" behindDoc="1" locked="0" layoutInCell="1" allowOverlap="1" wp14:anchorId="7F1D348F" wp14:editId="1E765E71">
                  <wp:simplePos x="0" y="0"/>
                  <wp:positionH relativeFrom="column">
                    <wp:posOffset>2540</wp:posOffset>
                  </wp:positionH>
                  <wp:positionV relativeFrom="paragraph">
                    <wp:posOffset>124460</wp:posOffset>
                  </wp:positionV>
                  <wp:extent cx="221615" cy="158115"/>
                  <wp:effectExtent l="0" t="0" r="6985" b="0"/>
                  <wp:wrapTight wrapText="bothSides">
                    <wp:wrapPolygon edited="0">
                      <wp:start x="0" y="0"/>
                      <wp:lineTo x="0" y="18217"/>
                      <wp:lineTo x="20424" y="18217"/>
                      <wp:lineTo x="20424"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086" w:type="dxa"/>
            <w:tcBorders>
              <w:top w:val="nil"/>
              <w:left w:val="nil"/>
              <w:bottom w:val="nil"/>
              <w:right w:val="nil"/>
            </w:tcBorders>
            <w:shd w:val="clear" w:color="auto" w:fill="auto"/>
          </w:tcPr>
          <w:p w14:paraId="7ED1678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 client survey responses were received for work done during the 1st quarter. All 3 surveys rated the design and technical advice of the Design Department as satisfactory or higher.</w:t>
            </w:r>
          </w:p>
        </w:tc>
      </w:tr>
      <w:tr w:rsidR="007371C6" w:rsidRPr="00F06E45" w14:paraId="1661EDCD" w14:textId="77777777" w:rsidTr="00063500">
        <w:trPr>
          <w:trHeight w:val="740"/>
        </w:trPr>
        <w:tc>
          <w:tcPr>
            <w:tcW w:w="1276" w:type="dxa"/>
            <w:tcBorders>
              <w:top w:val="nil"/>
              <w:left w:val="nil"/>
              <w:bottom w:val="single" w:sz="18" w:space="0" w:color="308060"/>
              <w:right w:val="nil"/>
            </w:tcBorders>
            <w:shd w:val="clear" w:color="auto" w:fill="auto"/>
          </w:tcPr>
          <w:p w14:paraId="4BE3243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p w14:paraId="63F24253" w14:textId="77777777" w:rsidR="007371C6" w:rsidRPr="00F06E45" w:rsidRDefault="007371C6" w:rsidP="00F06E45">
            <w:pPr>
              <w:ind w:left="-108"/>
              <w:rPr>
                <w:rFonts w:ascii="Calibri" w:eastAsia="Calibri" w:hAnsi="Calibri" w:cs="Times New Roman"/>
                <w:sz w:val="18"/>
                <w:szCs w:val="18"/>
              </w:rPr>
            </w:pPr>
          </w:p>
        </w:tc>
        <w:tc>
          <w:tcPr>
            <w:tcW w:w="2410" w:type="dxa"/>
            <w:tcBorders>
              <w:top w:val="nil"/>
              <w:left w:val="nil"/>
              <w:bottom w:val="single" w:sz="18" w:space="0" w:color="308060"/>
              <w:right w:val="nil"/>
            </w:tcBorders>
            <w:shd w:val="clear" w:color="auto" w:fill="auto"/>
          </w:tcPr>
          <w:p w14:paraId="5FE7684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Fleet Maintenance:  Availability of Plant, Vehicle &amp; Equipment</w:t>
            </w:r>
          </w:p>
        </w:tc>
        <w:tc>
          <w:tcPr>
            <w:tcW w:w="3544" w:type="dxa"/>
            <w:tcBorders>
              <w:top w:val="nil"/>
              <w:left w:val="nil"/>
              <w:bottom w:val="single" w:sz="18" w:space="0" w:color="308060"/>
              <w:right w:val="nil"/>
            </w:tcBorders>
            <w:shd w:val="clear" w:color="auto" w:fill="auto"/>
          </w:tcPr>
          <w:p w14:paraId="4B977A5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overall plant, vehicle and equipment availability.</w:t>
            </w:r>
          </w:p>
        </w:tc>
        <w:tc>
          <w:tcPr>
            <w:tcW w:w="850" w:type="dxa"/>
            <w:tcBorders>
              <w:top w:val="nil"/>
              <w:left w:val="nil"/>
              <w:bottom w:val="single" w:sz="18" w:space="0" w:color="308060"/>
              <w:right w:val="nil"/>
            </w:tcBorders>
            <w:shd w:val="clear" w:color="auto" w:fill="auto"/>
          </w:tcPr>
          <w:p w14:paraId="0D3DA86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1171A1B4"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95%</w:t>
            </w:r>
          </w:p>
        </w:tc>
        <w:tc>
          <w:tcPr>
            <w:tcW w:w="851" w:type="dxa"/>
            <w:tcBorders>
              <w:top w:val="nil"/>
              <w:left w:val="nil"/>
              <w:bottom w:val="single" w:sz="18" w:space="0" w:color="308060"/>
              <w:right w:val="nil"/>
            </w:tcBorders>
            <w:shd w:val="clear" w:color="auto" w:fill="auto"/>
          </w:tcPr>
          <w:p w14:paraId="4F5531A9" w14:textId="77777777" w:rsidR="007371C6" w:rsidRPr="00F06E45" w:rsidRDefault="007371C6" w:rsidP="00F06E45">
            <w:pPr>
              <w:rPr>
                <w:rFonts w:ascii="Calibri" w:eastAsia="Calibri" w:hAnsi="Calibri" w:cs="Times New Roman"/>
                <w:sz w:val="16"/>
                <w:szCs w:val="16"/>
              </w:rPr>
            </w:pPr>
          </w:p>
          <w:p w14:paraId="125EEDE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96.7%</w:t>
            </w:r>
          </w:p>
        </w:tc>
        <w:tc>
          <w:tcPr>
            <w:tcW w:w="576" w:type="dxa"/>
            <w:tcBorders>
              <w:top w:val="nil"/>
              <w:left w:val="nil"/>
              <w:bottom w:val="single" w:sz="18" w:space="0" w:color="308060"/>
              <w:right w:val="nil"/>
            </w:tcBorders>
            <w:shd w:val="clear" w:color="auto" w:fill="auto"/>
          </w:tcPr>
          <w:p w14:paraId="5ED856CE" w14:textId="77777777" w:rsidR="007371C6" w:rsidRPr="00F06E45" w:rsidRDefault="007371C6" w:rsidP="00F06E45">
            <w:pPr>
              <w:rPr>
                <w:rFonts w:cs="Tahoma"/>
                <w:sz w:val="16"/>
                <w:szCs w:val="16"/>
              </w:rPr>
            </w:pPr>
            <w:r w:rsidRPr="00F06E45">
              <w:rPr>
                <w:rFonts w:cs="Aharoni"/>
                <w:noProof/>
                <w:color w:val="1F4E79" w:themeColor="accent1" w:themeShade="80"/>
                <w:sz w:val="20"/>
                <w:szCs w:val="20"/>
                <w:lang w:eastAsia="en-AU"/>
              </w:rPr>
              <w:drawing>
                <wp:anchor distT="0" distB="0" distL="114300" distR="114300" simplePos="0" relativeHeight="251681792" behindDoc="1" locked="0" layoutInCell="1" allowOverlap="1" wp14:anchorId="3E11DEB5" wp14:editId="4E998E6F">
                  <wp:simplePos x="0" y="0"/>
                  <wp:positionH relativeFrom="column">
                    <wp:posOffset>-6473</wp:posOffset>
                  </wp:positionH>
                  <wp:positionV relativeFrom="paragraph">
                    <wp:posOffset>90236</wp:posOffset>
                  </wp:positionV>
                  <wp:extent cx="221615" cy="158115"/>
                  <wp:effectExtent l="0" t="0" r="6985" b="0"/>
                  <wp:wrapTight wrapText="bothSides">
                    <wp:wrapPolygon edited="0">
                      <wp:start x="0" y="0"/>
                      <wp:lineTo x="0" y="18217"/>
                      <wp:lineTo x="20424" y="18217"/>
                      <wp:lineTo x="204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086" w:type="dxa"/>
            <w:tcBorders>
              <w:top w:val="nil"/>
              <w:left w:val="nil"/>
              <w:bottom w:val="single" w:sz="18" w:space="0" w:color="308060"/>
              <w:right w:val="nil"/>
            </w:tcBorders>
            <w:shd w:val="clear" w:color="auto" w:fill="auto"/>
          </w:tcPr>
          <w:p w14:paraId="2C871206" w14:textId="77777777" w:rsidR="007371C6" w:rsidRPr="00F06E45" w:rsidRDefault="007371C6" w:rsidP="00F06E45">
            <w:pPr>
              <w:rPr>
                <w:rFonts w:cs="Tahoma"/>
                <w:sz w:val="16"/>
                <w:szCs w:val="16"/>
              </w:rPr>
            </w:pPr>
            <w:r w:rsidRPr="00F06E45">
              <w:rPr>
                <w:rFonts w:cs="Tahoma"/>
                <w:sz w:val="16"/>
                <w:szCs w:val="16"/>
              </w:rPr>
              <w:t>On average during the 1</w:t>
            </w:r>
            <w:r w:rsidRPr="00F06E45">
              <w:rPr>
                <w:rFonts w:cs="Tahoma"/>
                <w:sz w:val="16"/>
                <w:szCs w:val="16"/>
                <w:vertAlign w:val="superscript"/>
              </w:rPr>
              <w:t>st</w:t>
            </w:r>
            <w:r w:rsidRPr="00F06E45">
              <w:rPr>
                <w:rFonts w:cs="Tahoma"/>
                <w:sz w:val="16"/>
                <w:szCs w:val="16"/>
              </w:rPr>
              <w:t xml:space="preserve"> quarter Plant, Vehicle and Equipment was available 96.7% of the time. Availability is measured during normal working hours Monday to Friday between 7am - 4pm.</w:t>
            </w:r>
          </w:p>
          <w:p w14:paraId="54CB4D51" w14:textId="77777777" w:rsidR="007371C6" w:rsidRPr="00F06E45" w:rsidRDefault="007371C6" w:rsidP="00F06E45">
            <w:pPr>
              <w:rPr>
                <w:rFonts w:eastAsia="Calibri" w:cs="Times New Roman"/>
                <w:sz w:val="16"/>
                <w:szCs w:val="16"/>
              </w:rPr>
            </w:pPr>
          </w:p>
        </w:tc>
      </w:tr>
    </w:tbl>
    <w:p w14:paraId="45EC8EFD"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1F365E9F"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r w:rsidRPr="00F06E45">
        <w:rPr>
          <w:rFonts w:ascii="Times New Roman" w:eastAsia="Calibri" w:hAnsi="Times New Roman" w:cs="Times New Roman"/>
          <w:b/>
          <w:i/>
          <w:color w:val="368243"/>
          <w:sz w:val="28"/>
          <w:szCs w:val="28"/>
        </w:rPr>
        <w:t xml:space="preserve"> </w:t>
      </w:r>
    </w:p>
    <w:p w14:paraId="03D8C405"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2DE4A785"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r w:rsidRPr="00F06E45">
        <w:rPr>
          <w:rFonts w:ascii="Times New Roman" w:eastAsia="Calibri" w:hAnsi="Times New Roman" w:cs="Times New Roman"/>
          <w:b/>
          <w:i/>
          <w:color w:val="368243"/>
          <w:sz w:val="28"/>
          <w:szCs w:val="28"/>
        </w:rPr>
        <w:t xml:space="preserve"> </w:t>
      </w:r>
    </w:p>
    <w:p w14:paraId="37FB5988" w14:textId="77777777" w:rsidR="007371C6" w:rsidRPr="00F06E45" w:rsidRDefault="007371C6" w:rsidP="00F06E45">
      <w:pPr>
        <w:spacing w:after="200" w:line="276" w:lineRule="auto"/>
        <w:rPr>
          <w:rFonts w:ascii="Times New Roman" w:eastAsia="Calibri" w:hAnsi="Times New Roman" w:cs="Times New Roman"/>
          <w:b/>
          <w:i/>
          <w:color w:val="368243"/>
          <w:sz w:val="28"/>
          <w:szCs w:val="28"/>
        </w:rPr>
      </w:pPr>
    </w:p>
    <w:p w14:paraId="40A6836F"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368243"/>
          <w:sz w:val="28"/>
          <w:szCs w:val="28"/>
        </w:rPr>
        <w:t xml:space="preserve">Sustainable environmental planning and design                                                      </w:t>
      </w:r>
      <w:r w:rsidRPr="00F06E45">
        <w:rPr>
          <w:rFonts w:ascii="Times New Roman" w:eastAsia="Calibri" w:hAnsi="Times New Roman" w:cs="Times New Roman"/>
          <w:b/>
        </w:rPr>
        <w:t>recognising local character, prioritising regional infrastructure</w:t>
      </w:r>
    </w:p>
    <w:tbl>
      <w:tblPr>
        <w:tblStyle w:val="TableGrid1"/>
        <w:tblpPr w:leftFromText="180" w:rightFromText="180" w:vertAnchor="text" w:horzAnchor="margin" w:tblpY="229"/>
        <w:tblW w:w="15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410"/>
        <w:gridCol w:w="3544"/>
        <w:gridCol w:w="850"/>
        <w:gridCol w:w="709"/>
        <w:gridCol w:w="709"/>
        <w:gridCol w:w="6237"/>
      </w:tblGrid>
      <w:tr w:rsidR="007371C6" w:rsidRPr="00F06E45" w14:paraId="42129609" w14:textId="77777777" w:rsidTr="00063500">
        <w:trPr>
          <w:trHeight w:val="226"/>
        </w:trPr>
        <w:tc>
          <w:tcPr>
            <w:tcW w:w="15735" w:type="dxa"/>
            <w:gridSpan w:val="7"/>
            <w:tcBorders>
              <w:top w:val="single" w:sz="18" w:space="0" w:color="308060"/>
              <w:bottom w:val="single" w:sz="18" w:space="0" w:color="308060"/>
            </w:tcBorders>
            <w:shd w:val="clear" w:color="auto" w:fill="C7E6A4"/>
          </w:tcPr>
          <w:p w14:paraId="4F0D08A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2.3 The provision of infrastructure fit for purpose that meets the region's current and future needs</w:t>
            </w:r>
          </w:p>
        </w:tc>
      </w:tr>
      <w:tr w:rsidR="007371C6" w:rsidRPr="00F06E45" w14:paraId="0E498F09" w14:textId="77777777" w:rsidTr="00063500">
        <w:trPr>
          <w:trHeight w:val="191"/>
        </w:trPr>
        <w:tc>
          <w:tcPr>
            <w:tcW w:w="15735" w:type="dxa"/>
            <w:gridSpan w:val="7"/>
            <w:tcBorders>
              <w:top w:val="single" w:sz="18" w:space="0" w:color="308060"/>
              <w:bottom w:val="single" w:sz="18" w:space="0" w:color="308060"/>
            </w:tcBorders>
          </w:tcPr>
          <w:p w14:paraId="5E12B22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2.3.1 Ensure a coordinated and integrated approach to regional infrastructure, implementation and maintenance </w:t>
            </w:r>
          </w:p>
        </w:tc>
      </w:tr>
      <w:tr w:rsidR="007371C6" w:rsidRPr="00F06E45" w14:paraId="59A09E14" w14:textId="77777777" w:rsidTr="00063500">
        <w:trPr>
          <w:trHeight w:val="227"/>
        </w:trPr>
        <w:tc>
          <w:tcPr>
            <w:tcW w:w="1276" w:type="dxa"/>
            <w:tcBorders>
              <w:top w:val="single" w:sz="18" w:space="0" w:color="308060"/>
            </w:tcBorders>
          </w:tcPr>
          <w:p w14:paraId="3701125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308060"/>
            </w:tcBorders>
          </w:tcPr>
          <w:p w14:paraId="3F28F3F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544" w:type="dxa"/>
            <w:tcBorders>
              <w:top w:val="single" w:sz="18" w:space="0" w:color="308060"/>
            </w:tcBorders>
          </w:tcPr>
          <w:p w14:paraId="2124F1B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0" w:type="dxa"/>
            <w:tcBorders>
              <w:top w:val="single" w:sz="18" w:space="0" w:color="308060"/>
            </w:tcBorders>
          </w:tcPr>
          <w:p w14:paraId="215A249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9" w:type="dxa"/>
            <w:tcBorders>
              <w:top w:val="single" w:sz="18" w:space="0" w:color="308060"/>
            </w:tcBorders>
          </w:tcPr>
          <w:p w14:paraId="1A3B962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08060"/>
            </w:tcBorders>
          </w:tcPr>
          <w:p w14:paraId="7AFBCD9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6237" w:type="dxa"/>
            <w:tcBorders>
              <w:top w:val="single" w:sz="18" w:space="0" w:color="308060"/>
            </w:tcBorders>
          </w:tcPr>
          <w:p w14:paraId="290C583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BCFC611" w14:textId="77777777" w:rsidTr="00063500">
        <w:trPr>
          <w:trHeight w:val="567"/>
        </w:trPr>
        <w:tc>
          <w:tcPr>
            <w:tcW w:w="1276" w:type="dxa"/>
            <w:shd w:val="clear" w:color="auto" w:fill="auto"/>
          </w:tcPr>
          <w:p w14:paraId="01DD414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tc>
        <w:tc>
          <w:tcPr>
            <w:tcW w:w="2410" w:type="dxa"/>
            <w:shd w:val="clear" w:color="auto" w:fill="auto"/>
          </w:tcPr>
          <w:p w14:paraId="201E1CB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Fleet Maintenance: Utilisation of Plant, Vehicle &amp; Equipment</w:t>
            </w:r>
          </w:p>
        </w:tc>
        <w:tc>
          <w:tcPr>
            <w:tcW w:w="3544" w:type="dxa"/>
            <w:shd w:val="clear" w:color="auto" w:fill="auto"/>
          </w:tcPr>
          <w:p w14:paraId="3E4106E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user departments have met minimum utilisation targets.</w:t>
            </w:r>
          </w:p>
        </w:tc>
        <w:tc>
          <w:tcPr>
            <w:tcW w:w="850" w:type="dxa"/>
            <w:shd w:val="clear" w:color="auto" w:fill="auto"/>
          </w:tcPr>
          <w:p w14:paraId="5FB2BC0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66E38EBD"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90%</w:t>
            </w:r>
          </w:p>
        </w:tc>
        <w:tc>
          <w:tcPr>
            <w:tcW w:w="709" w:type="dxa"/>
            <w:shd w:val="clear" w:color="auto" w:fill="auto"/>
          </w:tcPr>
          <w:p w14:paraId="42E7C5B9" w14:textId="77777777" w:rsidR="007371C6" w:rsidRPr="00F06E45" w:rsidRDefault="007371C6" w:rsidP="00F06E45">
            <w:pPr>
              <w:rPr>
                <w:rFonts w:ascii="Calibri" w:eastAsia="Calibri" w:hAnsi="Calibri" w:cs="Times New Roman"/>
                <w:sz w:val="16"/>
                <w:szCs w:val="16"/>
              </w:rPr>
            </w:pPr>
          </w:p>
          <w:p w14:paraId="5099149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9" w:type="dxa"/>
            <w:shd w:val="clear" w:color="auto" w:fill="auto"/>
          </w:tcPr>
          <w:p w14:paraId="1BB88CAD"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89984" behindDoc="1" locked="0" layoutInCell="1" allowOverlap="1" wp14:anchorId="73FA1981" wp14:editId="5CB15A41">
                  <wp:simplePos x="0" y="0"/>
                  <wp:positionH relativeFrom="column">
                    <wp:posOffset>3175</wp:posOffset>
                  </wp:positionH>
                  <wp:positionV relativeFrom="paragraph">
                    <wp:posOffset>65135</wp:posOffset>
                  </wp:positionV>
                  <wp:extent cx="221615" cy="158115"/>
                  <wp:effectExtent l="0" t="0" r="6985" b="0"/>
                  <wp:wrapTight wrapText="bothSides">
                    <wp:wrapPolygon edited="0">
                      <wp:start x="0" y="0"/>
                      <wp:lineTo x="0" y="18217"/>
                      <wp:lineTo x="20424" y="18217"/>
                      <wp:lineTo x="2042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auto"/>
          </w:tcPr>
          <w:p w14:paraId="11F980D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Yellow Plant was fully utilised by user groups during the first quarter.</w:t>
            </w:r>
          </w:p>
        </w:tc>
      </w:tr>
      <w:tr w:rsidR="007371C6" w:rsidRPr="00F06E45" w14:paraId="1D94310B" w14:textId="77777777" w:rsidTr="00063500">
        <w:trPr>
          <w:trHeight w:val="551"/>
        </w:trPr>
        <w:tc>
          <w:tcPr>
            <w:tcW w:w="1276" w:type="dxa"/>
            <w:shd w:val="clear" w:color="auto" w:fill="auto"/>
          </w:tcPr>
          <w:p w14:paraId="5CEE427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p w14:paraId="3B794D63"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379AAD9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Plumbing Services: Inspections  </w:t>
            </w:r>
          </w:p>
        </w:tc>
        <w:tc>
          <w:tcPr>
            <w:tcW w:w="3544" w:type="dxa"/>
            <w:shd w:val="clear" w:color="auto" w:fill="auto"/>
          </w:tcPr>
          <w:p w14:paraId="4402B03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inspections (i.e. ensuring compliance with building codes).</w:t>
            </w:r>
          </w:p>
        </w:tc>
        <w:tc>
          <w:tcPr>
            <w:tcW w:w="850" w:type="dxa"/>
            <w:shd w:val="clear" w:color="auto" w:fill="auto"/>
          </w:tcPr>
          <w:p w14:paraId="362FA59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5CF18499"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Trend</w:t>
            </w:r>
          </w:p>
        </w:tc>
        <w:tc>
          <w:tcPr>
            <w:tcW w:w="709" w:type="dxa"/>
            <w:shd w:val="clear" w:color="auto" w:fill="auto"/>
          </w:tcPr>
          <w:p w14:paraId="3878D87E" w14:textId="77777777" w:rsidR="007371C6" w:rsidRPr="00F06E45" w:rsidRDefault="007371C6" w:rsidP="00F06E45">
            <w:pPr>
              <w:rPr>
                <w:rFonts w:ascii="Calibri" w:eastAsia="Calibri" w:hAnsi="Calibri" w:cs="Times New Roman"/>
                <w:sz w:val="16"/>
                <w:szCs w:val="16"/>
              </w:rPr>
            </w:pPr>
          </w:p>
          <w:p w14:paraId="0F163DB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623</w:t>
            </w:r>
          </w:p>
        </w:tc>
        <w:tc>
          <w:tcPr>
            <w:tcW w:w="709" w:type="dxa"/>
            <w:shd w:val="clear" w:color="auto" w:fill="auto"/>
          </w:tcPr>
          <w:p w14:paraId="634AEE3F"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inline distT="0" distB="0" distL="0" distR="0" wp14:anchorId="1AE05B23" wp14:editId="2C151A4B">
                  <wp:extent cx="221941" cy="221941"/>
                  <wp:effectExtent l="0" t="0" r="6985"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935" cy="229935"/>
                          </a:xfrm>
                          <a:prstGeom prst="rect">
                            <a:avLst/>
                          </a:prstGeom>
                        </pic:spPr>
                      </pic:pic>
                    </a:graphicData>
                  </a:graphic>
                </wp:inline>
              </w:drawing>
            </w:r>
          </w:p>
        </w:tc>
        <w:tc>
          <w:tcPr>
            <w:tcW w:w="6237" w:type="dxa"/>
            <w:shd w:val="clear" w:color="auto" w:fill="auto"/>
          </w:tcPr>
          <w:p w14:paraId="4CA2D362"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color w:val="000000" w:themeColor="text1"/>
                <w:sz w:val="16"/>
                <w:szCs w:val="16"/>
              </w:rPr>
              <w:t>This result is 2% higher than last quarter, but is not as high as the same period last financial year.</w:t>
            </w:r>
          </w:p>
        </w:tc>
      </w:tr>
      <w:tr w:rsidR="007371C6" w:rsidRPr="00F06E45" w14:paraId="35630E67" w14:textId="77777777" w:rsidTr="00063500">
        <w:trPr>
          <w:trHeight w:val="878"/>
        </w:trPr>
        <w:tc>
          <w:tcPr>
            <w:tcW w:w="1276" w:type="dxa"/>
            <w:shd w:val="clear" w:color="auto" w:fill="auto"/>
          </w:tcPr>
          <w:p w14:paraId="592A2FB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p w14:paraId="427451B9"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036FF76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Wastewater Systems: Sewer main blockages</w:t>
            </w:r>
          </w:p>
        </w:tc>
        <w:tc>
          <w:tcPr>
            <w:tcW w:w="3544" w:type="dxa"/>
            <w:shd w:val="clear" w:color="auto" w:fill="auto"/>
          </w:tcPr>
          <w:p w14:paraId="79740CE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sewer main blockages per 100km (indicative of processes). </w:t>
            </w:r>
          </w:p>
        </w:tc>
        <w:tc>
          <w:tcPr>
            <w:tcW w:w="850" w:type="dxa"/>
            <w:shd w:val="clear" w:color="auto" w:fill="auto"/>
          </w:tcPr>
          <w:p w14:paraId="741FE0DE" w14:textId="77777777" w:rsidR="007371C6" w:rsidRPr="00F06E45" w:rsidRDefault="00122ED2" w:rsidP="00F06E45">
            <w:pPr>
              <w:rPr>
                <w:rFonts w:ascii="Calibri" w:eastAsia="Calibri" w:hAnsi="Calibri" w:cs="Times New Roman"/>
                <w:sz w:val="18"/>
                <w:szCs w:val="18"/>
              </w:rPr>
            </w:pPr>
            <w:r w:rsidRPr="00F06E45">
              <w:rPr>
                <w:rFonts w:ascii="Calibri" w:eastAsia="Calibri" w:hAnsi="Calibri" w:cs="Times New Roman"/>
                <w:sz w:val="16"/>
                <w:szCs w:val="16"/>
              </w:rPr>
              <w:t xml:space="preserve">Annually </w:t>
            </w:r>
            <w:r w:rsidR="007371C6" w:rsidRPr="00F06E45">
              <w:rPr>
                <w:rFonts w:ascii="Calibri" w:eastAsia="Calibri" w:hAnsi="Calibri" w:cs="Times New Roman"/>
                <w:sz w:val="16"/>
                <w:szCs w:val="16"/>
              </w:rPr>
              <w:t>&lt;30</w:t>
            </w:r>
          </w:p>
        </w:tc>
        <w:tc>
          <w:tcPr>
            <w:tcW w:w="709" w:type="dxa"/>
            <w:shd w:val="clear" w:color="auto" w:fill="auto"/>
          </w:tcPr>
          <w:p w14:paraId="060294AC" w14:textId="77777777" w:rsidR="007371C6" w:rsidRPr="00F06E45" w:rsidRDefault="00122ED2"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2C0E2CE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3.69</w:t>
            </w:r>
          </w:p>
        </w:tc>
        <w:tc>
          <w:tcPr>
            <w:tcW w:w="709" w:type="dxa"/>
            <w:shd w:val="clear" w:color="auto" w:fill="auto"/>
          </w:tcPr>
          <w:p w14:paraId="36DC7587"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4736" behindDoc="1" locked="0" layoutInCell="1" allowOverlap="1" wp14:anchorId="409E7B26" wp14:editId="1AE73AB9">
                  <wp:simplePos x="0" y="0"/>
                  <wp:positionH relativeFrom="column">
                    <wp:posOffset>0</wp:posOffset>
                  </wp:positionH>
                  <wp:positionV relativeFrom="paragraph">
                    <wp:posOffset>122555</wp:posOffset>
                  </wp:positionV>
                  <wp:extent cx="221615" cy="158115"/>
                  <wp:effectExtent l="0" t="0" r="6985" b="0"/>
                  <wp:wrapTight wrapText="bothSides">
                    <wp:wrapPolygon edited="0">
                      <wp:start x="0" y="0"/>
                      <wp:lineTo x="0" y="18217"/>
                      <wp:lineTo x="20424" y="18217"/>
                      <wp:lineTo x="20424"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auto"/>
          </w:tcPr>
          <w:p w14:paraId="429581F4" w14:textId="77777777" w:rsidR="007371C6" w:rsidRPr="00F06E45" w:rsidRDefault="007371C6" w:rsidP="00F06E45">
            <w:pPr>
              <w:rPr>
                <w:rFonts w:eastAsia="Times New Roman" w:cs="Tahoma"/>
                <w:sz w:val="16"/>
                <w:szCs w:val="16"/>
                <w:lang w:eastAsia="en-AU"/>
              </w:rPr>
            </w:pPr>
            <w:r w:rsidRPr="00F06E45">
              <w:rPr>
                <w:rFonts w:eastAsia="Times New Roman" w:cs="Tahoma"/>
                <w:sz w:val="16"/>
                <w:szCs w:val="16"/>
                <w:lang w:eastAsia="en-AU"/>
              </w:rPr>
              <w:t>21 Sewer Main Blockages were identified prior to complete interruption of service within 568.32 km of sewer main length, which equates to 3.69 blockages per 100 km for the period July 2015 to September 2015. The result only reflects sewer main blockages and excludes data from the Hinterland area.</w:t>
            </w:r>
          </w:p>
          <w:p w14:paraId="7CA7332C"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182C676F" w14:textId="77777777" w:rsidTr="00063500">
        <w:trPr>
          <w:trHeight w:val="852"/>
        </w:trPr>
        <w:tc>
          <w:tcPr>
            <w:tcW w:w="1276" w:type="dxa"/>
            <w:shd w:val="clear" w:color="auto" w:fill="auto"/>
          </w:tcPr>
          <w:p w14:paraId="342C632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410" w:type="dxa"/>
            <w:shd w:val="clear" w:color="auto" w:fill="auto"/>
          </w:tcPr>
          <w:p w14:paraId="25E4B1E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Wastewater Supply Systems:  Water main leaks</w:t>
            </w:r>
          </w:p>
        </w:tc>
        <w:tc>
          <w:tcPr>
            <w:tcW w:w="3544" w:type="dxa"/>
            <w:shd w:val="clear" w:color="auto" w:fill="auto"/>
          </w:tcPr>
          <w:p w14:paraId="518A940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water main leaks per 100km (indicative of infrastructure).</w:t>
            </w:r>
          </w:p>
        </w:tc>
        <w:tc>
          <w:tcPr>
            <w:tcW w:w="850" w:type="dxa"/>
            <w:shd w:val="clear" w:color="auto" w:fill="auto"/>
          </w:tcPr>
          <w:p w14:paraId="4C5CF26F" w14:textId="77777777" w:rsidR="00122ED2" w:rsidRPr="00F06E45" w:rsidRDefault="00122ED2"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24CD60C5"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&lt;20</w:t>
            </w:r>
          </w:p>
        </w:tc>
        <w:tc>
          <w:tcPr>
            <w:tcW w:w="709" w:type="dxa"/>
            <w:shd w:val="clear" w:color="auto" w:fill="auto"/>
          </w:tcPr>
          <w:p w14:paraId="7606343D" w14:textId="77777777" w:rsidR="007371C6" w:rsidRPr="00F06E45" w:rsidRDefault="00122ED2"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670EFDB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1.62 </w:t>
            </w:r>
          </w:p>
        </w:tc>
        <w:tc>
          <w:tcPr>
            <w:tcW w:w="709" w:type="dxa"/>
            <w:shd w:val="clear" w:color="auto" w:fill="auto"/>
          </w:tcPr>
          <w:p w14:paraId="45287BE5"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5760" behindDoc="1" locked="0" layoutInCell="1" allowOverlap="1" wp14:anchorId="33C47D7C" wp14:editId="140ED351">
                  <wp:simplePos x="0" y="0"/>
                  <wp:positionH relativeFrom="column">
                    <wp:posOffset>0</wp:posOffset>
                  </wp:positionH>
                  <wp:positionV relativeFrom="paragraph">
                    <wp:posOffset>123825</wp:posOffset>
                  </wp:positionV>
                  <wp:extent cx="221615" cy="158115"/>
                  <wp:effectExtent l="0" t="0" r="6985" b="0"/>
                  <wp:wrapTight wrapText="bothSides">
                    <wp:wrapPolygon edited="0">
                      <wp:start x="0" y="0"/>
                      <wp:lineTo x="0" y="18217"/>
                      <wp:lineTo x="20424" y="18217"/>
                      <wp:lineTo x="20424"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auto"/>
          </w:tcPr>
          <w:p w14:paraId="3D25EA4A" w14:textId="77777777" w:rsidR="007371C6" w:rsidRPr="00F06E45" w:rsidRDefault="007371C6" w:rsidP="00F06E45">
            <w:pPr>
              <w:rPr>
                <w:rFonts w:eastAsia="Times New Roman" w:cs="Tahoma"/>
                <w:sz w:val="16"/>
                <w:szCs w:val="16"/>
                <w:lang w:eastAsia="en-AU"/>
              </w:rPr>
            </w:pPr>
            <w:r w:rsidRPr="00F06E45">
              <w:rPr>
                <w:rFonts w:eastAsia="Times New Roman" w:cs="Tahoma"/>
                <w:sz w:val="16"/>
                <w:szCs w:val="16"/>
                <w:lang w:eastAsia="en-AU"/>
              </w:rPr>
              <w:t>12 Water Main breaks occurred in the city and coastal area, which has a water mains length of 742 km. This equates to 1.62 breaks per 100 km for the period July 2015 to September 2015. The data does not include the Hinterland area or service leaks.</w:t>
            </w:r>
          </w:p>
          <w:p w14:paraId="7299FA83" w14:textId="77777777" w:rsidR="007371C6" w:rsidRPr="00F06E45" w:rsidRDefault="007371C6" w:rsidP="00F06E45">
            <w:pPr>
              <w:rPr>
                <w:color w:val="808080" w:themeColor="background1" w:themeShade="80"/>
              </w:rPr>
            </w:pPr>
            <w:r w:rsidRPr="00F06E45">
              <w:rPr>
                <w:rFonts w:ascii="Calibri" w:eastAsia="Calibri" w:hAnsi="Calibri" w:cs="Times New Roman"/>
                <w:color w:val="808080" w:themeColor="background1" w:themeShade="80"/>
                <w:sz w:val="16"/>
                <w:szCs w:val="16"/>
              </w:rPr>
              <w:t xml:space="preserve"> </w:t>
            </w:r>
          </w:p>
        </w:tc>
      </w:tr>
      <w:tr w:rsidR="007371C6" w:rsidRPr="00F06E45" w14:paraId="0CBDA4E6" w14:textId="77777777" w:rsidTr="00063500">
        <w:trPr>
          <w:trHeight w:val="850"/>
        </w:trPr>
        <w:tc>
          <w:tcPr>
            <w:tcW w:w="1276" w:type="dxa"/>
            <w:shd w:val="clear" w:color="auto" w:fill="auto"/>
          </w:tcPr>
          <w:p w14:paraId="7A88B9E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410" w:type="dxa"/>
            <w:shd w:val="clear" w:color="auto" w:fill="auto"/>
          </w:tcPr>
          <w:p w14:paraId="6A50D60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Supply Systems: Water usage</w:t>
            </w:r>
          </w:p>
        </w:tc>
        <w:tc>
          <w:tcPr>
            <w:tcW w:w="3544" w:type="dxa"/>
            <w:shd w:val="clear" w:color="auto" w:fill="auto"/>
          </w:tcPr>
          <w:p w14:paraId="3A30390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usage per head of population for Bundaberg Region.</w:t>
            </w:r>
          </w:p>
        </w:tc>
        <w:tc>
          <w:tcPr>
            <w:tcW w:w="850" w:type="dxa"/>
            <w:shd w:val="clear" w:color="auto" w:fill="auto"/>
          </w:tcPr>
          <w:p w14:paraId="670914B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626B9EE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&lt;300 litres</w:t>
            </w:r>
          </w:p>
        </w:tc>
        <w:tc>
          <w:tcPr>
            <w:tcW w:w="709" w:type="dxa"/>
            <w:shd w:val="clear" w:color="auto" w:fill="auto"/>
          </w:tcPr>
          <w:p w14:paraId="55BB93CD" w14:textId="77777777" w:rsidR="007371C6" w:rsidRPr="00F06E45" w:rsidRDefault="007371C6" w:rsidP="00F06E45">
            <w:pPr>
              <w:rPr>
                <w:rFonts w:ascii="Calibri" w:eastAsia="Calibri" w:hAnsi="Calibri" w:cs="Times New Roman"/>
                <w:sz w:val="16"/>
                <w:szCs w:val="16"/>
              </w:rPr>
            </w:pPr>
          </w:p>
          <w:p w14:paraId="18220CC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343</w:t>
            </w:r>
          </w:p>
        </w:tc>
        <w:tc>
          <w:tcPr>
            <w:tcW w:w="709" w:type="dxa"/>
            <w:shd w:val="clear" w:color="auto" w:fill="auto"/>
          </w:tcPr>
          <w:p w14:paraId="6D51A21B"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6784" behindDoc="1" locked="0" layoutInCell="1" allowOverlap="1" wp14:anchorId="17CD9907" wp14:editId="457469C6">
                  <wp:simplePos x="0" y="0"/>
                  <wp:positionH relativeFrom="column">
                    <wp:posOffset>0</wp:posOffset>
                  </wp:positionH>
                  <wp:positionV relativeFrom="paragraph">
                    <wp:posOffset>124460</wp:posOffset>
                  </wp:positionV>
                  <wp:extent cx="221615" cy="158115"/>
                  <wp:effectExtent l="0" t="0" r="6985" b="0"/>
                  <wp:wrapTight wrapText="bothSides">
                    <wp:wrapPolygon edited="0">
                      <wp:start x="0" y="0"/>
                      <wp:lineTo x="0" y="18217"/>
                      <wp:lineTo x="20424" y="18217"/>
                      <wp:lineTo x="20424"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auto"/>
          </w:tcPr>
          <w:p w14:paraId="6FC4E842" w14:textId="77777777" w:rsidR="007371C6" w:rsidRPr="00F06E45" w:rsidRDefault="007371C6" w:rsidP="00F06E45">
            <w:pPr>
              <w:rPr>
                <w:rFonts w:eastAsia="Times New Roman" w:cs="Tahoma"/>
                <w:sz w:val="16"/>
                <w:szCs w:val="16"/>
                <w:lang w:eastAsia="en-AU"/>
              </w:rPr>
            </w:pPr>
            <w:r w:rsidRPr="00F06E45">
              <w:rPr>
                <w:rFonts w:eastAsia="Times New Roman" w:cs="Tahoma"/>
                <w:sz w:val="16"/>
                <w:szCs w:val="16"/>
                <w:lang w:eastAsia="en-AU"/>
              </w:rPr>
              <w:t xml:space="preserve">This is traditionally a higher water consumption period coming into Spring. The figure is within the target tolerances (upper tolerance is 350 litres). </w:t>
            </w:r>
          </w:p>
          <w:p w14:paraId="700F0EF4"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50E76F81" w14:textId="77777777" w:rsidTr="00063500">
        <w:trPr>
          <w:trHeight w:val="570"/>
        </w:trPr>
        <w:tc>
          <w:tcPr>
            <w:tcW w:w="1276" w:type="dxa"/>
            <w:tcBorders>
              <w:bottom w:val="single" w:sz="18" w:space="0" w:color="308060"/>
            </w:tcBorders>
            <w:shd w:val="clear" w:color="auto" w:fill="auto"/>
          </w:tcPr>
          <w:p w14:paraId="626BC19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410" w:type="dxa"/>
            <w:tcBorders>
              <w:bottom w:val="single" w:sz="18" w:space="0" w:color="308060"/>
            </w:tcBorders>
            <w:shd w:val="clear" w:color="auto" w:fill="auto"/>
          </w:tcPr>
          <w:p w14:paraId="5AEE232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Supply Systems: Water usage vs. allocation</w:t>
            </w:r>
          </w:p>
        </w:tc>
        <w:tc>
          <w:tcPr>
            <w:tcW w:w="3544" w:type="dxa"/>
            <w:tcBorders>
              <w:bottom w:val="single" w:sz="18" w:space="0" w:color="308060"/>
            </w:tcBorders>
            <w:shd w:val="clear" w:color="auto" w:fill="auto"/>
          </w:tcPr>
          <w:p w14:paraId="7CC8826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usage as a percentage of allocation for Bundaberg Region.</w:t>
            </w:r>
          </w:p>
          <w:p w14:paraId="3340DDA7" w14:textId="77777777" w:rsidR="007371C6" w:rsidRPr="00F06E45" w:rsidRDefault="007371C6" w:rsidP="00F06E45">
            <w:pPr>
              <w:ind w:left="-108"/>
              <w:rPr>
                <w:rFonts w:ascii="Calibri" w:eastAsia="Calibri" w:hAnsi="Calibri" w:cs="Times New Roman"/>
                <w:sz w:val="18"/>
                <w:szCs w:val="18"/>
              </w:rPr>
            </w:pPr>
          </w:p>
        </w:tc>
        <w:tc>
          <w:tcPr>
            <w:tcW w:w="850" w:type="dxa"/>
            <w:tcBorders>
              <w:bottom w:val="single" w:sz="18" w:space="0" w:color="308060"/>
            </w:tcBorders>
            <w:shd w:val="clear" w:color="auto" w:fill="auto"/>
          </w:tcPr>
          <w:p w14:paraId="5A8416E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187051F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&gt; 95%</w:t>
            </w:r>
          </w:p>
        </w:tc>
        <w:tc>
          <w:tcPr>
            <w:tcW w:w="709" w:type="dxa"/>
            <w:tcBorders>
              <w:bottom w:val="single" w:sz="18" w:space="0" w:color="308060"/>
            </w:tcBorders>
            <w:shd w:val="clear" w:color="auto" w:fill="auto"/>
          </w:tcPr>
          <w:p w14:paraId="28058910" w14:textId="77777777" w:rsidR="007371C6" w:rsidRPr="00F06E45" w:rsidRDefault="007371C6" w:rsidP="00F06E45">
            <w:pPr>
              <w:rPr>
                <w:rFonts w:ascii="Calibri" w:eastAsia="Calibri" w:hAnsi="Calibri" w:cs="Times New Roman"/>
                <w:sz w:val="16"/>
                <w:szCs w:val="16"/>
              </w:rPr>
            </w:pPr>
          </w:p>
          <w:p w14:paraId="7767E8D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59.9%</w:t>
            </w:r>
          </w:p>
        </w:tc>
        <w:tc>
          <w:tcPr>
            <w:tcW w:w="709" w:type="dxa"/>
            <w:tcBorders>
              <w:bottom w:val="single" w:sz="18" w:space="0" w:color="308060"/>
            </w:tcBorders>
            <w:shd w:val="clear" w:color="auto" w:fill="auto"/>
          </w:tcPr>
          <w:p w14:paraId="685CDC51" w14:textId="77777777" w:rsidR="007371C6" w:rsidRPr="00F06E45" w:rsidRDefault="007371C6" w:rsidP="00F06E45">
            <w:pPr>
              <w:pStyle w:val="NoSpacing"/>
              <w:rPr>
                <w:sz w:val="16"/>
                <w:szCs w:val="16"/>
              </w:rPr>
            </w:pPr>
            <w:r w:rsidRPr="00F06E45">
              <w:rPr>
                <w:rFonts w:cs="Aharoni"/>
                <w:noProof/>
                <w:color w:val="1F4E79" w:themeColor="accent1" w:themeShade="80"/>
                <w:sz w:val="20"/>
                <w:szCs w:val="20"/>
                <w:lang w:eastAsia="en-AU"/>
              </w:rPr>
              <w:drawing>
                <wp:anchor distT="0" distB="0" distL="114300" distR="114300" simplePos="0" relativeHeight="251774976" behindDoc="1" locked="0" layoutInCell="1" allowOverlap="1" wp14:anchorId="1E0AAEAB" wp14:editId="1ADB9284">
                  <wp:simplePos x="0" y="0"/>
                  <wp:positionH relativeFrom="column">
                    <wp:posOffset>43132</wp:posOffset>
                  </wp:positionH>
                  <wp:positionV relativeFrom="paragraph">
                    <wp:posOffset>80082</wp:posOffset>
                  </wp:positionV>
                  <wp:extent cx="221615" cy="158115"/>
                  <wp:effectExtent l="0" t="0" r="6985" b="0"/>
                  <wp:wrapTight wrapText="bothSides">
                    <wp:wrapPolygon edited="0">
                      <wp:start x="0" y="0"/>
                      <wp:lineTo x="0" y="18217"/>
                      <wp:lineTo x="20424" y="18217"/>
                      <wp:lineTo x="20424"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tcBorders>
              <w:bottom w:val="single" w:sz="18" w:space="0" w:color="308060"/>
            </w:tcBorders>
            <w:shd w:val="clear" w:color="auto" w:fill="auto"/>
          </w:tcPr>
          <w:p w14:paraId="4D7D09A2" w14:textId="77777777" w:rsidR="007371C6" w:rsidRPr="00F06E45" w:rsidRDefault="007371C6" w:rsidP="00F06E45">
            <w:pPr>
              <w:pStyle w:val="NoSpacing"/>
              <w:rPr>
                <w:rFonts w:ascii="Calibri" w:eastAsia="Calibri" w:hAnsi="Calibri" w:cs="Times New Roman"/>
                <w:color w:val="808080" w:themeColor="background1" w:themeShade="80"/>
                <w:sz w:val="16"/>
                <w:szCs w:val="16"/>
              </w:rPr>
            </w:pPr>
            <w:r w:rsidRPr="00F06E45">
              <w:rPr>
                <w:color w:val="000000" w:themeColor="text1"/>
                <w:sz w:val="16"/>
                <w:szCs w:val="16"/>
              </w:rPr>
              <w:t xml:space="preserve">Water usage was within normal limits expected for this period. </w:t>
            </w:r>
          </w:p>
        </w:tc>
      </w:tr>
    </w:tbl>
    <w:p w14:paraId="59AD9808"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73AE4185" w14:textId="77777777" w:rsidR="007371C6" w:rsidRPr="00F06E45" w:rsidRDefault="007371C6" w:rsidP="00F06E45">
      <w:pPr>
        <w:spacing w:after="0" w:line="240" w:lineRule="auto"/>
        <w:rPr>
          <w:rFonts w:ascii="Times New Roman" w:eastAsia="Calibri" w:hAnsi="Times New Roman" w:cs="Times New Roman"/>
          <w:b/>
          <w:i/>
          <w:color w:val="632423"/>
          <w:sz w:val="28"/>
          <w:szCs w:val="28"/>
        </w:rPr>
        <w:sectPr w:rsidR="007371C6" w:rsidRPr="00F06E45"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b/>
          <w:i/>
          <w:color w:val="632423"/>
          <w:sz w:val="28"/>
          <w:szCs w:val="28"/>
        </w:rPr>
        <w:t xml:space="preserve">  </w:t>
      </w:r>
    </w:p>
    <w:p w14:paraId="7F148A9E"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tbl>
      <w:tblPr>
        <w:tblStyle w:val="TableGrid1"/>
        <w:tblpPr w:leftFromText="180" w:rightFromText="180" w:vertAnchor="text" w:horzAnchor="margin" w:tblpY="764"/>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410"/>
        <w:gridCol w:w="3544"/>
        <w:gridCol w:w="850"/>
        <w:gridCol w:w="709"/>
        <w:gridCol w:w="709"/>
        <w:gridCol w:w="6095"/>
      </w:tblGrid>
      <w:tr w:rsidR="007371C6" w:rsidRPr="00F06E45" w14:paraId="4DE8328F" w14:textId="77777777" w:rsidTr="00063500">
        <w:trPr>
          <w:trHeight w:val="241"/>
        </w:trPr>
        <w:tc>
          <w:tcPr>
            <w:tcW w:w="15593" w:type="dxa"/>
            <w:gridSpan w:val="7"/>
            <w:tcBorders>
              <w:top w:val="single" w:sz="18" w:space="0" w:color="308060"/>
              <w:bottom w:val="single" w:sz="18" w:space="0" w:color="308060"/>
            </w:tcBorders>
            <w:shd w:val="clear" w:color="auto" w:fill="CBE69E"/>
          </w:tcPr>
          <w:p w14:paraId="5216C09D"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2.3 The provision of infrastructure fit for purpose that meets the region's current and future needs</w:t>
            </w:r>
          </w:p>
        </w:tc>
      </w:tr>
      <w:tr w:rsidR="007371C6" w:rsidRPr="00F06E45" w14:paraId="71655AF1" w14:textId="77777777" w:rsidTr="00063500">
        <w:trPr>
          <w:trHeight w:val="200"/>
        </w:trPr>
        <w:tc>
          <w:tcPr>
            <w:tcW w:w="15593" w:type="dxa"/>
            <w:gridSpan w:val="7"/>
            <w:tcBorders>
              <w:top w:val="single" w:sz="18" w:space="0" w:color="308060"/>
              <w:bottom w:val="single" w:sz="18" w:space="0" w:color="308060"/>
            </w:tcBorders>
          </w:tcPr>
          <w:p w14:paraId="5FE8648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2.3.2 Support the rehabilitation and/or the preservation of the environmental amenity of the region </w:t>
            </w:r>
          </w:p>
        </w:tc>
      </w:tr>
      <w:tr w:rsidR="007371C6" w:rsidRPr="00F06E45" w14:paraId="61F62E41" w14:textId="77777777" w:rsidTr="00063500">
        <w:trPr>
          <w:trHeight w:val="187"/>
        </w:trPr>
        <w:tc>
          <w:tcPr>
            <w:tcW w:w="1276" w:type="dxa"/>
            <w:tcBorders>
              <w:top w:val="single" w:sz="18" w:space="0" w:color="308060"/>
            </w:tcBorders>
            <w:shd w:val="clear" w:color="auto" w:fill="auto"/>
          </w:tcPr>
          <w:p w14:paraId="585ECFD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308060"/>
            </w:tcBorders>
            <w:shd w:val="clear" w:color="auto" w:fill="auto"/>
          </w:tcPr>
          <w:p w14:paraId="4857D0A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544" w:type="dxa"/>
            <w:tcBorders>
              <w:top w:val="single" w:sz="18" w:space="0" w:color="308060"/>
            </w:tcBorders>
            <w:shd w:val="clear" w:color="auto" w:fill="auto"/>
          </w:tcPr>
          <w:p w14:paraId="6BEC924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0" w:type="dxa"/>
            <w:tcBorders>
              <w:top w:val="single" w:sz="18" w:space="0" w:color="308060"/>
            </w:tcBorders>
            <w:shd w:val="clear" w:color="auto" w:fill="auto"/>
          </w:tcPr>
          <w:p w14:paraId="6DB5629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9" w:type="dxa"/>
            <w:tcBorders>
              <w:top w:val="single" w:sz="18" w:space="0" w:color="308060"/>
            </w:tcBorders>
            <w:shd w:val="clear" w:color="auto" w:fill="auto"/>
          </w:tcPr>
          <w:p w14:paraId="629369B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08060"/>
            </w:tcBorders>
          </w:tcPr>
          <w:p w14:paraId="4C4B2988"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6095" w:type="dxa"/>
            <w:tcBorders>
              <w:top w:val="single" w:sz="18" w:space="0" w:color="308060"/>
            </w:tcBorders>
            <w:shd w:val="clear" w:color="auto" w:fill="auto"/>
          </w:tcPr>
          <w:p w14:paraId="7A852C0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65179D30" w14:textId="77777777" w:rsidTr="00063500">
        <w:trPr>
          <w:trHeight w:val="589"/>
        </w:trPr>
        <w:tc>
          <w:tcPr>
            <w:tcW w:w="1276" w:type="dxa"/>
            <w:tcBorders>
              <w:bottom w:val="single" w:sz="18" w:space="0" w:color="308060"/>
            </w:tcBorders>
            <w:shd w:val="clear" w:color="auto" w:fill="auto"/>
          </w:tcPr>
          <w:p w14:paraId="3C59524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Waste &amp; Health Services</w:t>
            </w:r>
          </w:p>
        </w:tc>
        <w:tc>
          <w:tcPr>
            <w:tcW w:w="2410" w:type="dxa"/>
            <w:tcBorders>
              <w:bottom w:val="single" w:sz="18" w:space="0" w:color="308060"/>
            </w:tcBorders>
            <w:shd w:val="clear" w:color="auto" w:fill="auto"/>
          </w:tcPr>
          <w:p w14:paraId="49B5248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Waste: Resource Recovery: Municipal solid waste diverted from landfills</w:t>
            </w:r>
          </w:p>
        </w:tc>
        <w:tc>
          <w:tcPr>
            <w:tcW w:w="3544" w:type="dxa"/>
            <w:tcBorders>
              <w:bottom w:val="single" w:sz="18" w:space="0" w:color="308060"/>
            </w:tcBorders>
            <w:shd w:val="clear" w:color="auto" w:fill="auto"/>
          </w:tcPr>
          <w:p w14:paraId="454779F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waste diverted to be reused.</w:t>
            </w:r>
          </w:p>
        </w:tc>
        <w:tc>
          <w:tcPr>
            <w:tcW w:w="850" w:type="dxa"/>
            <w:tcBorders>
              <w:bottom w:val="single" w:sz="18" w:space="0" w:color="308060"/>
            </w:tcBorders>
            <w:shd w:val="clear" w:color="auto" w:fill="auto"/>
          </w:tcPr>
          <w:p w14:paraId="621E6BD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441C0E04"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30%</w:t>
            </w:r>
          </w:p>
        </w:tc>
        <w:tc>
          <w:tcPr>
            <w:tcW w:w="709" w:type="dxa"/>
            <w:tcBorders>
              <w:bottom w:val="single" w:sz="18" w:space="0" w:color="308060"/>
            </w:tcBorders>
            <w:shd w:val="clear" w:color="auto" w:fill="auto"/>
          </w:tcPr>
          <w:p w14:paraId="03529369" w14:textId="77777777" w:rsidR="007371C6" w:rsidRPr="00F06E45" w:rsidRDefault="007371C6" w:rsidP="00F06E45">
            <w:pPr>
              <w:rPr>
                <w:rFonts w:ascii="Calibri" w:eastAsia="Calibri" w:hAnsi="Calibri" w:cs="Times New Roman"/>
                <w:sz w:val="16"/>
                <w:szCs w:val="16"/>
              </w:rPr>
            </w:pPr>
          </w:p>
          <w:p w14:paraId="11EDE27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23%</w:t>
            </w:r>
          </w:p>
        </w:tc>
        <w:tc>
          <w:tcPr>
            <w:tcW w:w="709" w:type="dxa"/>
            <w:tcBorders>
              <w:bottom w:val="single" w:sz="18" w:space="0" w:color="308060"/>
            </w:tcBorders>
            <w:shd w:val="clear" w:color="auto" w:fill="auto"/>
          </w:tcPr>
          <w:p w14:paraId="6E158F00"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7808" behindDoc="1" locked="0" layoutInCell="1" allowOverlap="1" wp14:anchorId="749094DC" wp14:editId="69ABC3FD">
                  <wp:simplePos x="0" y="0"/>
                  <wp:positionH relativeFrom="column">
                    <wp:posOffset>0</wp:posOffset>
                  </wp:positionH>
                  <wp:positionV relativeFrom="paragraph">
                    <wp:posOffset>124460</wp:posOffset>
                  </wp:positionV>
                  <wp:extent cx="221615" cy="158115"/>
                  <wp:effectExtent l="0" t="0" r="6985" b="0"/>
                  <wp:wrapTight wrapText="bothSides">
                    <wp:wrapPolygon edited="0">
                      <wp:start x="0" y="0"/>
                      <wp:lineTo x="0" y="18217"/>
                      <wp:lineTo x="20424" y="18217"/>
                      <wp:lineTo x="2042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Borders>
              <w:bottom w:val="single" w:sz="18" w:space="0" w:color="308060"/>
            </w:tcBorders>
            <w:shd w:val="clear" w:color="auto" w:fill="auto"/>
          </w:tcPr>
          <w:p w14:paraId="4C1BE47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Currently 23% of the Municipal Collections from the wheelie bin service is ‘recycle’ product which is handled by the Material Recycling Facility.</w:t>
            </w:r>
          </w:p>
        </w:tc>
      </w:tr>
      <w:tr w:rsidR="007371C6" w:rsidRPr="00F06E45" w14:paraId="5F68B773" w14:textId="77777777" w:rsidTr="00063500">
        <w:trPr>
          <w:trHeight w:val="200"/>
        </w:trPr>
        <w:tc>
          <w:tcPr>
            <w:tcW w:w="15593" w:type="dxa"/>
            <w:gridSpan w:val="7"/>
            <w:tcBorders>
              <w:top w:val="single" w:sz="18" w:space="0" w:color="308060"/>
              <w:bottom w:val="single" w:sz="18" w:space="0" w:color="308060"/>
            </w:tcBorders>
            <w:shd w:val="clear" w:color="auto" w:fill="auto"/>
          </w:tcPr>
          <w:p w14:paraId="55F627F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2.3.4 Apply financial sustainability principles in planning, funding, creating and maintaining infrastructure </w:t>
            </w:r>
          </w:p>
        </w:tc>
      </w:tr>
      <w:tr w:rsidR="007371C6" w:rsidRPr="00F06E45" w14:paraId="00B8C4A9" w14:textId="77777777" w:rsidTr="00063500">
        <w:trPr>
          <w:trHeight w:val="187"/>
        </w:trPr>
        <w:tc>
          <w:tcPr>
            <w:tcW w:w="1276" w:type="dxa"/>
            <w:tcBorders>
              <w:top w:val="single" w:sz="18" w:space="0" w:color="308060"/>
            </w:tcBorders>
            <w:shd w:val="clear" w:color="auto" w:fill="auto"/>
          </w:tcPr>
          <w:p w14:paraId="4F52ACD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308060"/>
            </w:tcBorders>
            <w:shd w:val="clear" w:color="auto" w:fill="auto"/>
          </w:tcPr>
          <w:p w14:paraId="31BE7E5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544" w:type="dxa"/>
            <w:tcBorders>
              <w:top w:val="single" w:sz="18" w:space="0" w:color="308060"/>
            </w:tcBorders>
            <w:shd w:val="clear" w:color="auto" w:fill="auto"/>
          </w:tcPr>
          <w:p w14:paraId="7400AFB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0" w:type="dxa"/>
            <w:tcBorders>
              <w:top w:val="single" w:sz="18" w:space="0" w:color="308060"/>
            </w:tcBorders>
            <w:shd w:val="clear" w:color="auto" w:fill="auto"/>
          </w:tcPr>
          <w:p w14:paraId="59619B2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9" w:type="dxa"/>
            <w:tcBorders>
              <w:top w:val="single" w:sz="18" w:space="0" w:color="308060"/>
            </w:tcBorders>
            <w:shd w:val="clear" w:color="auto" w:fill="auto"/>
          </w:tcPr>
          <w:p w14:paraId="10891BE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08060"/>
            </w:tcBorders>
            <w:shd w:val="clear" w:color="auto" w:fill="auto"/>
          </w:tcPr>
          <w:p w14:paraId="76FF46E0" w14:textId="77777777" w:rsidR="007371C6" w:rsidRPr="00F06E45" w:rsidRDefault="007371C6" w:rsidP="00F06E45">
            <w:pPr>
              <w:rPr>
                <w:rFonts w:ascii="Calibri" w:eastAsia="Calibri" w:hAnsi="Calibri" w:cs="Times New Roman"/>
                <w:b/>
                <w:sz w:val="18"/>
                <w:szCs w:val="18"/>
              </w:rPr>
            </w:pPr>
          </w:p>
        </w:tc>
        <w:tc>
          <w:tcPr>
            <w:tcW w:w="6095" w:type="dxa"/>
            <w:tcBorders>
              <w:top w:val="single" w:sz="18" w:space="0" w:color="308060"/>
            </w:tcBorders>
            <w:shd w:val="clear" w:color="auto" w:fill="auto"/>
          </w:tcPr>
          <w:p w14:paraId="3A4EEBC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A58A9E4" w14:textId="77777777" w:rsidTr="00063500">
        <w:trPr>
          <w:trHeight w:val="1217"/>
        </w:trPr>
        <w:tc>
          <w:tcPr>
            <w:tcW w:w="1276" w:type="dxa"/>
            <w:shd w:val="clear" w:color="auto" w:fill="auto"/>
          </w:tcPr>
          <w:p w14:paraId="4B5D28D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Projects</w:t>
            </w:r>
          </w:p>
        </w:tc>
        <w:tc>
          <w:tcPr>
            <w:tcW w:w="2410" w:type="dxa"/>
            <w:shd w:val="clear" w:color="auto" w:fill="auto"/>
          </w:tcPr>
          <w:p w14:paraId="4FF38DD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Recoveries: Work hour recovery from Capital Works</w:t>
            </w:r>
          </w:p>
        </w:tc>
        <w:tc>
          <w:tcPr>
            <w:tcW w:w="3544" w:type="dxa"/>
            <w:shd w:val="clear" w:color="auto" w:fill="auto"/>
          </w:tcPr>
          <w:p w14:paraId="4D95C4C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recoveries as a proportion of operational work hours. </w:t>
            </w:r>
          </w:p>
        </w:tc>
        <w:tc>
          <w:tcPr>
            <w:tcW w:w="850" w:type="dxa"/>
            <w:shd w:val="clear" w:color="auto" w:fill="auto"/>
          </w:tcPr>
          <w:p w14:paraId="05AAE54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082BA11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75%</w:t>
            </w:r>
          </w:p>
        </w:tc>
        <w:tc>
          <w:tcPr>
            <w:tcW w:w="709" w:type="dxa"/>
            <w:shd w:val="clear" w:color="auto" w:fill="auto"/>
          </w:tcPr>
          <w:p w14:paraId="0CD02C07" w14:textId="77777777" w:rsidR="007371C6" w:rsidRPr="00F06E45" w:rsidRDefault="007371C6" w:rsidP="00F06E45">
            <w:pPr>
              <w:rPr>
                <w:rFonts w:ascii="Calibri" w:eastAsia="Calibri" w:hAnsi="Calibri" w:cs="Times New Roman"/>
                <w:sz w:val="16"/>
                <w:szCs w:val="16"/>
              </w:rPr>
            </w:pPr>
          </w:p>
          <w:p w14:paraId="2935CA4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22%</w:t>
            </w:r>
          </w:p>
        </w:tc>
        <w:tc>
          <w:tcPr>
            <w:tcW w:w="709" w:type="dxa"/>
            <w:shd w:val="clear" w:color="auto" w:fill="auto"/>
          </w:tcPr>
          <w:p w14:paraId="0F9D04EB" w14:textId="77777777" w:rsidR="007371C6" w:rsidRPr="00F06E45" w:rsidRDefault="007371C6" w:rsidP="00F06E45">
            <w:pPr>
              <w:rPr>
                <w:rFonts w:ascii="Calibri" w:eastAsia="Calibri" w:hAnsi="Calibri" w:cs="Times New Roman"/>
                <w:sz w:val="16"/>
                <w:szCs w:val="16"/>
              </w:rPr>
            </w:pPr>
            <w:r w:rsidRPr="00F06E45">
              <w:rPr>
                <w:rFonts w:cs="Aharoni"/>
                <w:noProof/>
                <w:color w:val="FF0000"/>
                <w:sz w:val="20"/>
                <w:szCs w:val="20"/>
                <w:lang w:eastAsia="en-AU"/>
              </w:rPr>
              <w:drawing>
                <wp:anchor distT="0" distB="0" distL="114300" distR="114300" simplePos="0" relativeHeight="251771904" behindDoc="1" locked="0" layoutInCell="1" allowOverlap="1" wp14:anchorId="7D8ABBB7" wp14:editId="4E505085">
                  <wp:simplePos x="0" y="0"/>
                  <wp:positionH relativeFrom="column">
                    <wp:posOffset>0</wp:posOffset>
                  </wp:positionH>
                  <wp:positionV relativeFrom="paragraph">
                    <wp:posOffset>128270</wp:posOffset>
                  </wp:positionV>
                  <wp:extent cx="143510" cy="143510"/>
                  <wp:effectExtent l="0" t="0" r="8890" b="8890"/>
                  <wp:wrapTight wrapText="bothSides">
                    <wp:wrapPolygon edited="0">
                      <wp:start x="0" y="0"/>
                      <wp:lineTo x="0" y="20071"/>
                      <wp:lineTo x="20071" y="20071"/>
                      <wp:lineTo x="20071"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6095" w:type="dxa"/>
            <w:shd w:val="clear" w:color="auto" w:fill="auto"/>
          </w:tcPr>
          <w:p w14:paraId="15D27507" w14:textId="77777777" w:rsidR="007371C6" w:rsidRPr="00F06E45" w:rsidRDefault="007371C6" w:rsidP="00F06E45">
            <w:pPr>
              <w:rPr>
                <w:sz w:val="16"/>
                <w:szCs w:val="16"/>
              </w:rPr>
            </w:pPr>
            <w:r w:rsidRPr="00F06E45">
              <w:rPr>
                <w:sz w:val="16"/>
                <w:szCs w:val="16"/>
              </w:rPr>
              <w:t>Work hour recovery for the first quarter is significantly below the target. This is typical for early in the financial year, as significant hours are spent preparing for upcoming projects and are not able to be fully recovered. Furthermore, only 2 months of Recovery journals have been processed at the time of reporting so the figure only represent approximately two thirds of all recoveries to date. It is expected that results will increase to the target level over the next quarter.</w:t>
            </w:r>
          </w:p>
          <w:p w14:paraId="45E05639" w14:textId="77777777" w:rsidR="007371C6" w:rsidRPr="00F06E45" w:rsidRDefault="007371C6" w:rsidP="00F06E45">
            <w:pPr>
              <w:rPr>
                <w:rFonts w:eastAsia="Calibri" w:cs="Times New Roman"/>
                <w:sz w:val="16"/>
                <w:szCs w:val="16"/>
              </w:rPr>
            </w:pPr>
          </w:p>
        </w:tc>
      </w:tr>
      <w:tr w:rsidR="007371C6" w:rsidRPr="00F06E45" w14:paraId="1610ECDD" w14:textId="77777777" w:rsidTr="00063500">
        <w:trPr>
          <w:trHeight w:val="696"/>
        </w:trPr>
        <w:tc>
          <w:tcPr>
            <w:tcW w:w="1276" w:type="dxa"/>
            <w:shd w:val="clear" w:color="auto" w:fill="auto"/>
          </w:tcPr>
          <w:p w14:paraId="467A59D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Support Services</w:t>
            </w:r>
          </w:p>
        </w:tc>
        <w:tc>
          <w:tcPr>
            <w:tcW w:w="2410" w:type="dxa"/>
            <w:shd w:val="clear" w:color="auto" w:fill="auto"/>
          </w:tcPr>
          <w:p w14:paraId="5ED6121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Asset Management: Asset Valuation &amp; Revaluation </w:t>
            </w:r>
          </w:p>
        </w:tc>
        <w:tc>
          <w:tcPr>
            <w:tcW w:w="3544" w:type="dxa"/>
            <w:shd w:val="clear" w:color="auto" w:fill="auto"/>
          </w:tcPr>
          <w:p w14:paraId="55807C3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Revaluation of infrastructure assets: Percentage that revaluation of the Transport Infrastructure Class has been completed. </w:t>
            </w:r>
          </w:p>
        </w:tc>
        <w:tc>
          <w:tcPr>
            <w:tcW w:w="850" w:type="dxa"/>
            <w:shd w:val="clear" w:color="auto" w:fill="auto"/>
          </w:tcPr>
          <w:p w14:paraId="3D29C92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0716DD7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9" w:type="dxa"/>
            <w:shd w:val="clear" w:color="auto" w:fill="auto"/>
          </w:tcPr>
          <w:p w14:paraId="133A370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3B5EE95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w:t>
            </w:r>
          </w:p>
        </w:tc>
        <w:tc>
          <w:tcPr>
            <w:tcW w:w="709" w:type="dxa"/>
            <w:shd w:val="clear" w:color="auto" w:fill="auto"/>
          </w:tcPr>
          <w:p w14:paraId="432B16A9" w14:textId="77777777" w:rsidR="007371C6" w:rsidRPr="00F06E45" w:rsidRDefault="007371C6" w:rsidP="00F06E45">
            <w:pPr>
              <w:rPr>
                <w:rFonts w:ascii="Calibri" w:eastAsia="Calibri" w:hAnsi="Calibri" w:cs="Times New Roman"/>
                <w:sz w:val="16"/>
                <w:szCs w:val="16"/>
              </w:rPr>
            </w:pPr>
            <w:r w:rsidRPr="00F06E45">
              <w:rPr>
                <w:rFonts w:cs="Aharoni"/>
                <w:noProof/>
                <w:color w:val="FF0000"/>
                <w:sz w:val="20"/>
                <w:szCs w:val="20"/>
                <w:lang w:eastAsia="en-AU"/>
              </w:rPr>
              <w:drawing>
                <wp:anchor distT="0" distB="0" distL="114300" distR="114300" simplePos="0" relativeHeight="251693056" behindDoc="1" locked="0" layoutInCell="1" allowOverlap="1" wp14:anchorId="7A2DCDAA" wp14:editId="4A37DA4F">
                  <wp:simplePos x="0" y="0"/>
                  <wp:positionH relativeFrom="column">
                    <wp:posOffset>2540</wp:posOffset>
                  </wp:positionH>
                  <wp:positionV relativeFrom="paragraph">
                    <wp:posOffset>127635</wp:posOffset>
                  </wp:positionV>
                  <wp:extent cx="143510" cy="143510"/>
                  <wp:effectExtent l="0" t="0" r="8890" b="8890"/>
                  <wp:wrapTight wrapText="bothSides">
                    <wp:wrapPolygon edited="0">
                      <wp:start x="0" y="0"/>
                      <wp:lineTo x="0" y="20071"/>
                      <wp:lineTo x="20071" y="20071"/>
                      <wp:lineTo x="2007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6095" w:type="dxa"/>
            <w:shd w:val="clear" w:color="auto" w:fill="auto"/>
          </w:tcPr>
          <w:p w14:paraId="671119A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Asset Revaluation of the Transport Infrastructure class is being undertaken in the 2015/16 financial year. Condition assessments are being finalised within the Bridges, Roads, Kerbs, and Footpaths categories. Investigations of the Unit Rate review have commenced.</w:t>
            </w:r>
          </w:p>
        </w:tc>
      </w:tr>
      <w:tr w:rsidR="007371C6" w:rsidRPr="00F06E45" w14:paraId="46FE206F" w14:textId="77777777" w:rsidTr="00063500">
        <w:trPr>
          <w:trHeight w:val="1219"/>
        </w:trPr>
        <w:tc>
          <w:tcPr>
            <w:tcW w:w="1276" w:type="dxa"/>
            <w:tcBorders>
              <w:bottom w:val="single" w:sz="18" w:space="0" w:color="308060"/>
            </w:tcBorders>
            <w:shd w:val="clear" w:color="auto" w:fill="auto"/>
          </w:tcPr>
          <w:p w14:paraId="225B96A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Water &amp; Wastewater</w:t>
            </w:r>
          </w:p>
        </w:tc>
        <w:tc>
          <w:tcPr>
            <w:tcW w:w="2410" w:type="dxa"/>
            <w:tcBorders>
              <w:bottom w:val="single" w:sz="18" w:space="0" w:color="308060"/>
            </w:tcBorders>
            <w:shd w:val="clear" w:color="auto" w:fill="auto"/>
          </w:tcPr>
          <w:p w14:paraId="2EB0542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Project Planning &amp; Delivery: Delivery of annual new and replacement Capital Works </w:t>
            </w:r>
          </w:p>
        </w:tc>
        <w:tc>
          <w:tcPr>
            <w:tcW w:w="3544" w:type="dxa"/>
            <w:tcBorders>
              <w:bottom w:val="single" w:sz="18" w:space="0" w:color="308060"/>
            </w:tcBorders>
            <w:shd w:val="clear" w:color="auto" w:fill="auto"/>
          </w:tcPr>
          <w:p w14:paraId="3D980AF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works completed against the Annual Capital Works program. </w:t>
            </w:r>
          </w:p>
        </w:tc>
        <w:tc>
          <w:tcPr>
            <w:tcW w:w="850" w:type="dxa"/>
            <w:tcBorders>
              <w:bottom w:val="single" w:sz="18" w:space="0" w:color="308060"/>
            </w:tcBorders>
            <w:shd w:val="clear" w:color="auto" w:fill="auto"/>
          </w:tcPr>
          <w:p w14:paraId="0CE9A08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79C09CC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709" w:type="dxa"/>
            <w:tcBorders>
              <w:bottom w:val="single" w:sz="18" w:space="0" w:color="308060"/>
            </w:tcBorders>
            <w:shd w:val="clear" w:color="auto" w:fill="auto"/>
          </w:tcPr>
          <w:p w14:paraId="6D4C806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2AE6A2B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15%</w:t>
            </w:r>
          </w:p>
        </w:tc>
        <w:tc>
          <w:tcPr>
            <w:tcW w:w="709" w:type="dxa"/>
            <w:tcBorders>
              <w:bottom w:val="single" w:sz="18" w:space="0" w:color="308060"/>
            </w:tcBorders>
            <w:shd w:val="clear" w:color="auto" w:fill="auto"/>
          </w:tcPr>
          <w:p w14:paraId="6CFE3D32" w14:textId="77777777" w:rsidR="007371C6" w:rsidRPr="00F06E45" w:rsidRDefault="007371C6" w:rsidP="00F06E45">
            <w:pPr>
              <w:rPr>
                <w:sz w:val="16"/>
                <w:szCs w:val="16"/>
              </w:rPr>
            </w:pPr>
            <w:r w:rsidRPr="00F06E45">
              <w:rPr>
                <w:rFonts w:cs="Aharoni"/>
                <w:noProof/>
                <w:color w:val="1F4E79" w:themeColor="accent1" w:themeShade="80"/>
                <w:sz w:val="20"/>
                <w:szCs w:val="20"/>
                <w:lang w:eastAsia="en-AU"/>
              </w:rPr>
              <w:drawing>
                <wp:anchor distT="0" distB="0" distL="114300" distR="114300" simplePos="0" relativeHeight="251768832" behindDoc="1" locked="0" layoutInCell="1" allowOverlap="1" wp14:anchorId="5BBEE3BC" wp14:editId="453397BC">
                  <wp:simplePos x="0" y="0"/>
                  <wp:positionH relativeFrom="column">
                    <wp:posOffset>0</wp:posOffset>
                  </wp:positionH>
                  <wp:positionV relativeFrom="paragraph">
                    <wp:posOffset>125730</wp:posOffset>
                  </wp:positionV>
                  <wp:extent cx="221615" cy="158115"/>
                  <wp:effectExtent l="0" t="0" r="6985" b="0"/>
                  <wp:wrapTight wrapText="bothSides">
                    <wp:wrapPolygon edited="0">
                      <wp:start x="0" y="0"/>
                      <wp:lineTo x="0" y="18217"/>
                      <wp:lineTo x="20424" y="18217"/>
                      <wp:lineTo x="20424"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Borders>
              <w:bottom w:val="single" w:sz="18" w:space="0" w:color="308060"/>
            </w:tcBorders>
            <w:shd w:val="clear" w:color="auto" w:fill="auto"/>
          </w:tcPr>
          <w:p w14:paraId="707E8FC3" w14:textId="77777777" w:rsidR="007371C6" w:rsidRPr="00F06E45" w:rsidRDefault="007371C6" w:rsidP="00F06E45">
            <w:pPr>
              <w:rPr>
                <w:color w:val="000000" w:themeColor="text1"/>
                <w:sz w:val="16"/>
                <w:szCs w:val="16"/>
              </w:rPr>
            </w:pPr>
            <w:r w:rsidRPr="00F06E45">
              <w:rPr>
                <w:color w:val="000000" w:themeColor="text1"/>
                <w:sz w:val="16"/>
                <w:szCs w:val="16"/>
              </w:rPr>
              <w:t>9 Capital Works Projects are scheduled for the 2015-2016 financial year.</w:t>
            </w:r>
          </w:p>
          <w:p w14:paraId="425E1B8F" w14:textId="77777777" w:rsidR="007371C6" w:rsidRPr="00F06E45" w:rsidRDefault="007371C6" w:rsidP="00F06E45">
            <w:pPr>
              <w:rPr>
                <w:color w:val="808080" w:themeColor="background1" w:themeShade="80"/>
                <w:sz w:val="16"/>
                <w:szCs w:val="16"/>
              </w:rPr>
            </w:pPr>
            <w:r w:rsidRPr="00F06E45">
              <w:rPr>
                <w:color w:val="000000" w:themeColor="text1"/>
                <w:sz w:val="16"/>
                <w:szCs w:val="16"/>
              </w:rPr>
              <w:t xml:space="preserve">(1) SCADA Upgrade (2) Gin Gin Water Treatment Plant Upgrade (3) Port Bundaberg Water &amp; Wastewater (4) Deering Place Wastewater (5) Alexandra Street Cut-in (6) Mellifont Water Supply Main (7) Melliford Pump Station (8) Talkalvan Street Control Valve Upgrade (9) Airport Precinct Wastewater Pump Station. Preliminary work has commenced and all projects are currently on track to be completed by the end of the financial year. </w:t>
            </w:r>
          </w:p>
          <w:p w14:paraId="2F541032" w14:textId="77777777" w:rsidR="007371C6" w:rsidRPr="00F06E45" w:rsidRDefault="007371C6" w:rsidP="00F06E45">
            <w:pPr>
              <w:rPr>
                <w:color w:val="808080" w:themeColor="background1" w:themeShade="80"/>
                <w:sz w:val="16"/>
                <w:szCs w:val="16"/>
              </w:rPr>
            </w:pPr>
          </w:p>
        </w:tc>
      </w:tr>
    </w:tbl>
    <w:p w14:paraId="1E2F2D19"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368243"/>
          <w:sz w:val="28"/>
          <w:szCs w:val="28"/>
        </w:rPr>
        <w:t xml:space="preserve">Sustainable environmental planning and design                                                      </w:t>
      </w:r>
      <w:r w:rsidRPr="00F06E45">
        <w:rPr>
          <w:rFonts w:ascii="Times New Roman" w:eastAsia="Calibri" w:hAnsi="Times New Roman" w:cs="Times New Roman"/>
          <w:b/>
        </w:rPr>
        <w:t>recognising local character, prioritising regional infrastructure</w:t>
      </w:r>
    </w:p>
    <w:p w14:paraId="12E1EBB5" w14:textId="77777777" w:rsidR="007371C6" w:rsidRPr="00F06E45" w:rsidRDefault="007371C6" w:rsidP="00F06E45">
      <w:pPr>
        <w:spacing w:after="0" w:line="240" w:lineRule="auto"/>
        <w:rPr>
          <w:rFonts w:ascii="Times New Roman" w:eastAsia="Calibri" w:hAnsi="Times New Roman" w:cs="Times New Roman"/>
          <w:b/>
          <w:i/>
          <w:color w:val="632423"/>
          <w:sz w:val="28"/>
          <w:szCs w:val="28"/>
        </w:rPr>
      </w:pPr>
      <w:r w:rsidRPr="00F06E45">
        <w:rPr>
          <w:rFonts w:ascii="Times New Roman" w:eastAsia="Calibri" w:hAnsi="Times New Roman" w:cs="Times New Roman"/>
          <w:b/>
          <w:i/>
          <w:color w:val="632423"/>
          <w:sz w:val="28"/>
          <w:szCs w:val="28"/>
        </w:rPr>
        <w:t xml:space="preserve"> </w:t>
      </w:r>
    </w:p>
    <w:p w14:paraId="001C2725"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5316663F"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1D5D5462"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207AFF22"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299A726D"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2524867B"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0547F015"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33D20F7A"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1CA8777D"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tbl>
      <w:tblPr>
        <w:tblStyle w:val="TableGrid1"/>
        <w:tblpPr w:leftFromText="180" w:rightFromText="180" w:vertAnchor="text" w:horzAnchor="margin" w:tblpY="537"/>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410"/>
        <w:gridCol w:w="3710"/>
        <w:gridCol w:w="839"/>
        <w:gridCol w:w="979"/>
        <w:gridCol w:w="709"/>
        <w:gridCol w:w="2244"/>
        <w:gridCol w:w="3426"/>
      </w:tblGrid>
      <w:tr w:rsidR="007371C6" w:rsidRPr="00F06E45" w14:paraId="4DFC225D" w14:textId="77777777" w:rsidTr="00063500">
        <w:trPr>
          <w:trHeight w:val="251"/>
        </w:trPr>
        <w:tc>
          <w:tcPr>
            <w:tcW w:w="15593" w:type="dxa"/>
            <w:gridSpan w:val="8"/>
            <w:tcBorders>
              <w:top w:val="single" w:sz="18" w:space="0" w:color="632423"/>
              <w:bottom w:val="single" w:sz="18" w:space="0" w:color="632423"/>
            </w:tcBorders>
            <w:shd w:val="clear" w:color="auto" w:fill="BE645A"/>
          </w:tcPr>
          <w:p w14:paraId="05FCCAC9"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3.1 Diversified, prosperous and innovative industry sectors</w:t>
            </w:r>
            <w:r w:rsidRPr="00F06E45">
              <w:rPr>
                <w:rFonts w:ascii="Calibri" w:eastAsia="Calibri" w:hAnsi="Calibri" w:cs="Times New Roman"/>
                <w:b/>
                <w:sz w:val="20"/>
                <w:szCs w:val="20"/>
              </w:rPr>
              <w:t xml:space="preserve"> </w:t>
            </w:r>
          </w:p>
        </w:tc>
      </w:tr>
      <w:tr w:rsidR="007371C6" w:rsidRPr="00F06E45" w14:paraId="2ACC6E0D" w14:textId="77777777" w:rsidTr="00063500">
        <w:trPr>
          <w:trHeight w:val="209"/>
        </w:trPr>
        <w:tc>
          <w:tcPr>
            <w:tcW w:w="15593" w:type="dxa"/>
            <w:gridSpan w:val="8"/>
            <w:tcBorders>
              <w:top w:val="single" w:sz="18" w:space="0" w:color="632423"/>
              <w:bottom w:val="single" w:sz="18" w:space="0" w:color="632423"/>
            </w:tcBorders>
          </w:tcPr>
          <w:p w14:paraId="5CBF1D1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3.1.1 Implement and action the regional economic development strategy </w:t>
            </w:r>
          </w:p>
        </w:tc>
      </w:tr>
      <w:tr w:rsidR="007371C6" w:rsidRPr="00F06E45" w14:paraId="6D2D7F58" w14:textId="77777777" w:rsidTr="00063500">
        <w:trPr>
          <w:trHeight w:val="195"/>
        </w:trPr>
        <w:tc>
          <w:tcPr>
            <w:tcW w:w="1276" w:type="dxa"/>
            <w:tcBorders>
              <w:top w:val="single" w:sz="18" w:space="0" w:color="632423"/>
            </w:tcBorders>
          </w:tcPr>
          <w:p w14:paraId="7FA6A90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tcPr>
          <w:p w14:paraId="37AEAC1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0" w:type="dxa"/>
            <w:tcBorders>
              <w:top w:val="single" w:sz="18" w:space="0" w:color="632423"/>
            </w:tcBorders>
          </w:tcPr>
          <w:p w14:paraId="430C934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632423"/>
            </w:tcBorders>
          </w:tcPr>
          <w:p w14:paraId="547B932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9" w:type="dxa"/>
            <w:tcBorders>
              <w:top w:val="single" w:sz="18" w:space="0" w:color="632423"/>
            </w:tcBorders>
          </w:tcPr>
          <w:p w14:paraId="23C89F53"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tcPr>
          <w:p w14:paraId="6295056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632423"/>
            </w:tcBorders>
          </w:tcPr>
          <w:p w14:paraId="09FDEB03"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7057BD07" w14:textId="77777777" w:rsidTr="00063500">
        <w:trPr>
          <w:trHeight w:val="999"/>
        </w:trPr>
        <w:tc>
          <w:tcPr>
            <w:tcW w:w="1276" w:type="dxa"/>
            <w:tcBorders>
              <w:bottom w:val="single" w:sz="18" w:space="0" w:color="632423"/>
            </w:tcBorders>
            <w:shd w:val="clear" w:color="auto" w:fill="auto"/>
          </w:tcPr>
          <w:p w14:paraId="057B481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Commercial Business &amp; Economic Development </w:t>
            </w:r>
          </w:p>
        </w:tc>
        <w:tc>
          <w:tcPr>
            <w:tcW w:w="2410" w:type="dxa"/>
            <w:tcBorders>
              <w:bottom w:val="single" w:sz="18" w:space="0" w:color="632423"/>
            </w:tcBorders>
            <w:shd w:val="clear" w:color="auto" w:fill="auto"/>
          </w:tcPr>
          <w:p w14:paraId="658923D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Economic Development Strategy (EDS)</w:t>
            </w:r>
          </w:p>
        </w:tc>
        <w:tc>
          <w:tcPr>
            <w:tcW w:w="3710" w:type="dxa"/>
            <w:tcBorders>
              <w:bottom w:val="single" w:sz="18" w:space="0" w:color="632423"/>
            </w:tcBorders>
            <w:shd w:val="clear" w:color="auto" w:fill="auto"/>
          </w:tcPr>
          <w:p w14:paraId="5931FE7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EDS priorities have been implemented EDS is a 10 year blueprint for sustainable economic growth.</w:t>
            </w:r>
          </w:p>
        </w:tc>
        <w:tc>
          <w:tcPr>
            <w:tcW w:w="839" w:type="dxa"/>
            <w:tcBorders>
              <w:bottom w:val="single" w:sz="18" w:space="0" w:color="632423"/>
            </w:tcBorders>
            <w:shd w:val="clear" w:color="auto" w:fill="auto"/>
          </w:tcPr>
          <w:p w14:paraId="6DFC475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0249B737"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50%</w:t>
            </w:r>
          </w:p>
        </w:tc>
        <w:tc>
          <w:tcPr>
            <w:tcW w:w="979" w:type="dxa"/>
            <w:tcBorders>
              <w:bottom w:val="single" w:sz="18" w:space="0" w:color="632423"/>
            </w:tcBorders>
            <w:shd w:val="clear" w:color="auto" w:fill="auto"/>
          </w:tcPr>
          <w:p w14:paraId="61066DF4" w14:textId="77777777" w:rsidR="007371C6" w:rsidRPr="00F06E45" w:rsidRDefault="007371C6" w:rsidP="00F06E45">
            <w:pPr>
              <w:rPr>
                <w:rFonts w:ascii="Calibri" w:eastAsia="Calibri" w:hAnsi="Calibri" w:cs="Times New Roman"/>
                <w:sz w:val="16"/>
                <w:szCs w:val="16"/>
              </w:rPr>
            </w:pPr>
          </w:p>
          <w:p w14:paraId="4EB5139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709" w:type="dxa"/>
            <w:tcBorders>
              <w:bottom w:val="single" w:sz="18" w:space="0" w:color="632423"/>
            </w:tcBorders>
            <w:shd w:val="clear" w:color="auto" w:fill="auto"/>
          </w:tcPr>
          <w:p w14:paraId="13BD728E"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4080" behindDoc="1" locked="0" layoutInCell="1" allowOverlap="1" wp14:anchorId="6750EB79" wp14:editId="26667B8B">
                  <wp:simplePos x="0" y="0"/>
                  <wp:positionH relativeFrom="column">
                    <wp:posOffset>2540</wp:posOffset>
                  </wp:positionH>
                  <wp:positionV relativeFrom="paragraph">
                    <wp:posOffset>128270</wp:posOffset>
                  </wp:positionV>
                  <wp:extent cx="221615" cy="158115"/>
                  <wp:effectExtent l="0" t="0" r="6985" b="0"/>
                  <wp:wrapTight wrapText="bothSides">
                    <wp:wrapPolygon edited="0">
                      <wp:start x="0" y="0"/>
                      <wp:lineTo x="0" y="18217"/>
                      <wp:lineTo x="20424" y="18217"/>
                      <wp:lineTo x="204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632423"/>
            </w:tcBorders>
            <w:shd w:val="clear" w:color="auto" w:fill="auto"/>
          </w:tcPr>
          <w:p w14:paraId="65E07E3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implementation of the Economic Development Strategy is progressing well.        A new initiative the </w:t>
            </w:r>
            <w:r w:rsidRPr="00F06E45">
              <w:rPr>
                <w:rFonts w:ascii="Calibri" w:eastAsia="Calibri" w:hAnsi="Calibri" w:cs="Times New Roman"/>
                <w:i/>
                <w:sz w:val="16"/>
                <w:szCs w:val="16"/>
              </w:rPr>
              <w:t>Bundaberg Investment Zone 2020</w:t>
            </w:r>
            <w:r w:rsidRPr="00F06E45">
              <w:rPr>
                <w:rFonts w:ascii="Calibri" w:eastAsia="Calibri" w:hAnsi="Calibri" w:cs="Times New Roman"/>
                <w:sz w:val="16"/>
                <w:szCs w:val="16"/>
              </w:rPr>
              <w:t xml:space="preserve"> is now taking focus and includes an exciting partnership with the Queensland Government.</w:t>
            </w:r>
          </w:p>
        </w:tc>
      </w:tr>
      <w:tr w:rsidR="007371C6" w:rsidRPr="00F06E45" w14:paraId="1E7DDD9F" w14:textId="77777777" w:rsidTr="00063500">
        <w:trPr>
          <w:trHeight w:val="209"/>
        </w:trPr>
        <w:tc>
          <w:tcPr>
            <w:tcW w:w="7396" w:type="dxa"/>
            <w:gridSpan w:val="3"/>
            <w:tcBorders>
              <w:top w:val="single" w:sz="18" w:space="0" w:color="632423"/>
              <w:bottom w:val="single" w:sz="18" w:space="0" w:color="632423"/>
            </w:tcBorders>
            <w:shd w:val="clear" w:color="auto" w:fill="auto"/>
          </w:tcPr>
          <w:p w14:paraId="70FBB1B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3.1.2 Support, market and promote the region</w:t>
            </w:r>
          </w:p>
        </w:tc>
        <w:tc>
          <w:tcPr>
            <w:tcW w:w="839" w:type="dxa"/>
            <w:tcBorders>
              <w:top w:val="single" w:sz="18" w:space="0" w:color="632423"/>
              <w:bottom w:val="single" w:sz="18" w:space="0" w:color="632423"/>
            </w:tcBorders>
            <w:shd w:val="clear" w:color="auto" w:fill="auto"/>
          </w:tcPr>
          <w:p w14:paraId="02DCF91F" w14:textId="77777777" w:rsidR="007371C6" w:rsidRPr="00F06E45" w:rsidRDefault="007371C6" w:rsidP="00F06E45">
            <w:pPr>
              <w:ind w:left="-108"/>
              <w:rPr>
                <w:rFonts w:ascii="Calibri" w:eastAsia="Calibri" w:hAnsi="Calibri" w:cs="Times New Roman"/>
                <w:b/>
                <w:sz w:val="18"/>
                <w:szCs w:val="18"/>
              </w:rPr>
            </w:pPr>
          </w:p>
        </w:tc>
        <w:tc>
          <w:tcPr>
            <w:tcW w:w="979" w:type="dxa"/>
            <w:tcBorders>
              <w:top w:val="single" w:sz="18" w:space="0" w:color="632423"/>
              <w:bottom w:val="single" w:sz="18" w:space="0" w:color="632423"/>
            </w:tcBorders>
            <w:shd w:val="clear" w:color="auto" w:fill="auto"/>
          </w:tcPr>
          <w:p w14:paraId="724DCCB0" w14:textId="77777777" w:rsidR="007371C6" w:rsidRPr="00F06E45" w:rsidRDefault="007371C6" w:rsidP="00F06E45">
            <w:pPr>
              <w:ind w:left="-108"/>
              <w:rPr>
                <w:rFonts w:ascii="Calibri" w:eastAsia="Calibri" w:hAnsi="Calibri" w:cs="Times New Roman"/>
                <w:b/>
                <w:sz w:val="18"/>
                <w:szCs w:val="18"/>
              </w:rPr>
            </w:pPr>
          </w:p>
        </w:tc>
        <w:tc>
          <w:tcPr>
            <w:tcW w:w="709" w:type="dxa"/>
            <w:tcBorders>
              <w:top w:val="single" w:sz="18" w:space="0" w:color="632423"/>
              <w:bottom w:val="single" w:sz="18" w:space="0" w:color="632423"/>
            </w:tcBorders>
            <w:shd w:val="clear" w:color="auto" w:fill="auto"/>
          </w:tcPr>
          <w:p w14:paraId="2DB25F25" w14:textId="77777777" w:rsidR="007371C6" w:rsidRPr="00F06E45" w:rsidRDefault="007371C6" w:rsidP="00F06E45">
            <w:pPr>
              <w:ind w:left="-108"/>
              <w:rPr>
                <w:rFonts w:ascii="Calibri" w:eastAsia="Calibri" w:hAnsi="Calibri" w:cs="Times New Roman"/>
                <w:b/>
                <w:sz w:val="18"/>
                <w:szCs w:val="18"/>
              </w:rPr>
            </w:pPr>
          </w:p>
        </w:tc>
        <w:tc>
          <w:tcPr>
            <w:tcW w:w="5670" w:type="dxa"/>
            <w:gridSpan w:val="2"/>
            <w:tcBorders>
              <w:top w:val="single" w:sz="18" w:space="0" w:color="632423"/>
              <w:bottom w:val="single" w:sz="18" w:space="0" w:color="632423"/>
            </w:tcBorders>
            <w:shd w:val="clear" w:color="auto" w:fill="auto"/>
          </w:tcPr>
          <w:p w14:paraId="2EF8EBE1" w14:textId="77777777" w:rsidR="007371C6" w:rsidRPr="00F06E45" w:rsidRDefault="007371C6" w:rsidP="00F06E45">
            <w:pPr>
              <w:ind w:left="-108"/>
              <w:rPr>
                <w:rFonts w:ascii="Calibri" w:eastAsia="Calibri" w:hAnsi="Calibri" w:cs="Times New Roman"/>
                <w:b/>
                <w:sz w:val="18"/>
                <w:szCs w:val="18"/>
              </w:rPr>
            </w:pPr>
          </w:p>
        </w:tc>
      </w:tr>
      <w:tr w:rsidR="007371C6" w:rsidRPr="00F06E45" w14:paraId="59E0D6A7" w14:textId="77777777" w:rsidTr="00063500">
        <w:trPr>
          <w:trHeight w:val="209"/>
        </w:trPr>
        <w:tc>
          <w:tcPr>
            <w:tcW w:w="1276" w:type="dxa"/>
            <w:tcBorders>
              <w:top w:val="single" w:sz="18" w:space="0" w:color="632423"/>
            </w:tcBorders>
            <w:shd w:val="clear" w:color="auto" w:fill="auto"/>
          </w:tcPr>
          <w:p w14:paraId="5DABF02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shd w:val="clear" w:color="auto" w:fill="auto"/>
          </w:tcPr>
          <w:p w14:paraId="28290EB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0" w:type="dxa"/>
            <w:tcBorders>
              <w:top w:val="single" w:sz="18" w:space="0" w:color="632423"/>
            </w:tcBorders>
            <w:shd w:val="clear" w:color="auto" w:fill="auto"/>
          </w:tcPr>
          <w:p w14:paraId="4A274B3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632423"/>
            </w:tcBorders>
            <w:shd w:val="clear" w:color="auto" w:fill="auto"/>
          </w:tcPr>
          <w:p w14:paraId="607C6B2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9" w:type="dxa"/>
            <w:tcBorders>
              <w:top w:val="single" w:sz="18" w:space="0" w:color="632423"/>
            </w:tcBorders>
            <w:shd w:val="clear" w:color="auto" w:fill="auto"/>
          </w:tcPr>
          <w:p w14:paraId="20283EB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shd w:val="clear" w:color="auto" w:fill="auto"/>
          </w:tcPr>
          <w:p w14:paraId="42F9DF9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632423"/>
            </w:tcBorders>
            <w:shd w:val="clear" w:color="auto" w:fill="auto"/>
          </w:tcPr>
          <w:p w14:paraId="0704B00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C1FE5E2" w14:textId="77777777" w:rsidTr="00063500">
        <w:trPr>
          <w:trHeight w:val="810"/>
        </w:trPr>
        <w:tc>
          <w:tcPr>
            <w:tcW w:w="1276" w:type="dxa"/>
            <w:tcBorders>
              <w:bottom w:val="single" w:sz="18" w:space="0" w:color="632423"/>
            </w:tcBorders>
            <w:shd w:val="clear" w:color="auto" w:fill="auto"/>
          </w:tcPr>
          <w:p w14:paraId="219798A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p w14:paraId="4FC87CFC" w14:textId="77777777" w:rsidR="007371C6" w:rsidRPr="00F06E45" w:rsidRDefault="007371C6" w:rsidP="00F06E45">
            <w:pPr>
              <w:ind w:left="-108"/>
              <w:rPr>
                <w:rFonts w:ascii="Calibri" w:eastAsia="Calibri" w:hAnsi="Calibri" w:cs="Times New Roman"/>
                <w:sz w:val="18"/>
                <w:szCs w:val="18"/>
              </w:rPr>
            </w:pPr>
          </w:p>
        </w:tc>
        <w:tc>
          <w:tcPr>
            <w:tcW w:w="2410" w:type="dxa"/>
            <w:tcBorders>
              <w:bottom w:val="single" w:sz="18" w:space="0" w:color="632423"/>
            </w:tcBorders>
            <w:shd w:val="clear" w:color="auto" w:fill="auto"/>
          </w:tcPr>
          <w:p w14:paraId="596FB77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Tourism Development and Services:  Bundaberg North Burnett Tourism (BNBT) Partnership Agreement</w:t>
            </w:r>
          </w:p>
        </w:tc>
        <w:tc>
          <w:tcPr>
            <w:tcW w:w="3710" w:type="dxa"/>
            <w:tcBorders>
              <w:bottom w:val="single" w:sz="18" w:space="0" w:color="632423"/>
            </w:tcBorders>
            <w:shd w:val="clear" w:color="auto" w:fill="auto"/>
          </w:tcPr>
          <w:p w14:paraId="2DDE745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BNBT progress reports have been satisfactory completed. Agreement includes the development of – Cameron to respond </w:t>
            </w:r>
          </w:p>
        </w:tc>
        <w:tc>
          <w:tcPr>
            <w:tcW w:w="839" w:type="dxa"/>
            <w:tcBorders>
              <w:bottom w:val="single" w:sz="18" w:space="0" w:color="632423"/>
            </w:tcBorders>
            <w:shd w:val="clear" w:color="auto" w:fill="auto"/>
          </w:tcPr>
          <w:p w14:paraId="4A21660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7E54C8A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979" w:type="dxa"/>
            <w:tcBorders>
              <w:bottom w:val="single" w:sz="18" w:space="0" w:color="632423"/>
            </w:tcBorders>
            <w:shd w:val="clear" w:color="auto" w:fill="auto"/>
          </w:tcPr>
          <w:p w14:paraId="15A296E5" w14:textId="77777777" w:rsidR="007371C6" w:rsidRPr="00F06E45" w:rsidRDefault="007371C6" w:rsidP="00F06E45">
            <w:pPr>
              <w:rPr>
                <w:rFonts w:ascii="Calibri" w:eastAsia="Calibri" w:hAnsi="Calibri" w:cs="Times New Roman"/>
                <w:sz w:val="16"/>
                <w:szCs w:val="16"/>
              </w:rPr>
            </w:pPr>
          </w:p>
          <w:p w14:paraId="19839C2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9" w:type="dxa"/>
            <w:tcBorders>
              <w:bottom w:val="single" w:sz="18" w:space="0" w:color="632423"/>
            </w:tcBorders>
            <w:shd w:val="clear" w:color="auto" w:fill="auto"/>
          </w:tcPr>
          <w:p w14:paraId="6909FFD2"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5104" behindDoc="1" locked="0" layoutInCell="1" allowOverlap="1" wp14:anchorId="449E3D44" wp14:editId="05A13545">
                  <wp:simplePos x="0" y="0"/>
                  <wp:positionH relativeFrom="column">
                    <wp:posOffset>2540</wp:posOffset>
                  </wp:positionH>
                  <wp:positionV relativeFrom="paragraph">
                    <wp:posOffset>131445</wp:posOffset>
                  </wp:positionV>
                  <wp:extent cx="221615" cy="158115"/>
                  <wp:effectExtent l="0" t="0" r="6985" b="0"/>
                  <wp:wrapTight wrapText="bothSides">
                    <wp:wrapPolygon edited="0">
                      <wp:start x="0" y="0"/>
                      <wp:lineTo x="0" y="18217"/>
                      <wp:lineTo x="20424" y="18217"/>
                      <wp:lineTo x="2042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632423"/>
            </w:tcBorders>
            <w:shd w:val="clear" w:color="auto" w:fill="auto"/>
          </w:tcPr>
          <w:p w14:paraId="3FA806F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While it is early in the financial year the deliverables under the Partnership Agreement with BNBT are being met and a further meeting between BNBT and Council has been set down for 30 September. At this meeting a number of proposals for the utilisation of the funds provisioned for tourism product development will be considered.</w:t>
            </w:r>
          </w:p>
        </w:tc>
      </w:tr>
      <w:tr w:rsidR="007371C6" w:rsidRPr="00F06E45" w14:paraId="731C5D80" w14:textId="77777777" w:rsidTr="00063500">
        <w:trPr>
          <w:trHeight w:val="251"/>
        </w:trPr>
        <w:tc>
          <w:tcPr>
            <w:tcW w:w="15593" w:type="dxa"/>
            <w:gridSpan w:val="8"/>
            <w:tcBorders>
              <w:top w:val="single" w:sz="18" w:space="0" w:color="632423"/>
              <w:bottom w:val="single" w:sz="18" w:space="0" w:color="632423"/>
            </w:tcBorders>
            <w:shd w:val="clear" w:color="auto" w:fill="BE645A"/>
          </w:tcPr>
          <w:p w14:paraId="5EC2D2C3" w14:textId="77777777" w:rsidR="007371C6" w:rsidRPr="00F06E45" w:rsidRDefault="007371C6" w:rsidP="00F06E45">
            <w:pPr>
              <w:ind w:left="-108"/>
              <w:rPr>
                <w:rFonts w:ascii="Calibri" w:eastAsia="Calibri" w:hAnsi="Calibri" w:cs="Times New Roman"/>
                <w:b/>
              </w:rPr>
            </w:pPr>
            <w:r w:rsidRPr="00F06E45">
              <w:rPr>
                <w:rFonts w:ascii="Calibri" w:eastAsia="Calibri" w:hAnsi="Calibri" w:cs="Times New Roman"/>
                <w:b/>
              </w:rPr>
              <w:t xml:space="preserve">Outcome 3.2 Support and facilitate employment opportunities for the community </w:t>
            </w:r>
          </w:p>
        </w:tc>
      </w:tr>
      <w:tr w:rsidR="007371C6" w:rsidRPr="00F06E45" w14:paraId="705E545C" w14:textId="77777777" w:rsidTr="00063500">
        <w:trPr>
          <w:trHeight w:val="209"/>
        </w:trPr>
        <w:tc>
          <w:tcPr>
            <w:tcW w:w="15593" w:type="dxa"/>
            <w:gridSpan w:val="8"/>
            <w:tcBorders>
              <w:top w:val="single" w:sz="18" w:space="0" w:color="632423"/>
              <w:bottom w:val="single" w:sz="18" w:space="0" w:color="632423"/>
            </w:tcBorders>
          </w:tcPr>
          <w:p w14:paraId="223BEF7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3.2.1 Promote and support initiatives designed to enhance increased local employment and training </w:t>
            </w:r>
          </w:p>
        </w:tc>
      </w:tr>
      <w:tr w:rsidR="007371C6" w:rsidRPr="00F06E45" w14:paraId="7F274B57" w14:textId="77777777" w:rsidTr="00063500">
        <w:trPr>
          <w:trHeight w:val="195"/>
        </w:trPr>
        <w:tc>
          <w:tcPr>
            <w:tcW w:w="1276" w:type="dxa"/>
            <w:tcBorders>
              <w:top w:val="single" w:sz="18" w:space="0" w:color="632423"/>
            </w:tcBorders>
          </w:tcPr>
          <w:p w14:paraId="6DD74D1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tcPr>
          <w:p w14:paraId="77B5A5B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0" w:type="dxa"/>
            <w:tcBorders>
              <w:top w:val="single" w:sz="18" w:space="0" w:color="632423"/>
            </w:tcBorders>
          </w:tcPr>
          <w:p w14:paraId="0EA2BA5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632423"/>
            </w:tcBorders>
          </w:tcPr>
          <w:p w14:paraId="13D36E4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9" w:type="dxa"/>
            <w:tcBorders>
              <w:top w:val="single" w:sz="18" w:space="0" w:color="632423"/>
            </w:tcBorders>
          </w:tcPr>
          <w:p w14:paraId="3139748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tcPr>
          <w:p w14:paraId="043737E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632423"/>
            </w:tcBorders>
          </w:tcPr>
          <w:p w14:paraId="5567835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1686363E" w14:textId="77777777" w:rsidTr="00063500">
        <w:trPr>
          <w:trHeight w:val="1285"/>
        </w:trPr>
        <w:tc>
          <w:tcPr>
            <w:tcW w:w="1276" w:type="dxa"/>
            <w:tcBorders>
              <w:bottom w:val="single" w:sz="18" w:space="0" w:color="632423"/>
            </w:tcBorders>
            <w:shd w:val="clear" w:color="auto" w:fill="auto"/>
          </w:tcPr>
          <w:p w14:paraId="21825087" w14:textId="77777777" w:rsidR="007371C6" w:rsidRPr="00F06E45" w:rsidRDefault="007371C6" w:rsidP="00F06E45">
            <w:pPr>
              <w:ind w:left="-108"/>
              <w:rPr>
                <w:rFonts w:ascii="Calibri" w:eastAsia="Calibri" w:hAnsi="Calibri" w:cs="Times New Roman"/>
                <w:color w:val="000000" w:themeColor="text1"/>
                <w:sz w:val="18"/>
                <w:szCs w:val="18"/>
              </w:rPr>
            </w:pPr>
            <w:r w:rsidRPr="00F06E45">
              <w:rPr>
                <w:rFonts w:ascii="Calibri" w:eastAsia="Calibri" w:hAnsi="Calibri" w:cs="Times New Roman"/>
                <w:color w:val="000000" w:themeColor="text1"/>
                <w:sz w:val="18"/>
                <w:szCs w:val="18"/>
              </w:rPr>
              <w:t>Commercial Business &amp; Economic Development</w:t>
            </w:r>
          </w:p>
          <w:p w14:paraId="1F5811B4" w14:textId="77777777" w:rsidR="007371C6" w:rsidRPr="00F06E45" w:rsidRDefault="007371C6" w:rsidP="00F06E45">
            <w:pPr>
              <w:ind w:left="-108"/>
              <w:rPr>
                <w:rFonts w:ascii="Calibri" w:eastAsia="Calibri" w:hAnsi="Calibri" w:cs="Times New Roman"/>
                <w:sz w:val="18"/>
                <w:szCs w:val="18"/>
              </w:rPr>
            </w:pPr>
          </w:p>
        </w:tc>
        <w:tc>
          <w:tcPr>
            <w:tcW w:w="2410" w:type="dxa"/>
            <w:tcBorders>
              <w:bottom w:val="single" w:sz="18" w:space="0" w:color="632423"/>
            </w:tcBorders>
            <w:shd w:val="clear" w:color="auto" w:fill="auto"/>
          </w:tcPr>
          <w:p w14:paraId="10ABE4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Employment Rate</w:t>
            </w:r>
          </w:p>
        </w:tc>
        <w:tc>
          <w:tcPr>
            <w:tcW w:w="3710" w:type="dxa"/>
            <w:tcBorders>
              <w:bottom w:val="single" w:sz="18" w:space="0" w:color="632423"/>
            </w:tcBorders>
            <w:shd w:val="clear" w:color="auto" w:fill="auto"/>
          </w:tcPr>
          <w:p w14:paraId="2D78785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Unemployment rate for the Bundaberg region (Target 5.9% is equal to Qld. Unemployment rate).</w:t>
            </w:r>
          </w:p>
        </w:tc>
        <w:tc>
          <w:tcPr>
            <w:tcW w:w="839" w:type="dxa"/>
            <w:tcBorders>
              <w:bottom w:val="single" w:sz="18" w:space="0" w:color="632423"/>
            </w:tcBorders>
            <w:shd w:val="clear" w:color="auto" w:fill="auto"/>
          </w:tcPr>
          <w:p w14:paraId="01AC501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4A89FABE"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&lt; 6.4%</w:t>
            </w:r>
          </w:p>
        </w:tc>
        <w:tc>
          <w:tcPr>
            <w:tcW w:w="979" w:type="dxa"/>
            <w:tcBorders>
              <w:bottom w:val="single" w:sz="18" w:space="0" w:color="632423"/>
            </w:tcBorders>
            <w:shd w:val="clear" w:color="auto" w:fill="auto"/>
          </w:tcPr>
          <w:p w14:paraId="2A652A30" w14:textId="77777777" w:rsidR="007371C6" w:rsidRPr="00F06E45" w:rsidRDefault="007371C6" w:rsidP="00F06E45">
            <w:pPr>
              <w:rPr>
                <w:rFonts w:ascii="Calibri" w:eastAsia="Calibri" w:hAnsi="Calibri" w:cs="Times New Roman"/>
                <w:sz w:val="16"/>
                <w:szCs w:val="16"/>
              </w:rPr>
            </w:pPr>
          </w:p>
          <w:p w14:paraId="061031C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11%</w:t>
            </w:r>
          </w:p>
        </w:tc>
        <w:tc>
          <w:tcPr>
            <w:tcW w:w="709" w:type="dxa"/>
            <w:tcBorders>
              <w:bottom w:val="single" w:sz="18" w:space="0" w:color="632423"/>
            </w:tcBorders>
            <w:shd w:val="clear" w:color="auto" w:fill="auto"/>
          </w:tcPr>
          <w:p w14:paraId="36527DEE"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6128" behindDoc="1" locked="0" layoutInCell="1" allowOverlap="1" wp14:anchorId="14854A32" wp14:editId="587C277F">
                  <wp:simplePos x="0" y="0"/>
                  <wp:positionH relativeFrom="column">
                    <wp:posOffset>24879</wp:posOffset>
                  </wp:positionH>
                  <wp:positionV relativeFrom="paragraph">
                    <wp:posOffset>65269</wp:posOffset>
                  </wp:positionV>
                  <wp:extent cx="142875" cy="142875"/>
                  <wp:effectExtent l="0" t="0" r="9525" b="9525"/>
                  <wp:wrapTight wrapText="bothSides">
                    <wp:wrapPolygon edited="0">
                      <wp:start x="0" y="0"/>
                      <wp:lineTo x="0" y="20160"/>
                      <wp:lineTo x="20160" y="20160"/>
                      <wp:lineTo x="2016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Cro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p>
          <w:p w14:paraId="15B5D6C0" w14:textId="77777777" w:rsidR="007371C6" w:rsidRPr="00F06E45" w:rsidRDefault="007371C6" w:rsidP="00F06E45">
            <w:pPr>
              <w:rPr>
                <w:rFonts w:ascii="Calibri" w:eastAsia="Calibri" w:hAnsi="Calibri" w:cs="Times New Roman"/>
                <w:sz w:val="16"/>
                <w:szCs w:val="16"/>
              </w:rPr>
            </w:pPr>
          </w:p>
        </w:tc>
        <w:tc>
          <w:tcPr>
            <w:tcW w:w="5670" w:type="dxa"/>
            <w:gridSpan w:val="2"/>
            <w:tcBorders>
              <w:bottom w:val="single" w:sz="18" w:space="0" w:color="632423"/>
            </w:tcBorders>
            <w:shd w:val="clear" w:color="auto" w:fill="auto"/>
          </w:tcPr>
          <w:p w14:paraId="7BFC3B9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unemployment rate in the Bundaberg Region increased by 1.5 percentage points to 11% in the March Quarter 2015, which was the highest level recorded since September Quarter 2014. The unemployment rate in the Bundaberg Region is the same as the level for the Wide Bay Burnett region, but remains significantly higher than the average for Queensland at 6.5%, which is the aspirational target listed in our </w:t>
            </w:r>
            <w:r w:rsidRPr="00F06E45">
              <w:rPr>
                <w:rFonts w:ascii="Calibri" w:eastAsia="Calibri" w:hAnsi="Calibri" w:cs="Times New Roman"/>
                <w:i/>
                <w:sz w:val="16"/>
                <w:szCs w:val="16"/>
              </w:rPr>
              <w:t>Economic Development Strategy</w:t>
            </w:r>
            <w:r w:rsidRPr="00F06E45">
              <w:rPr>
                <w:rFonts w:ascii="Calibri" w:eastAsia="Calibri" w:hAnsi="Calibri" w:cs="Times New Roman"/>
                <w:sz w:val="16"/>
                <w:szCs w:val="16"/>
              </w:rPr>
              <w:t>.</w:t>
            </w:r>
          </w:p>
        </w:tc>
      </w:tr>
      <w:tr w:rsidR="007371C6" w:rsidRPr="00F06E45" w14:paraId="4957CB7E" w14:textId="77777777" w:rsidTr="00063500">
        <w:trPr>
          <w:trHeight w:val="195"/>
        </w:trPr>
        <w:tc>
          <w:tcPr>
            <w:tcW w:w="15593" w:type="dxa"/>
            <w:gridSpan w:val="8"/>
            <w:tcBorders>
              <w:top w:val="single" w:sz="18" w:space="0" w:color="632423"/>
              <w:bottom w:val="single" w:sz="18" w:space="0" w:color="632423"/>
            </w:tcBorders>
            <w:shd w:val="clear" w:color="auto" w:fill="auto"/>
          </w:tcPr>
          <w:p w14:paraId="35DBB91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3.2.2 Promote and support initiatives designed to enhance increased local employment and training </w:t>
            </w:r>
          </w:p>
        </w:tc>
      </w:tr>
      <w:tr w:rsidR="007371C6" w:rsidRPr="00F06E45" w14:paraId="20EAD425" w14:textId="77777777" w:rsidTr="00063500">
        <w:trPr>
          <w:trHeight w:val="209"/>
        </w:trPr>
        <w:tc>
          <w:tcPr>
            <w:tcW w:w="1276" w:type="dxa"/>
            <w:tcBorders>
              <w:top w:val="single" w:sz="18" w:space="0" w:color="632423"/>
            </w:tcBorders>
            <w:shd w:val="clear" w:color="auto" w:fill="auto"/>
          </w:tcPr>
          <w:p w14:paraId="4826867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shd w:val="clear" w:color="auto" w:fill="auto"/>
          </w:tcPr>
          <w:p w14:paraId="0900D64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0" w:type="dxa"/>
            <w:tcBorders>
              <w:top w:val="single" w:sz="18" w:space="0" w:color="632423"/>
            </w:tcBorders>
            <w:shd w:val="clear" w:color="auto" w:fill="auto"/>
          </w:tcPr>
          <w:p w14:paraId="002915D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632423"/>
            </w:tcBorders>
            <w:shd w:val="clear" w:color="auto" w:fill="auto"/>
          </w:tcPr>
          <w:p w14:paraId="4338C8B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9" w:type="dxa"/>
            <w:tcBorders>
              <w:top w:val="single" w:sz="18" w:space="0" w:color="632423"/>
            </w:tcBorders>
            <w:shd w:val="clear" w:color="auto" w:fill="auto"/>
          </w:tcPr>
          <w:p w14:paraId="7478802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shd w:val="clear" w:color="auto" w:fill="auto"/>
          </w:tcPr>
          <w:p w14:paraId="4DDA1DF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632423"/>
            </w:tcBorders>
            <w:shd w:val="clear" w:color="auto" w:fill="auto"/>
          </w:tcPr>
          <w:p w14:paraId="43BC112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67E2F638" w14:textId="77777777" w:rsidTr="00063500">
        <w:trPr>
          <w:trHeight w:val="908"/>
        </w:trPr>
        <w:tc>
          <w:tcPr>
            <w:tcW w:w="1276" w:type="dxa"/>
            <w:shd w:val="clear" w:color="auto" w:fill="auto"/>
          </w:tcPr>
          <w:p w14:paraId="6BD9542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tc>
        <w:tc>
          <w:tcPr>
            <w:tcW w:w="2410" w:type="dxa"/>
            <w:shd w:val="clear" w:color="auto" w:fill="auto"/>
          </w:tcPr>
          <w:p w14:paraId="0B7E254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Bundaberg Regional Airport </w:t>
            </w:r>
          </w:p>
        </w:tc>
        <w:tc>
          <w:tcPr>
            <w:tcW w:w="3710" w:type="dxa"/>
            <w:shd w:val="clear" w:color="auto" w:fill="auto"/>
          </w:tcPr>
          <w:p w14:paraId="0169B93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passengers processed through the Bundaberg Regional Airport terminal.</w:t>
            </w:r>
          </w:p>
        </w:tc>
        <w:tc>
          <w:tcPr>
            <w:tcW w:w="839" w:type="dxa"/>
            <w:shd w:val="clear" w:color="auto" w:fill="auto"/>
          </w:tcPr>
          <w:p w14:paraId="4FF430D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6601FC6C"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30,000</w:t>
            </w:r>
          </w:p>
        </w:tc>
        <w:tc>
          <w:tcPr>
            <w:tcW w:w="979" w:type="dxa"/>
            <w:shd w:val="clear" w:color="auto" w:fill="auto"/>
          </w:tcPr>
          <w:p w14:paraId="753DA481" w14:textId="77777777" w:rsidR="007371C6" w:rsidRPr="00F06E45" w:rsidRDefault="007371C6" w:rsidP="00F06E45">
            <w:pPr>
              <w:rPr>
                <w:rFonts w:ascii="Calibri" w:eastAsia="Calibri" w:hAnsi="Calibri" w:cs="Times New Roman"/>
                <w:sz w:val="16"/>
                <w:szCs w:val="16"/>
              </w:rPr>
            </w:pPr>
          </w:p>
          <w:p w14:paraId="58DCF0E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40,940</w:t>
            </w:r>
          </w:p>
        </w:tc>
        <w:tc>
          <w:tcPr>
            <w:tcW w:w="709" w:type="dxa"/>
            <w:shd w:val="clear" w:color="auto" w:fill="auto"/>
          </w:tcPr>
          <w:p w14:paraId="2F13D545"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7152" behindDoc="1" locked="0" layoutInCell="1" allowOverlap="1" wp14:anchorId="2E0409FB" wp14:editId="6BFFA9AA">
                  <wp:simplePos x="0" y="0"/>
                  <wp:positionH relativeFrom="column">
                    <wp:posOffset>2540</wp:posOffset>
                  </wp:positionH>
                  <wp:positionV relativeFrom="paragraph">
                    <wp:posOffset>130175</wp:posOffset>
                  </wp:positionV>
                  <wp:extent cx="221615" cy="158115"/>
                  <wp:effectExtent l="0" t="0" r="6985" b="0"/>
                  <wp:wrapTight wrapText="bothSides">
                    <wp:wrapPolygon edited="0">
                      <wp:start x="0" y="0"/>
                      <wp:lineTo x="0" y="18217"/>
                      <wp:lineTo x="20424" y="18217"/>
                      <wp:lineTo x="2042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26E986B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Passenger numbers have risen slightly this quarter in comparison to the same quarter in the past two years.</w:t>
            </w:r>
          </w:p>
        </w:tc>
      </w:tr>
      <w:tr w:rsidR="007371C6" w:rsidRPr="00F06E45" w14:paraId="4C24AF65" w14:textId="77777777" w:rsidTr="00063500">
        <w:trPr>
          <w:trHeight w:val="1089"/>
        </w:trPr>
        <w:tc>
          <w:tcPr>
            <w:tcW w:w="1276" w:type="dxa"/>
            <w:shd w:val="clear" w:color="auto" w:fill="auto"/>
          </w:tcPr>
          <w:p w14:paraId="090CC25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tc>
        <w:tc>
          <w:tcPr>
            <w:tcW w:w="2410" w:type="dxa"/>
            <w:shd w:val="clear" w:color="auto" w:fill="auto"/>
          </w:tcPr>
          <w:p w14:paraId="4987A6E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Bundaberg Regional Airport </w:t>
            </w:r>
          </w:p>
        </w:tc>
        <w:tc>
          <w:tcPr>
            <w:tcW w:w="3710" w:type="dxa"/>
            <w:shd w:val="clear" w:color="auto" w:fill="auto"/>
          </w:tcPr>
          <w:p w14:paraId="741B6B1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Regular Public Transport (RPT) services. </w:t>
            </w:r>
          </w:p>
          <w:p w14:paraId="5AE977BA" w14:textId="77777777" w:rsidR="007371C6" w:rsidRPr="00F06E45" w:rsidRDefault="007371C6" w:rsidP="00F06E45">
            <w:pPr>
              <w:ind w:left="-108"/>
              <w:rPr>
                <w:rFonts w:ascii="Calibri" w:eastAsia="Calibri" w:hAnsi="Calibri" w:cs="Times New Roman"/>
                <w:sz w:val="18"/>
                <w:szCs w:val="18"/>
              </w:rPr>
            </w:pPr>
          </w:p>
        </w:tc>
        <w:tc>
          <w:tcPr>
            <w:tcW w:w="839" w:type="dxa"/>
            <w:shd w:val="clear" w:color="auto" w:fill="auto"/>
          </w:tcPr>
          <w:p w14:paraId="49A2F0F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0B02F7C5"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380</w:t>
            </w:r>
          </w:p>
        </w:tc>
        <w:tc>
          <w:tcPr>
            <w:tcW w:w="979" w:type="dxa"/>
            <w:shd w:val="clear" w:color="auto" w:fill="auto"/>
          </w:tcPr>
          <w:p w14:paraId="0BE7F159" w14:textId="77777777" w:rsidR="007371C6" w:rsidRPr="00F06E45" w:rsidRDefault="007371C6" w:rsidP="00F06E45">
            <w:pPr>
              <w:rPr>
                <w:rFonts w:ascii="Calibri" w:eastAsia="Calibri" w:hAnsi="Calibri" w:cs="Times New Roman"/>
                <w:sz w:val="18"/>
                <w:szCs w:val="18"/>
              </w:rPr>
            </w:pPr>
          </w:p>
          <w:p w14:paraId="5C22A05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521</w:t>
            </w:r>
          </w:p>
        </w:tc>
        <w:tc>
          <w:tcPr>
            <w:tcW w:w="709" w:type="dxa"/>
            <w:shd w:val="clear" w:color="auto" w:fill="auto"/>
          </w:tcPr>
          <w:p w14:paraId="376D6473"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8176" behindDoc="1" locked="0" layoutInCell="1" allowOverlap="1" wp14:anchorId="4A1CC389" wp14:editId="4C864472">
                  <wp:simplePos x="0" y="0"/>
                  <wp:positionH relativeFrom="column">
                    <wp:posOffset>2540</wp:posOffset>
                  </wp:positionH>
                  <wp:positionV relativeFrom="paragraph">
                    <wp:posOffset>130175</wp:posOffset>
                  </wp:positionV>
                  <wp:extent cx="221615" cy="158115"/>
                  <wp:effectExtent l="0" t="0" r="6985" b="0"/>
                  <wp:wrapTight wrapText="bothSides">
                    <wp:wrapPolygon edited="0">
                      <wp:start x="0" y="0"/>
                      <wp:lineTo x="0" y="18217"/>
                      <wp:lineTo x="20424" y="18217"/>
                      <wp:lineTo x="2042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7AB3508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The number of Regular Public Transport (RPT) services has increased due to airlines offering additional flights.</w:t>
            </w:r>
          </w:p>
        </w:tc>
      </w:tr>
      <w:tr w:rsidR="007371C6" w:rsidRPr="00F06E45" w14:paraId="6B27D08F" w14:textId="77777777" w:rsidTr="00063500">
        <w:trPr>
          <w:trHeight w:val="209"/>
        </w:trPr>
        <w:tc>
          <w:tcPr>
            <w:tcW w:w="1276" w:type="dxa"/>
            <w:tcBorders>
              <w:bottom w:val="single" w:sz="18" w:space="0" w:color="632423"/>
            </w:tcBorders>
          </w:tcPr>
          <w:p w14:paraId="36698EA2" w14:textId="77777777" w:rsidR="007371C6" w:rsidRPr="00F06E45" w:rsidRDefault="007371C6" w:rsidP="00F06E45">
            <w:pPr>
              <w:rPr>
                <w:rFonts w:ascii="Calibri" w:eastAsia="Calibri" w:hAnsi="Calibri" w:cs="Times New Roman"/>
                <w:sz w:val="18"/>
                <w:szCs w:val="18"/>
              </w:rPr>
            </w:pPr>
          </w:p>
        </w:tc>
        <w:tc>
          <w:tcPr>
            <w:tcW w:w="2410" w:type="dxa"/>
            <w:tcBorders>
              <w:bottom w:val="single" w:sz="18" w:space="0" w:color="632423"/>
            </w:tcBorders>
          </w:tcPr>
          <w:p w14:paraId="0A91A7A2" w14:textId="77777777" w:rsidR="007371C6" w:rsidRPr="00F06E45" w:rsidRDefault="007371C6" w:rsidP="00F06E45">
            <w:pPr>
              <w:rPr>
                <w:rFonts w:ascii="Calibri" w:eastAsia="Calibri" w:hAnsi="Calibri" w:cs="Times New Roman"/>
                <w:sz w:val="18"/>
                <w:szCs w:val="18"/>
              </w:rPr>
            </w:pPr>
          </w:p>
        </w:tc>
        <w:tc>
          <w:tcPr>
            <w:tcW w:w="3710" w:type="dxa"/>
            <w:tcBorders>
              <w:bottom w:val="single" w:sz="18" w:space="0" w:color="632423"/>
            </w:tcBorders>
          </w:tcPr>
          <w:p w14:paraId="10D8AFF8" w14:textId="77777777" w:rsidR="007371C6" w:rsidRPr="00F06E45" w:rsidRDefault="007371C6" w:rsidP="00F06E45">
            <w:pPr>
              <w:rPr>
                <w:rFonts w:ascii="Calibri" w:eastAsia="Calibri" w:hAnsi="Calibri" w:cs="Times New Roman"/>
                <w:sz w:val="18"/>
                <w:szCs w:val="18"/>
              </w:rPr>
            </w:pPr>
          </w:p>
        </w:tc>
        <w:tc>
          <w:tcPr>
            <w:tcW w:w="839" w:type="dxa"/>
            <w:tcBorders>
              <w:bottom w:val="single" w:sz="18" w:space="0" w:color="632423"/>
            </w:tcBorders>
          </w:tcPr>
          <w:p w14:paraId="63E386D2" w14:textId="77777777" w:rsidR="007371C6" w:rsidRPr="00F06E45" w:rsidRDefault="007371C6" w:rsidP="00F06E45">
            <w:pPr>
              <w:rPr>
                <w:rFonts w:ascii="Calibri" w:eastAsia="Calibri" w:hAnsi="Calibri" w:cs="Times New Roman"/>
                <w:sz w:val="18"/>
                <w:szCs w:val="18"/>
              </w:rPr>
            </w:pPr>
          </w:p>
        </w:tc>
        <w:tc>
          <w:tcPr>
            <w:tcW w:w="979" w:type="dxa"/>
            <w:tcBorders>
              <w:bottom w:val="single" w:sz="18" w:space="0" w:color="632423"/>
            </w:tcBorders>
          </w:tcPr>
          <w:p w14:paraId="2AB81C4E" w14:textId="77777777" w:rsidR="007371C6" w:rsidRPr="00F06E45" w:rsidRDefault="007371C6" w:rsidP="00F06E45">
            <w:pPr>
              <w:rPr>
                <w:rFonts w:ascii="Calibri" w:eastAsia="Calibri" w:hAnsi="Calibri" w:cs="Times New Roman"/>
                <w:sz w:val="16"/>
                <w:szCs w:val="16"/>
              </w:rPr>
            </w:pPr>
          </w:p>
        </w:tc>
        <w:tc>
          <w:tcPr>
            <w:tcW w:w="2953" w:type="dxa"/>
            <w:gridSpan w:val="2"/>
            <w:tcBorders>
              <w:bottom w:val="single" w:sz="18" w:space="0" w:color="632423"/>
            </w:tcBorders>
          </w:tcPr>
          <w:p w14:paraId="74229308" w14:textId="77777777" w:rsidR="007371C6" w:rsidRPr="00F06E45" w:rsidRDefault="007371C6" w:rsidP="00F06E45">
            <w:pPr>
              <w:rPr>
                <w:rFonts w:ascii="Calibri" w:eastAsia="Calibri" w:hAnsi="Calibri" w:cs="Times New Roman"/>
                <w:sz w:val="16"/>
                <w:szCs w:val="16"/>
              </w:rPr>
            </w:pPr>
          </w:p>
        </w:tc>
        <w:tc>
          <w:tcPr>
            <w:tcW w:w="3426" w:type="dxa"/>
            <w:tcBorders>
              <w:bottom w:val="single" w:sz="18" w:space="0" w:color="632423"/>
            </w:tcBorders>
          </w:tcPr>
          <w:p w14:paraId="6D6F8AAC" w14:textId="77777777" w:rsidR="007371C6" w:rsidRPr="00F06E45" w:rsidRDefault="007371C6" w:rsidP="00F06E45">
            <w:pPr>
              <w:rPr>
                <w:rFonts w:ascii="Calibri" w:eastAsia="Calibri" w:hAnsi="Calibri" w:cs="Times New Roman"/>
                <w:sz w:val="16"/>
                <w:szCs w:val="16"/>
              </w:rPr>
            </w:pPr>
          </w:p>
        </w:tc>
      </w:tr>
    </w:tbl>
    <w:p w14:paraId="7178E353"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632423"/>
          <w:sz w:val="28"/>
          <w:szCs w:val="28"/>
        </w:rPr>
        <w:t>A vibrant economy</w:t>
      </w:r>
      <w:r w:rsidRPr="00F06E45">
        <w:rPr>
          <w:rFonts w:ascii="Times New Roman" w:eastAsia="Calibri" w:hAnsi="Times New Roman" w:cs="Times New Roman"/>
          <w:b/>
        </w:rPr>
        <w:t xml:space="preserve">                                            creating self-sufficient industry, developing diversity in our economy, growing local jobs, enhancing local skills</w:t>
      </w:r>
    </w:p>
    <w:p w14:paraId="45B5DE37"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6D1AAF95"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33CECB89"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1F630988"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35717A2D" w14:textId="77777777" w:rsidR="007371C6" w:rsidRPr="00F06E45" w:rsidRDefault="007371C6" w:rsidP="00F06E45">
      <w:pPr>
        <w:spacing w:after="0" w:line="240" w:lineRule="auto"/>
        <w:ind w:left="-108"/>
        <w:rPr>
          <w:rFonts w:ascii="Times New Roman" w:eastAsia="Calibri" w:hAnsi="Times New Roman" w:cs="Times New Roman"/>
          <w:b/>
        </w:rPr>
      </w:pPr>
      <w:r w:rsidRPr="00F06E45">
        <w:rPr>
          <w:rFonts w:ascii="Times New Roman" w:eastAsia="Calibri" w:hAnsi="Times New Roman" w:cs="Times New Roman"/>
          <w:b/>
          <w:i/>
          <w:color w:val="632423"/>
          <w:sz w:val="28"/>
          <w:szCs w:val="28"/>
        </w:rPr>
        <w:t xml:space="preserve">Innovative people </w:t>
      </w:r>
      <w:r w:rsidRPr="00F06E45">
        <w:rPr>
          <w:rFonts w:ascii="Times New Roman" w:eastAsia="Calibri" w:hAnsi="Times New Roman" w:cs="Times New Roman"/>
          <w:b/>
          <w:i/>
          <w:color w:val="632423"/>
          <w:sz w:val="28"/>
          <w:szCs w:val="28"/>
        </w:rPr>
        <w:tab/>
      </w:r>
      <w:r w:rsidRPr="00F06E45">
        <w:rPr>
          <w:rFonts w:ascii="Times New Roman" w:eastAsia="Calibri" w:hAnsi="Times New Roman" w:cs="Times New Roman"/>
          <w:b/>
          <w:i/>
          <w:color w:val="632423"/>
          <w:sz w:val="28"/>
          <w:szCs w:val="28"/>
        </w:rPr>
        <w:tab/>
      </w:r>
      <w:r w:rsidRPr="00F06E45">
        <w:rPr>
          <w:rFonts w:ascii="Times New Roman" w:eastAsia="Calibri" w:hAnsi="Times New Roman" w:cs="Times New Roman"/>
          <w:b/>
          <w:i/>
          <w:color w:val="632423"/>
          <w:sz w:val="28"/>
          <w:szCs w:val="28"/>
        </w:rPr>
        <w:tab/>
      </w:r>
      <w:r w:rsidRPr="00F06E45">
        <w:rPr>
          <w:rFonts w:ascii="Times New Roman" w:eastAsia="Calibri" w:hAnsi="Times New Roman" w:cs="Times New Roman"/>
          <w:b/>
          <w:i/>
          <w:color w:val="632423"/>
          <w:sz w:val="28"/>
          <w:szCs w:val="28"/>
        </w:rPr>
        <w:tab/>
        <w:t xml:space="preserve">      </w:t>
      </w:r>
      <w:r w:rsidRPr="00F06E45">
        <w:rPr>
          <w:rFonts w:ascii="Times New Roman" w:eastAsia="Calibri" w:hAnsi="Times New Roman" w:cs="Times New Roman"/>
          <w:b/>
        </w:rPr>
        <w:t>creating self-sufficient industry, developing diversity in our economy, growing local jobs, enhancing local skills</w:t>
      </w:r>
    </w:p>
    <w:p w14:paraId="5D68ED08" w14:textId="77777777" w:rsidR="007371C6" w:rsidRPr="00F06E45" w:rsidRDefault="007371C6" w:rsidP="00F06E45">
      <w:pPr>
        <w:spacing w:after="0" w:line="240" w:lineRule="auto"/>
        <w:ind w:left="-108"/>
        <w:rPr>
          <w:rFonts w:ascii="Times New Roman" w:eastAsia="Calibri" w:hAnsi="Times New Roman" w:cs="Times New Roman"/>
          <w:b/>
        </w:rPr>
      </w:pPr>
    </w:p>
    <w:tbl>
      <w:tblPr>
        <w:tblStyle w:val="TableGrid1"/>
        <w:tblpPr w:leftFromText="180" w:rightFromText="180" w:vertAnchor="text" w:horzAnchor="margin" w:tblpY="114"/>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410"/>
        <w:gridCol w:w="3685"/>
        <w:gridCol w:w="851"/>
        <w:gridCol w:w="992"/>
        <w:gridCol w:w="709"/>
        <w:gridCol w:w="5670"/>
      </w:tblGrid>
      <w:tr w:rsidR="007371C6" w:rsidRPr="00F06E45" w14:paraId="395D6CCE" w14:textId="77777777" w:rsidTr="00063500">
        <w:trPr>
          <w:trHeight w:val="244"/>
        </w:trPr>
        <w:tc>
          <w:tcPr>
            <w:tcW w:w="7371" w:type="dxa"/>
            <w:gridSpan w:val="3"/>
            <w:tcBorders>
              <w:top w:val="single" w:sz="18" w:space="0" w:color="632423"/>
              <w:bottom w:val="single" w:sz="18" w:space="0" w:color="632423"/>
            </w:tcBorders>
            <w:shd w:val="clear" w:color="auto" w:fill="BE645A"/>
          </w:tcPr>
          <w:p w14:paraId="1D5A4033" w14:textId="77777777" w:rsidR="007371C6" w:rsidRPr="00F06E45" w:rsidRDefault="007371C6" w:rsidP="00F06E45">
            <w:pPr>
              <w:ind w:left="-108"/>
              <w:rPr>
                <w:rFonts w:ascii="Calibri" w:eastAsia="Calibri" w:hAnsi="Calibri" w:cs="Times New Roman"/>
                <w:sz w:val="20"/>
                <w:szCs w:val="20"/>
              </w:rPr>
            </w:pPr>
            <w:r w:rsidRPr="00F06E45">
              <w:rPr>
                <w:rFonts w:ascii="Calibri" w:eastAsia="Calibri" w:hAnsi="Calibri" w:cs="Times New Roman"/>
                <w:b/>
              </w:rPr>
              <w:t xml:space="preserve">Outcome 3.3  Foster a flexible, supportive and inclusive business environment </w:t>
            </w:r>
          </w:p>
        </w:tc>
        <w:tc>
          <w:tcPr>
            <w:tcW w:w="851" w:type="dxa"/>
            <w:tcBorders>
              <w:top w:val="single" w:sz="18" w:space="0" w:color="632423"/>
              <w:bottom w:val="single" w:sz="18" w:space="0" w:color="632423"/>
            </w:tcBorders>
            <w:shd w:val="clear" w:color="auto" w:fill="C35855"/>
          </w:tcPr>
          <w:p w14:paraId="2A5D9468" w14:textId="77777777" w:rsidR="007371C6" w:rsidRPr="00F06E45" w:rsidRDefault="007371C6" w:rsidP="00F06E45">
            <w:pPr>
              <w:rPr>
                <w:rFonts w:ascii="Calibri" w:eastAsia="Calibri" w:hAnsi="Calibri" w:cs="Times New Roman"/>
                <w:b/>
                <w:sz w:val="18"/>
                <w:szCs w:val="18"/>
              </w:rPr>
            </w:pPr>
          </w:p>
        </w:tc>
        <w:tc>
          <w:tcPr>
            <w:tcW w:w="992" w:type="dxa"/>
            <w:tcBorders>
              <w:top w:val="single" w:sz="18" w:space="0" w:color="632423"/>
              <w:bottom w:val="single" w:sz="18" w:space="0" w:color="632423"/>
            </w:tcBorders>
            <w:shd w:val="clear" w:color="auto" w:fill="C35855"/>
          </w:tcPr>
          <w:p w14:paraId="6313363E" w14:textId="77777777" w:rsidR="007371C6" w:rsidRPr="00F06E45" w:rsidRDefault="007371C6" w:rsidP="00F06E45">
            <w:pPr>
              <w:rPr>
                <w:rFonts w:ascii="Calibri" w:eastAsia="Calibri" w:hAnsi="Calibri" w:cs="Times New Roman"/>
                <w:b/>
                <w:sz w:val="18"/>
                <w:szCs w:val="18"/>
              </w:rPr>
            </w:pPr>
          </w:p>
        </w:tc>
        <w:tc>
          <w:tcPr>
            <w:tcW w:w="709" w:type="dxa"/>
            <w:tcBorders>
              <w:top w:val="single" w:sz="18" w:space="0" w:color="632423"/>
              <w:bottom w:val="single" w:sz="18" w:space="0" w:color="632423"/>
            </w:tcBorders>
            <w:shd w:val="clear" w:color="auto" w:fill="C35855"/>
          </w:tcPr>
          <w:p w14:paraId="7314C7E8" w14:textId="77777777" w:rsidR="007371C6" w:rsidRPr="00F06E45" w:rsidRDefault="007371C6" w:rsidP="00F06E45">
            <w:pPr>
              <w:rPr>
                <w:rFonts w:ascii="Calibri" w:eastAsia="Calibri" w:hAnsi="Calibri" w:cs="Times New Roman"/>
                <w:b/>
                <w:sz w:val="18"/>
                <w:szCs w:val="18"/>
              </w:rPr>
            </w:pPr>
          </w:p>
        </w:tc>
        <w:tc>
          <w:tcPr>
            <w:tcW w:w="5670" w:type="dxa"/>
            <w:tcBorders>
              <w:top w:val="single" w:sz="18" w:space="0" w:color="632423"/>
              <w:bottom w:val="single" w:sz="18" w:space="0" w:color="632423"/>
            </w:tcBorders>
            <w:shd w:val="clear" w:color="auto" w:fill="C35855"/>
          </w:tcPr>
          <w:p w14:paraId="7F45F1E2" w14:textId="77777777" w:rsidR="007371C6" w:rsidRPr="00F06E45" w:rsidRDefault="007371C6" w:rsidP="00F06E45">
            <w:pPr>
              <w:rPr>
                <w:rFonts w:ascii="Calibri" w:eastAsia="Calibri" w:hAnsi="Calibri" w:cs="Times New Roman"/>
                <w:b/>
                <w:sz w:val="18"/>
                <w:szCs w:val="18"/>
              </w:rPr>
            </w:pPr>
          </w:p>
        </w:tc>
      </w:tr>
      <w:tr w:rsidR="007371C6" w:rsidRPr="00F06E45" w14:paraId="0B1B88CE" w14:textId="77777777" w:rsidTr="00063500">
        <w:trPr>
          <w:trHeight w:val="195"/>
        </w:trPr>
        <w:tc>
          <w:tcPr>
            <w:tcW w:w="15593" w:type="dxa"/>
            <w:gridSpan w:val="7"/>
            <w:tcBorders>
              <w:top w:val="single" w:sz="18" w:space="0" w:color="632423"/>
              <w:bottom w:val="single" w:sz="18" w:space="0" w:color="632423"/>
            </w:tcBorders>
          </w:tcPr>
          <w:p w14:paraId="5023DE7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3.3.1 Promote the vision that encourages business enterprises relocating to, expanding within, or establishing in the region </w:t>
            </w:r>
          </w:p>
        </w:tc>
      </w:tr>
      <w:tr w:rsidR="007371C6" w:rsidRPr="00F06E45" w14:paraId="3531A9E4" w14:textId="77777777" w:rsidTr="00063500">
        <w:trPr>
          <w:trHeight w:val="195"/>
        </w:trPr>
        <w:tc>
          <w:tcPr>
            <w:tcW w:w="1276" w:type="dxa"/>
            <w:tcBorders>
              <w:top w:val="single" w:sz="18" w:space="0" w:color="632423"/>
            </w:tcBorders>
          </w:tcPr>
          <w:p w14:paraId="3A5BF21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tcPr>
          <w:p w14:paraId="74626EF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632423"/>
            </w:tcBorders>
          </w:tcPr>
          <w:p w14:paraId="7F47A5B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632423"/>
            </w:tcBorders>
          </w:tcPr>
          <w:p w14:paraId="7AAD28E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92" w:type="dxa"/>
            <w:tcBorders>
              <w:top w:val="single" w:sz="18" w:space="0" w:color="632423"/>
            </w:tcBorders>
          </w:tcPr>
          <w:p w14:paraId="60082F5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tcPr>
          <w:p w14:paraId="350DFB32" w14:textId="77777777" w:rsidR="007371C6" w:rsidRPr="00F06E45" w:rsidRDefault="007371C6" w:rsidP="00F06E45">
            <w:pPr>
              <w:rPr>
                <w:rFonts w:ascii="Calibri" w:eastAsia="Calibri" w:hAnsi="Calibri" w:cs="Times New Roman"/>
                <w:b/>
                <w:sz w:val="18"/>
                <w:szCs w:val="18"/>
              </w:rPr>
            </w:pPr>
          </w:p>
        </w:tc>
        <w:tc>
          <w:tcPr>
            <w:tcW w:w="5670" w:type="dxa"/>
            <w:tcBorders>
              <w:top w:val="single" w:sz="18" w:space="0" w:color="632423"/>
            </w:tcBorders>
          </w:tcPr>
          <w:p w14:paraId="746A830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3C38D076" w14:textId="77777777" w:rsidTr="00063500">
        <w:trPr>
          <w:trHeight w:val="652"/>
        </w:trPr>
        <w:tc>
          <w:tcPr>
            <w:tcW w:w="1276" w:type="dxa"/>
            <w:shd w:val="clear" w:color="auto" w:fill="auto"/>
          </w:tcPr>
          <w:p w14:paraId="4D4F5D8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tc>
        <w:tc>
          <w:tcPr>
            <w:tcW w:w="2410" w:type="dxa"/>
            <w:shd w:val="clear" w:color="auto" w:fill="auto"/>
          </w:tcPr>
          <w:p w14:paraId="78C3EBB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Economic Development:  Networks &amp; Partnerships: Support to existing business</w:t>
            </w:r>
          </w:p>
        </w:tc>
        <w:tc>
          <w:tcPr>
            <w:tcW w:w="3685" w:type="dxa"/>
            <w:shd w:val="clear" w:color="auto" w:fill="auto"/>
          </w:tcPr>
          <w:p w14:paraId="0F37C0D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direct contacts with existing businesses, providing information and referrals.</w:t>
            </w:r>
          </w:p>
        </w:tc>
        <w:tc>
          <w:tcPr>
            <w:tcW w:w="851" w:type="dxa"/>
            <w:shd w:val="clear" w:color="auto" w:fill="auto"/>
          </w:tcPr>
          <w:p w14:paraId="68EE232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12C7F666"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30</w:t>
            </w:r>
          </w:p>
        </w:tc>
        <w:tc>
          <w:tcPr>
            <w:tcW w:w="992" w:type="dxa"/>
            <w:shd w:val="clear" w:color="auto" w:fill="auto"/>
          </w:tcPr>
          <w:p w14:paraId="1C446F5D" w14:textId="77777777" w:rsidR="007371C6" w:rsidRPr="00F06E45" w:rsidRDefault="007371C6" w:rsidP="00F06E45">
            <w:pPr>
              <w:rPr>
                <w:rFonts w:ascii="Calibri" w:eastAsia="Calibri" w:hAnsi="Calibri" w:cs="Times New Roman"/>
                <w:sz w:val="16"/>
                <w:szCs w:val="16"/>
              </w:rPr>
            </w:pPr>
          </w:p>
          <w:p w14:paraId="0871012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31</w:t>
            </w:r>
          </w:p>
        </w:tc>
        <w:tc>
          <w:tcPr>
            <w:tcW w:w="709" w:type="dxa"/>
          </w:tcPr>
          <w:p w14:paraId="72450742"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9200" behindDoc="1" locked="0" layoutInCell="1" allowOverlap="1" wp14:anchorId="55FCB5E9" wp14:editId="5ADB8615">
                  <wp:simplePos x="0" y="0"/>
                  <wp:positionH relativeFrom="column">
                    <wp:posOffset>2540</wp:posOffset>
                  </wp:positionH>
                  <wp:positionV relativeFrom="paragraph">
                    <wp:posOffset>127635</wp:posOffset>
                  </wp:positionV>
                  <wp:extent cx="221615" cy="158115"/>
                  <wp:effectExtent l="0" t="0" r="6985" b="0"/>
                  <wp:wrapTight wrapText="bothSides">
                    <wp:wrapPolygon edited="0">
                      <wp:start x="0" y="0"/>
                      <wp:lineTo x="0" y="18217"/>
                      <wp:lineTo x="20424" y="18217"/>
                      <wp:lineTo x="2042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5D3458A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Again this quarter was a busy period for business meetings and support. The target of 30 businesses supported has again been exceeded.</w:t>
            </w:r>
          </w:p>
        </w:tc>
      </w:tr>
      <w:tr w:rsidR="007371C6" w:rsidRPr="00F06E45" w14:paraId="65CBDE3F" w14:textId="77777777" w:rsidTr="00063500">
        <w:trPr>
          <w:trHeight w:val="195"/>
        </w:trPr>
        <w:tc>
          <w:tcPr>
            <w:tcW w:w="15593" w:type="dxa"/>
            <w:gridSpan w:val="7"/>
            <w:tcBorders>
              <w:top w:val="single" w:sz="18" w:space="0" w:color="943634"/>
              <w:bottom w:val="single" w:sz="18" w:space="0" w:color="943634"/>
            </w:tcBorders>
          </w:tcPr>
          <w:p w14:paraId="6AA20CA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3.3.2 Support and encourage appropriate levels of regional economic investment with the capacity to diversify and expand the economic base and secure sustainable new business investment</w:t>
            </w:r>
          </w:p>
        </w:tc>
      </w:tr>
      <w:tr w:rsidR="007371C6" w:rsidRPr="00F06E45" w14:paraId="553E2462" w14:textId="77777777" w:rsidTr="00063500">
        <w:trPr>
          <w:trHeight w:val="195"/>
        </w:trPr>
        <w:tc>
          <w:tcPr>
            <w:tcW w:w="1276" w:type="dxa"/>
            <w:tcBorders>
              <w:top w:val="single" w:sz="18" w:space="0" w:color="943634"/>
            </w:tcBorders>
          </w:tcPr>
          <w:p w14:paraId="5919FB9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943634"/>
            </w:tcBorders>
          </w:tcPr>
          <w:p w14:paraId="54D5AE7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943634"/>
            </w:tcBorders>
          </w:tcPr>
          <w:p w14:paraId="2493DB1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943634"/>
            </w:tcBorders>
          </w:tcPr>
          <w:p w14:paraId="5747ACA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92" w:type="dxa"/>
            <w:tcBorders>
              <w:top w:val="single" w:sz="18" w:space="0" w:color="943634"/>
            </w:tcBorders>
          </w:tcPr>
          <w:p w14:paraId="73B6A90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943634"/>
            </w:tcBorders>
          </w:tcPr>
          <w:p w14:paraId="41804EA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tcBorders>
              <w:top w:val="single" w:sz="18" w:space="0" w:color="943634"/>
            </w:tcBorders>
          </w:tcPr>
          <w:p w14:paraId="725580E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575F521" w14:textId="77777777" w:rsidTr="00063500">
        <w:trPr>
          <w:trHeight w:val="1062"/>
        </w:trPr>
        <w:tc>
          <w:tcPr>
            <w:tcW w:w="1276" w:type="dxa"/>
            <w:shd w:val="clear" w:color="auto" w:fill="auto"/>
          </w:tcPr>
          <w:p w14:paraId="4C06AC2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tc>
        <w:tc>
          <w:tcPr>
            <w:tcW w:w="2410" w:type="dxa"/>
            <w:shd w:val="clear" w:color="auto" w:fill="auto"/>
          </w:tcPr>
          <w:p w14:paraId="3706306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Economic Growth: Gross Regional Product</w:t>
            </w:r>
          </w:p>
        </w:tc>
        <w:tc>
          <w:tcPr>
            <w:tcW w:w="3685" w:type="dxa"/>
            <w:shd w:val="clear" w:color="auto" w:fill="auto"/>
          </w:tcPr>
          <w:p w14:paraId="037AAA2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growth in our region’s Gross Regional Product (GRP).</w:t>
            </w:r>
          </w:p>
        </w:tc>
        <w:tc>
          <w:tcPr>
            <w:tcW w:w="851" w:type="dxa"/>
            <w:shd w:val="clear" w:color="auto" w:fill="auto"/>
          </w:tcPr>
          <w:p w14:paraId="13DEFE8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6CD83346"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5%</w:t>
            </w:r>
          </w:p>
        </w:tc>
        <w:tc>
          <w:tcPr>
            <w:tcW w:w="992" w:type="dxa"/>
            <w:shd w:val="clear" w:color="auto" w:fill="auto"/>
          </w:tcPr>
          <w:p w14:paraId="3D33EC48" w14:textId="77777777" w:rsidR="007371C6" w:rsidRPr="00F06E45" w:rsidRDefault="007371C6" w:rsidP="00F06E45">
            <w:pPr>
              <w:rPr>
                <w:rFonts w:ascii="Calibri" w:eastAsia="Calibri" w:hAnsi="Calibri" w:cs="Times New Roman"/>
                <w:sz w:val="16"/>
                <w:szCs w:val="16"/>
              </w:rPr>
            </w:pPr>
          </w:p>
          <w:p w14:paraId="0BFC56B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-7.2</w:t>
            </w:r>
          </w:p>
          <w:p w14:paraId="6A971B58" w14:textId="77777777" w:rsidR="007371C6" w:rsidRPr="00F06E45" w:rsidRDefault="007371C6" w:rsidP="00F06E45">
            <w:pPr>
              <w:rPr>
                <w:rFonts w:ascii="Calibri" w:eastAsia="Calibri" w:hAnsi="Calibri" w:cs="Times New Roman"/>
                <w:sz w:val="16"/>
                <w:szCs w:val="16"/>
              </w:rPr>
            </w:pPr>
          </w:p>
        </w:tc>
        <w:tc>
          <w:tcPr>
            <w:tcW w:w="709" w:type="dxa"/>
            <w:shd w:val="clear" w:color="auto" w:fill="auto"/>
          </w:tcPr>
          <w:p w14:paraId="4200E4A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0224" behindDoc="1" locked="0" layoutInCell="1" allowOverlap="1" wp14:anchorId="32B3B6AF" wp14:editId="3374365C">
                  <wp:simplePos x="0" y="0"/>
                  <wp:positionH relativeFrom="column">
                    <wp:posOffset>2540</wp:posOffset>
                  </wp:positionH>
                  <wp:positionV relativeFrom="paragraph">
                    <wp:posOffset>133350</wp:posOffset>
                  </wp:positionV>
                  <wp:extent cx="142875" cy="142875"/>
                  <wp:effectExtent l="0" t="0" r="9525" b="9525"/>
                  <wp:wrapTight wrapText="bothSides">
                    <wp:wrapPolygon edited="0">
                      <wp:start x="0" y="0"/>
                      <wp:lineTo x="0" y="20160"/>
                      <wp:lineTo x="20160" y="20160"/>
                      <wp:lineTo x="2016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Cro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37507A7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Gross Regional Product for 2014/15 was down on the previous year. This data is only calculated annually in November and we expect a revision upwards in November 2015. Our KPI target is based on long-term averages.</w:t>
            </w:r>
          </w:p>
        </w:tc>
      </w:tr>
      <w:tr w:rsidR="007371C6" w:rsidRPr="00F06E45" w14:paraId="022F4A68" w14:textId="77777777" w:rsidTr="00063500">
        <w:trPr>
          <w:trHeight w:val="766"/>
        </w:trPr>
        <w:tc>
          <w:tcPr>
            <w:tcW w:w="1276" w:type="dxa"/>
            <w:shd w:val="clear" w:color="auto" w:fill="auto"/>
          </w:tcPr>
          <w:p w14:paraId="3949AFA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Commercial Business &amp; Economic Development </w:t>
            </w:r>
          </w:p>
        </w:tc>
        <w:tc>
          <w:tcPr>
            <w:tcW w:w="2410" w:type="dxa"/>
            <w:shd w:val="clear" w:color="auto" w:fill="auto"/>
          </w:tcPr>
          <w:p w14:paraId="5AE584F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Export Growth  </w:t>
            </w:r>
          </w:p>
        </w:tc>
        <w:tc>
          <w:tcPr>
            <w:tcW w:w="3685" w:type="dxa"/>
            <w:shd w:val="clear" w:color="auto" w:fill="auto"/>
          </w:tcPr>
          <w:p w14:paraId="322BFBD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Value of goods exported from the Bundaberg Region.</w:t>
            </w:r>
          </w:p>
        </w:tc>
        <w:tc>
          <w:tcPr>
            <w:tcW w:w="851" w:type="dxa"/>
            <w:shd w:val="clear" w:color="auto" w:fill="auto"/>
          </w:tcPr>
          <w:p w14:paraId="5C69FCD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Annually </w:t>
            </w:r>
          </w:p>
          <w:p w14:paraId="6916913C"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$1.8 B</w:t>
            </w:r>
          </w:p>
        </w:tc>
        <w:tc>
          <w:tcPr>
            <w:tcW w:w="992" w:type="dxa"/>
            <w:shd w:val="clear" w:color="auto" w:fill="auto"/>
          </w:tcPr>
          <w:p w14:paraId="21CE9AAB" w14:textId="77777777" w:rsidR="007371C6" w:rsidRPr="00F06E45" w:rsidRDefault="007371C6" w:rsidP="00F06E45">
            <w:pPr>
              <w:rPr>
                <w:rFonts w:ascii="Calibri" w:eastAsia="Calibri" w:hAnsi="Calibri" w:cs="Times New Roman"/>
                <w:sz w:val="16"/>
                <w:szCs w:val="16"/>
              </w:rPr>
            </w:pPr>
          </w:p>
          <w:p w14:paraId="0E104CD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$1.2B</w:t>
            </w:r>
          </w:p>
          <w:p w14:paraId="2261A3B6" w14:textId="77777777" w:rsidR="007371C6" w:rsidRPr="00F06E45" w:rsidRDefault="007371C6" w:rsidP="00F06E45">
            <w:pPr>
              <w:rPr>
                <w:rFonts w:ascii="Calibri" w:eastAsia="Calibri" w:hAnsi="Calibri" w:cs="Times New Roman"/>
                <w:sz w:val="16"/>
                <w:szCs w:val="16"/>
              </w:rPr>
            </w:pPr>
          </w:p>
        </w:tc>
        <w:tc>
          <w:tcPr>
            <w:tcW w:w="709" w:type="dxa"/>
            <w:shd w:val="clear" w:color="auto" w:fill="auto"/>
          </w:tcPr>
          <w:p w14:paraId="16D2466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3296" behindDoc="1" locked="0" layoutInCell="1" allowOverlap="1" wp14:anchorId="0C5638A6" wp14:editId="62C7E7E2">
                  <wp:simplePos x="0" y="0"/>
                  <wp:positionH relativeFrom="column">
                    <wp:posOffset>23322</wp:posOffset>
                  </wp:positionH>
                  <wp:positionV relativeFrom="paragraph">
                    <wp:posOffset>462</wp:posOffset>
                  </wp:positionV>
                  <wp:extent cx="143510" cy="143510"/>
                  <wp:effectExtent l="0" t="0" r="8890" b="8890"/>
                  <wp:wrapTight wrapText="bothSides">
                    <wp:wrapPolygon edited="0">
                      <wp:start x="0" y="0"/>
                      <wp:lineTo x="0" y="20071"/>
                      <wp:lineTo x="20071" y="20071"/>
                      <wp:lineTo x="200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5670" w:type="dxa"/>
            <w:shd w:val="clear" w:color="auto" w:fill="auto"/>
          </w:tcPr>
          <w:p w14:paraId="1BE3834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Exports from the region are measured on an annual basis and while the aspirational goal for 2014/15 was not met, we look forward to the publication of new figures in November of this year. It is important to see growth in exports from the region as businesses that export are more likely to be financially stable and employ more people.</w:t>
            </w:r>
          </w:p>
        </w:tc>
      </w:tr>
      <w:tr w:rsidR="007371C6" w:rsidRPr="00F06E45" w14:paraId="70410485" w14:textId="77777777" w:rsidTr="00063500">
        <w:trPr>
          <w:trHeight w:val="87"/>
        </w:trPr>
        <w:tc>
          <w:tcPr>
            <w:tcW w:w="1276" w:type="dxa"/>
          </w:tcPr>
          <w:p w14:paraId="6B461992" w14:textId="77777777" w:rsidR="007371C6" w:rsidRPr="00F06E45" w:rsidRDefault="007371C6" w:rsidP="00F06E45">
            <w:pPr>
              <w:ind w:left="-108"/>
              <w:rPr>
                <w:rFonts w:ascii="Calibri" w:eastAsia="Calibri" w:hAnsi="Calibri" w:cs="Times New Roman"/>
                <w:sz w:val="18"/>
                <w:szCs w:val="18"/>
              </w:rPr>
            </w:pPr>
          </w:p>
        </w:tc>
        <w:tc>
          <w:tcPr>
            <w:tcW w:w="2410" w:type="dxa"/>
          </w:tcPr>
          <w:p w14:paraId="7B4FF32B" w14:textId="77777777" w:rsidR="007371C6" w:rsidRPr="00F06E45" w:rsidRDefault="007371C6" w:rsidP="00F06E45">
            <w:pPr>
              <w:ind w:left="-108"/>
              <w:rPr>
                <w:rFonts w:ascii="Calibri" w:eastAsia="Calibri" w:hAnsi="Calibri" w:cs="Times New Roman"/>
                <w:sz w:val="18"/>
                <w:szCs w:val="18"/>
              </w:rPr>
            </w:pPr>
          </w:p>
        </w:tc>
        <w:tc>
          <w:tcPr>
            <w:tcW w:w="3685" w:type="dxa"/>
          </w:tcPr>
          <w:p w14:paraId="4530B693" w14:textId="77777777" w:rsidR="007371C6" w:rsidRPr="00F06E45" w:rsidRDefault="007371C6" w:rsidP="00F06E45">
            <w:pPr>
              <w:ind w:left="-108"/>
              <w:rPr>
                <w:rFonts w:ascii="Calibri" w:eastAsia="Calibri" w:hAnsi="Calibri" w:cs="Times New Roman"/>
                <w:sz w:val="18"/>
                <w:szCs w:val="18"/>
              </w:rPr>
            </w:pPr>
          </w:p>
        </w:tc>
        <w:tc>
          <w:tcPr>
            <w:tcW w:w="851" w:type="dxa"/>
          </w:tcPr>
          <w:p w14:paraId="78D90C47" w14:textId="77777777" w:rsidR="007371C6" w:rsidRPr="00F06E45" w:rsidRDefault="007371C6" w:rsidP="00F06E45">
            <w:pPr>
              <w:rPr>
                <w:rFonts w:ascii="Calibri" w:eastAsia="Calibri" w:hAnsi="Calibri" w:cs="Times New Roman"/>
                <w:sz w:val="18"/>
                <w:szCs w:val="18"/>
              </w:rPr>
            </w:pPr>
          </w:p>
        </w:tc>
        <w:tc>
          <w:tcPr>
            <w:tcW w:w="992" w:type="dxa"/>
          </w:tcPr>
          <w:p w14:paraId="39B8E8B1" w14:textId="77777777" w:rsidR="007371C6" w:rsidRPr="00F06E45" w:rsidRDefault="007371C6" w:rsidP="00F06E45">
            <w:pPr>
              <w:rPr>
                <w:rFonts w:ascii="Calibri" w:eastAsia="Calibri" w:hAnsi="Calibri" w:cs="Times New Roman"/>
                <w:sz w:val="16"/>
                <w:szCs w:val="16"/>
              </w:rPr>
            </w:pPr>
          </w:p>
        </w:tc>
        <w:tc>
          <w:tcPr>
            <w:tcW w:w="709" w:type="dxa"/>
          </w:tcPr>
          <w:p w14:paraId="05C3B388" w14:textId="77777777" w:rsidR="007371C6" w:rsidRPr="00F06E45" w:rsidRDefault="007371C6" w:rsidP="00F06E45">
            <w:pPr>
              <w:rPr>
                <w:rFonts w:ascii="Calibri" w:eastAsia="Calibri" w:hAnsi="Calibri" w:cs="Times New Roman"/>
                <w:sz w:val="16"/>
                <w:szCs w:val="16"/>
              </w:rPr>
            </w:pPr>
          </w:p>
        </w:tc>
        <w:tc>
          <w:tcPr>
            <w:tcW w:w="5670" w:type="dxa"/>
          </w:tcPr>
          <w:p w14:paraId="3FCB2B18" w14:textId="77777777" w:rsidR="007371C6" w:rsidRPr="00F06E45" w:rsidRDefault="007371C6" w:rsidP="00F06E45">
            <w:pPr>
              <w:rPr>
                <w:rFonts w:ascii="Calibri" w:eastAsia="Calibri" w:hAnsi="Calibri" w:cs="Times New Roman"/>
                <w:sz w:val="16"/>
                <w:szCs w:val="16"/>
              </w:rPr>
            </w:pPr>
          </w:p>
        </w:tc>
      </w:tr>
      <w:tr w:rsidR="007371C6" w:rsidRPr="00F06E45" w14:paraId="73B6F02C" w14:textId="77777777" w:rsidTr="00063500">
        <w:trPr>
          <w:trHeight w:val="228"/>
        </w:trPr>
        <w:tc>
          <w:tcPr>
            <w:tcW w:w="15593" w:type="dxa"/>
            <w:gridSpan w:val="7"/>
            <w:tcBorders>
              <w:top w:val="single" w:sz="18" w:space="0" w:color="632423"/>
              <w:bottom w:val="single" w:sz="18" w:space="0" w:color="632423"/>
            </w:tcBorders>
            <w:shd w:val="clear" w:color="auto" w:fill="BE645A"/>
          </w:tcPr>
          <w:p w14:paraId="09574321" w14:textId="77777777" w:rsidR="007371C6" w:rsidRPr="00F06E45" w:rsidRDefault="007371C6" w:rsidP="00F06E45">
            <w:pPr>
              <w:ind w:left="-108"/>
              <w:rPr>
                <w:rFonts w:ascii="Calibri" w:eastAsia="Calibri" w:hAnsi="Calibri" w:cs="Times New Roman"/>
                <w:b/>
              </w:rPr>
            </w:pPr>
            <w:r w:rsidRPr="00F06E45">
              <w:rPr>
                <w:rFonts w:ascii="Calibri" w:eastAsia="Calibri" w:hAnsi="Calibri" w:cs="Times New Roman"/>
                <w:b/>
              </w:rPr>
              <w:t xml:space="preserve">Outcome 3.4 Attract and support the enhancement, retention, education and employment opportunities for key demographic groups </w:t>
            </w:r>
          </w:p>
        </w:tc>
      </w:tr>
      <w:tr w:rsidR="007371C6" w:rsidRPr="00F06E45" w14:paraId="579BF546" w14:textId="77777777" w:rsidTr="00063500">
        <w:trPr>
          <w:trHeight w:val="195"/>
        </w:trPr>
        <w:tc>
          <w:tcPr>
            <w:tcW w:w="7371" w:type="dxa"/>
            <w:gridSpan w:val="3"/>
            <w:tcBorders>
              <w:top w:val="single" w:sz="18" w:space="0" w:color="632423"/>
              <w:bottom w:val="single" w:sz="18" w:space="0" w:color="632423"/>
            </w:tcBorders>
          </w:tcPr>
          <w:p w14:paraId="4C28C81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3 4.1 Encourage, promote and support innovation and learning within the community</w:t>
            </w:r>
          </w:p>
        </w:tc>
        <w:tc>
          <w:tcPr>
            <w:tcW w:w="851" w:type="dxa"/>
            <w:tcBorders>
              <w:top w:val="single" w:sz="18" w:space="0" w:color="632423"/>
              <w:bottom w:val="single" w:sz="18" w:space="0" w:color="632423"/>
            </w:tcBorders>
          </w:tcPr>
          <w:p w14:paraId="5391CB63" w14:textId="77777777" w:rsidR="007371C6" w:rsidRPr="00F06E45" w:rsidRDefault="007371C6" w:rsidP="00F06E45">
            <w:pPr>
              <w:ind w:left="-108"/>
              <w:rPr>
                <w:rFonts w:ascii="Calibri" w:eastAsia="Calibri" w:hAnsi="Calibri" w:cs="Times New Roman"/>
                <w:b/>
                <w:sz w:val="18"/>
                <w:szCs w:val="18"/>
              </w:rPr>
            </w:pPr>
          </w:p>
        </w:tc>
        <w:tc>
          <w:tcPr>
            <w:tcW w:w="992" w:type="dxa"/>
            <w:tcBorders>
              <w:top w:val="single" w:sz="18" w:space="0" w:color="632423"/>
              <w:bottom w:val="single" w:sz="18" w:space="0" w:color="632423"/>
            </w:tcBorders>
          </w:tcPr>
          <w:p w14:paraId="1B34806A" w14:textId="77777777" w:rsidR="007371C6" w:rsidRPr="00F06E45" w:rsidRDefault="007371C6" w:rsidP="00F06E45">
            <w:pPr>
              <w:ind w:left="-108"/>
              <w:rPr>
                <w:rFonts w:ascii="Calibri" w:eastAsia="Calibri" w:hAnsi="Calibri" w:cs="Times New Roman"/>
                <w:b/>
                <w:sz w:val="18"/>
                <w:szCs w:val="18"/>
              </w:rPr>
            </w:pPr>
          </w:p>
        </w:tc>
        <w:tc>
          <w:tcPr>
            <w:tcW w:w="709" w:type="dxa"/>
            <w:tcBorders>
              <w:top w:val="single" w:sz="18" w:space="0" w:color="632423"/>
              <w:bottom w:val="single" w:sz="18" w:space="0" w:color="632423"/>
            </w:tcBorders>
          </w:tcPr>
          <w:p w14:paraId="482F281E" w14:textId="77777777" w:rsidR="007371C6" w:rsidRPr="00F06E45" w:rsidRDefault="007371C6" w:rsidP="00F06E45">
            <w:pPr>
              <w:ind w:left="-108"/>
              <w:rPr>
                <w:rFonts w:ascii="Calibri" w:eastAsia="Calibri" w:hAnsi="Calibri" w:cs="Times New Roman"/>
                <w:b/>
                <w:sz w:val="18"/>
                <w:szCs w:val="18"/>
              </w:rPr>
            </w:pPr>
          </w:p>
        </w:tc>
        <w:tc>
          <w:tcPr>
            <w:tcW w:w="5670" w:type="dxa"/>
            <w:tcBorders>
              <w:top w:val="single" w:sz="18" w:space="0" w:color="632423"/>
              <w:bottom w:val="single" w:sz="18" w:space="0" w:color="632423"/>
            </w:tcBorders>
          </w:tcPr>
          <w:p w14:paraId="5422D6EC" w14:textId="77777777" w:rsidR="007371C6" w:rsidRPr="00F06E45" w:rsidRDefault="007371C6" w:rsidP="00F06E45">
            <w:pPr>
              <w:ind w:left="-108"/>
              <w:rPr>
                <w:rFonts w:ascii="Calibri" w:eastAsia="Calibri" w:hAnsi="Calibri" w:cs="Times New Roman"/>
                <w:b/>
                <w:sz w:val="18"/>
                <w:szCs w:val="18"/>
              </w:rPr>
            </w:pPr>
          </w:p>
        </w:tc>
      </w:tr>
      <w:tr w:rsidR="007371C6" w:rsidRPr="00F06E45" w14:paraId="69FBA6AE" w14:textId="77777777" w:rsidTr="00063500">
        <w:trPr>
          <w:trHeight w:val="212"/>
        </w:trPr>
        <w:tc>
          <w:tcPr>
            <w:tcW w:w="1276" w:type="dxa"/>
            <w:tcBorders>
              <w:top w:val="single" w:sz="18" w:space="0" w:color="632423"/>
            </w:tcBorders>
          </w:tcPr>
          <w:p w14:paraId="151D5A9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tcPr>
          <w:p w14:paraId="22293CB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632423"/>
            </w:tcBorders>
          </w:tcPr>
          <w:p w14:paraId="230B9EA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632423"/>
            </w:tcBorders>
          </w:tcPr>
          <w:p w14:paraId="0FD2933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92" w:type="dxa"/>
            <w:tcBorders>
              <w:top w:val="single" w:sz="18" w:space="0" w:color="632423"/>
            </w:tcBorders>
          </w:tcPr>
          <w:p w14:paraId="1C67367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tcPr>
          <w:p w14:paraId="3EA172FC"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tcBorders>
              <w:top w:val="single" w:sz="18" w:space="0" w:color="632423"/>
            </w:tcBorders>
          </w:tcPr>
          <w:p w14:paraId="52C4FBC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66B1FDA1" w14:textId="77777777" w:rsidTr="00063500">
        <w:trPr>
          <w:trHeight w:val="750"/>
        </w:trPr>
        <w:tc>
          <w:tcPr>
            <w:tcW w:w="1276" w:type="dxa"/>
            <w:tcBorders>
              <w:bottom w:val="single" w:sz="18" w:space="0" w:color="632423"/>
            </w:tcBorders>
            <w:shd w:val="clear" w:color="auto" w:fill="auto"/>
          </w:tcPr>
          <w:p w14:paraId="7636538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People &amp; Culture </w:t>
            </w:r>
          </w:p>
        </w:tc>
        <w:tc>
          <w:tcPr>
            <w:tcW w:w="2410" w:type="dxa"/>
            <w:tcBorders>
              <w:bottom w:val="single" w:sz="18" w:space="0" w:color="632423"/>
            </w:tcBorders>
            <w:shd w:val="clear" w:color="auto" w:fill="auto"/>
          </w:tcPr>
          <w:p w14:paraId="1D30291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Human Resources: Community Support:   Education, Work Experience &amp; Employment</w:t>
            </w:r>
          </w:p>
        </w:tc>
        <w:tc>
          <w:tcPr>
            <w:tcW w:w="3685" w:type="dxa"/>
            <w:tcBorders>
              <w:bottom w:val="single" w:sz="18" w:space="0" w:color="632423"/>
            </w:tcBorders>
            <w:shd w:val="clear" w:color="auto" w:fill="auto"/>
          </w:tcPr>
          <w:p w14:paraId="5BA5C56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Community Support activities undertaken (includes work experience, traineeships, apprenticeships, scholarships, and cadetships).</w:t>
            </w:r>
          </w:p>
        </w:tc>
        <w:tc>
          <w:tcPr>
            <w:tcW w:w="851" w:type="dxa"/>
            <w:tcBorders>
              <w:bottom w:val="single" w:sz="18" w:space="0" w:color="632423"/>
            </w:tcBorders>
            <w:shd w:val="clear" w:color="auto" w:fill="auto"/>
          </w:tcPr>
          <w:p w14:paraId="0192DD0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Annually </w:t>
            </w:r>
          </w:p>
          <w:p w14:paraId="7A3642DC"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50</w:t>
            </w:r>
          </w:p>
        </w:tc>
        <w:tc>
          <w:tcPr>
            <w:tcW w:w="992" w:type="dxa"/>
            <w:tcBorders>
              <w:bottom w:val="single" w:sz="18" w:space="0" w:color="632423"/>
            </w:tcBorders>
            <w:shd w:val="clear" w:color="auto" w:fill="auto"/>
          </w:tcPr>
          <w:p w14:paraId="0EAFF2A7" w14:textId="77777777" w:rsidR="007371C6" w:rsidRPr="00F06E45" w:rsidRDefault="007371C6" w:rsidP="00F06E45">
            <w:pPr>
              <w:rPr>
                <w:rFonts w:ascii="Calibri" w:eastAsia="Calibri" w:hAnsi="Calibri" w:cs="Times New Roman"/>
                <w:sz w:val="18"/>
                <w:szCs w:val="18"/>
              </w:rPr>
            </w:pPr>
          </w:p>
          <w:p w14:paraId="0EFCB1E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49</w:t>
            </w:r>
          </w:p>
        </w:tc>
        <w:tc>
          <w:tcPr>
            <w:tcW w:w="709" w:type="dxa"/>
            <w:tcBorders>
              <w:bottom w:val="single" w:sz="18" w:space="0" w:color="632423"/>
            </w:tcBorders>
            <w:shd w:val="clear" w:color="auto" w:fill="auto"/>
          </w:tcPr>
          <w:p w14:paraId="0F42D952"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1248" behindDoc="1" locked="0" layoutInCell="1" allowOverlap="1" wp14:anchorId="2A17B00E" wp14:editId="69C9D297">
                  <wp:simplePos x="0" y="0"/>
                  <wp:positionH relativeFrom="column">
                    <wp:posOffset>2540</wp:posOffset>
                  </wp:positionH>
                  <wp:positionV relativeFrom="paragraph">
                    <wp:posOffset>127000</wp:posOffset>
                  </wp:positionV>
                  <wp:extent cx="143510" cy="143510"/>
                  <wp:effectExtent l="0" t="0" r="8890" b="8890"/>
                  <wp:wrapTight wrapText="bothSides">
                    <wp:wrapPolygon edited="0">
                      <wp:start x="0" y="0"/>
                      <wp:lineTo x="0" y="20071"/>
                      <wp:lineTo x="20071" y="20071"/>
                      <wp:lineTo x="2007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5670" w:type="dxa"/>
            <w:tcBorders>
              <w:bottom w:val="single" w:sz="18" w:space="0" w:color="632423"/>
            </w:tcBorders>
            <w:shd w:val="clear" w:color="auto" w:fill="auto"/>
          </w:tcPr>
          <w:p w14:paraId="1297DACF"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Council employed 8 trainees, 5 apprentices, and provided work experience to 34 members of the community and paid work placements for 2 engineering students from CQU University as part of the Engineering Cooperative Program.</w:t>
            </w:r>
            <w:r w:rsidRPr="00F06E45">
              <w:rPr>
                <w:rFonts w:ascii="Calibri" w:eastAsia="Calibri" w:hAnsi="Calibri" w:cs="Times New Roman"/>
                <w:sz w:val="18"/>
                <w:szCs w:val="18"/>
              </w:rPr>
              <w:t xml:space="preserve"> </w:t>
            </w:r>
          </w:p>
        </w:tc>
      </w:tr>
      <w:tr w:rsidR="007371C6" w:rsidRPr="00F06E45" w14:paraId="2D426A4B" w14:textId="77777777" w:rsidTr="00063500">
        <w:trPr>
          <w:trHeight w:val="195"/>
        </w:trPr>
        <w:tc>
          <w:tcPr>
            <w:tcW w:w="7371" w:type="dxa"/>
            <w:gridSpan w:val="3"/>
            <w:tcBorders>
              <w:top w:val="single" w:sz="18" w:space="0" w:color="632423"/>
              <w:bottom w:val="single" w:sz="18" w:space="0" w:color="632423"/>
            </w:tcBorders>
            <w:shd w:val="clear" w:color="auto" w:fill="auto"/>
          </w:tcPr>
          <w:p w14:paraId="555BFFC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3.4.2 Encourage environmentally sustainable development opportunities</w:t>
            </w:r>
          </w:p>
        </w:tc>
        <w:tc>
          <w:tcPr>
            <w:tcW w:w="851" w:type="dxa"/>
            <w:tcBorders>
              <w:top w:val="single" w:sz="18" w:space="0" w:color="632423"/>
              <w:bottom w:val="single" w:sz="18" w:space="0" w:color="632423"/>
            </w:tcBorders>
            <w:shd w:val="clear" w:color="auto" w:fill="auto"/>
          </w:tcPr>
          <w:p w14:paraId="45712E0B" w14:textId="77777777" w:rsidR="007371C6" w:rsidRPr="00F06E45" w:rsidRDefault="007371C6" w:rsidP="00F06E45">
            <w:pPr>
              <w:ind w:left="-108"/>
              <w:rPr>
                <w:rFonts w:ascii="Calibri" w:eastAsia="Calibri" w:hAnsi="Calibri" w:cs="Times New Roman"/>
                <w:b/>
                <w:sz w:val="18"/>
                <w:szCs w:val="18"/>
              </w:rPr>
            </w:pPr>
          </w:p>
        </w:tc>
        <w:tc>
          <w:tcPr>
            <w:tcW w:w="992" w:type="dxa"/>
            <w:tcBorders>
              <w:top w:val="single" w:sz="18" w:space="0" w:color="632423"/>
              <w:bottom w:val="single" w:sz="18" w:space="0" w:color="632423"/>
            </w:tcBorders>
            <w:shd w:val="clear" w:color="auto" w:fill="auto"/>
          </w:tcPr>
          <w:p w14:paraId="22003C48" w14:textId="77777777" w:rsidR="007371C6" w:rsidRPr="00F06E45" w:rsidRDefault="007371C6" w:rsidP="00F06E45">
            <w:pPr>
              <w:ind w:left="-108"/>
              <w:rPr>
                <w:rFonts w:ascii="Calibri" w:eastAsia="Calibri" w:hAnsi="Calibri" w:cs="Times New Roman"/>
                <w:b/>
                <w:sz w:val="18"/>
                <w:szCs w:val="18"/>
              </w:rPr>
            </w:pPr>
          </w:p>
        </w:tc>
        <w:tc>
          <w:tcPr>
            <w:tcW w:w="709" w:type="dxa"/>
            <w:tcBorders>
              <w:top w:val="single" w:sz="18" w:space="0" w:color="632423"/>
              <w:bottom w:val="single" w:sz="18" w:space="0" w:color="632423"/>
            </w:tcBorders>
            <w:shd w:val="clear" w:color="auto" w:fill="auto"/>
          </w:tcPr>
          <w:p w14:paraId="7E15594A" w14:textId="77777777" w:rsidR="007371C6" w:rsidRPr="00F06E45" w:rsidRDefault="007371C6" w:rsidP="00F06E45">
            <w:pPr>
              <w:ind w:left="-108"/>
              <w:rPr>
                <w:rFonts w:ascii="Calibri" w:eastAsia="Calibri" w:hAnsi="Calibri" w:cs="Times New Roman"/>
                <w:b/>
                <w:sz w:val="18"/>
                <w:szCs w:val="18"/>
              </w:rPr>
            </w:pPr>
          </w:p>
        </w:tc>
        <w:tc>
          <w:tcPr>
            <w:tcW w:w="5670" w:type="dxa"/>
            <w:tcBorders>
              <w:top w:val="single" w:sz="18" w:space="0" w:color="632423"/>
              <w:bottom w:val="single" w:sz="18" w:space="0" w:color="632423"/>
            </w:tcBorders>
            <w:shd w:val="clear" w:color="auto" w:fill="auto"/>
          </w:tcPr>
          <w:p w14:paraId="140F627F" w14:textId="77777777" w:rsidR="007371C6" w:rsidRPr="00F06E45" w:rsidRDefault="007371C6" w:rsidP="00F06E45">
            <w:pPr>
              <w:ind w:left="-108"/>
              <w:rPr>
                <w:rFonts w:ascii="Calibri" w:eastAsia="Calibri" w:hAnsi="Calibri" w:cs="Times New Roman"/>
                <w:b/>
                <w:sz w:val="18"/>
                <w:szCs w:val="18"/>
              </w:rPr>
            </w:pPr>
          </w:p>
        </w:tc>
      </w:tr>
      <w:tr w:rsidR="007371C6" w:rsidRPr="00F06E45" w14:paraId="67BBD45C" w14:textId="77777777" w:rsidTr="00063500">
        <w:trPr>
          <w:trHeight w:val="195"/>
        </w:trPr>
        <w:tc>
          <w:tcPr>
            <w:tcW w:w="1276" w:type="dxa"/>
            <w:tcBorders>
              <w:top w:val="single" w:sz="18" w:space="0" w:color="632423"/>
            </w:tcBorders>
            <w:shd w:val="clear" w:color="auto" w:fill="auto"/>
          </w:tcPr>
          <w:p w14:paraId="67F4960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632423"/>
            </w:tcBorders>
            <w:shd w:val="clear" w:color="auto" w:fill="auto"/>
          </w:tcPr>
          <w:p w14:paraId="2D2BD7F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tcBorders>
              <w:top w:val="single" w:sz="18" w:space="0" w:color="632423"/>
            </w:tcBorders>
            <w:shd w:val="clear" w:color="auto" w:fill="auto"/>
          </w:tcPr>
          <w:p w14:paraId="060907A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632423"/>
            </w:tcBorders>
            <w:shd w:val="clear" w:color="auto" w:fill="auto"/>
          </w:tcPr>
          <w:p w14:paraId="237690B8"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92" w:type="dxa"/>
            <w:tcBorders>
              <w:top w:val="single" w:sz="18" w:space="0" w:color="632423"/>
            </w:tcBorders>
            <w:shd w:val="clear" w:color="auto" w:fill="auto"/>
          </w:tcPr>
          <w:p w14:paraId="169AA588"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632423"/>
            </w:tcBorders>
            <w:shd w:val="clear" w:color="auto" w:fill="auto"/>
          </w:tcPr>
          <w:p w14:paraId="45CD1F3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tcBorders>
              <w:top w:val="single" w:sz="18" w:space="0" w:color="632423"/>
            </w:tcBorders>
            <w:shd w:val="clear" w:color="auto" w:fill="auto"/>
          </w:tcPr>
          <w:p w14:paraId="6933150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71712874" w14:textId="77777777" w:rsidTr="00063500">
        <w:trPr>
          <w:trHeight w:val="1161"/>
        </w:trPr>
        <w:tc>
          <w:tcPr>
            <w:tcW w:w="1276" w:type="dxa"/>
            <w:tcBorders>
              <w:bottom w:val="single" w:sz="18" w:space="0" w:color="632423"/>
            </w:tcBorders>
            <w:shd w:val="clear" w:color="auto" w:fill="auto"/>
          </w:tcPr>
          <w:p w14:paraId="2BCECD8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tc>
        <w:tc>
          <w:tcPr>
            <w:tcW w:w="2410" w:type="dxa"/>
            <w:tcBorders>
              <w:bottom w:val="single" w:sz="18" w:space="0" w:color="632423"/>
            </w:tcBorders>
            <w:shd w:val="clear" w:color="auto" w:fill="auto"/>
          </w:tcPr>
          <w:p w14:paraId="37B064E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Clean Energy Strategy (CES)</w:t>
            </w:r>
          </w:p>
        </w:tc>
        <w:tc>
          <w:tcPr>
            <w:tcW w:w="3685" w:type="dxa"/>
            <w:tcBorders>
              <w:bottom w:val="single" w:sz="18" w:space="0" w:color="632423"/>
            </w:tcBorders>
            <w:shd w:val="clear" w:color="auto" w:fill="auto"/>
          </w:tcPr>
          <w:p w14:paraId="051CB59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CES priorities have been implemented.    </w:t>
            </w:r>
          </w:p>
        </w:tc>
        <w:tc>
          <w:tcPr>
            <w:tcW w:w="851" w:type="dxa"/>
            <w:tcBorders>
              <w:bottom w:val="single" w:sz="18" w:space="0" w:color="632423"/>
            </w:tcBorders>
            <w:shd w:val="clear" w:color="auto" w:fill="auto"/>
          </w:tcPr>
          <w:p w14:paraId="396FEF8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Annually </w:t>
            </w:r>
          </w:p>
          <w:p w14:paraId="1644B6F5"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100%</w:t>
            </w:r>
          </w:p>
        </w:tc>
        <w:tc>
          <w:tcPr>
            <w:tcW w:w="992" w:type="dxa"/>
            <w:tcBorders>
              <w:bottom w:val="single" w:sz="18" w:space="0" w:color="632423"/>
            </w:tcBorders>
            <w:shd w:val="clear" w:color="auto" w:fill="auto"/>
          </w:tcPr>
          <w:p w14:paraId="652B8F3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53225CB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65%</w:t>
            </w:r>
          </w:p>
        </w:tc>
        <w:tc>
          <w:tcPr>
            <w:tcW w:w="709" w:type="dxa"/>
            <w:tcBorders>
              <w:bottom w:val="single" w:sz="18" w:space="0" w:color="632423"/>
            </w:tcBorders>
            <w:shd w:val="clear" w:color="auto" w:fill="auto"/>
          </w:tcPr>
          <w:p w14:paraId="684BBE9B"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2272" behindDoc="1" locked="0" layoutInCell="1" allowOverlap="1" wp14:anchorId="7EA0CBF6" wp14:editId="79BD85CA">
                  <wp:simplePos x="0" y="0"/>
                  <wp:positionH relativeFrom="column">
                    <wp:posOffset>2540</wp:posOffset>
                  </wp:positionH>
                  <wp:positionV relativeFrom="paragraph">
                    <wp:posOffset>132715</wp:posOffset>
                  </wp:positionV>
                  <wp:extent cx="221615" cy="158115"/>
                  <wp:effectExtent l="0" t="0" r="6985" b="0"/>
                  <wp:wrapTight wrapText="bothSides">
                    <wp:wrapPolygon edited="0">
                      <wp:start x="0" y="0"/>
                      <wp:lineTo x="0" y="18217"/>
                      <wp:lineTo x="20424" y="18217"/>
                      <wp:lineTo x="2042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Borders>
              <w:bottom w:val="single" w:sz="18" w:space="0" w:color="632423"/>
            </w:tcBorders>
            <w:shd w:val="clear" w:color="auto" w:fill="auto"/>
          </w:tcPr>
          <w:p w14:paraId="3CDC304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The Clean Energy Strategy and implementation plan continues to be on track, and has delivered continued cost savings through the transition of select Council assets to the contestable electricity market, which over the last quarter, has saved Council $78,006 (does not include the cost savings for the month of September). In addition, numerous energy efficiency actions and initiatives have been completed at the Bundaberg Airport, and the draft tender documentation for the proposed solar systems on select Council facilities has been finalised.</w:t>
            </w:r>
          </w:p>
          <w:p w14:paraId="6633EF53" w14:textId="77777777" w:rsidR="007371C6" w:rsidRPr="00F06E45" w:rsidRDefault="007371C6" w:rsidP="00F06E45"/>
        </w:tc>
      </w:tr>
    </w:tbl>
    <w:p w14:paraId="1D29DA29"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p>
    <w:p w14:paraId="69A31FA6"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sectPr w:rsidR="007371C6" w:rsidRPr="00F06E45" w:rsidSect="000F71F5">
          <w:pgSz w:w="16838" w:h="11906" w:orient="landscape"/>
          <w:pgMar w:top="0" w:right="678" w:bottom="709" w:left="567" w:header="708" w:footer="173" w:gutter="0"/>
          <w:cols w:space="708"/>
          <w:titlePg/>
          <w:docGrid w:linePitch="360"/>
        </w:sectPr>
      </w:pPr>
    </w:p>
    <w:p w14:paraId="32020B75" w14:textId="77777777" w:rsidR="007371C6" w:rsidRPr="00F06E45" w:rsidRDefault="007371C6" w:rsidP="00F06E45">
      <w:pPr>
        <w:spacing w:after="200" w:line="276" w:lineRule="auto"/>
        <w:rPr>
          <w:rFonts w:ascii="Times New Roman" w:eastAsia="Calibri" w:hAnsi="Times New Roman" w:cs="Times New Roman"/>
          <w:b/>
          <w:i/>
          <w:color w:val="632423"/>
          <w:sz w:val="28"/>
          <w:szCs w:val="28"/>
        </w:rPr>
      </w:pPr>
    </w:p>
    <w:p w14:paraId="137E4D6A" w14:textId="77777777" w:rsidR="007371C6" w:rsidRPr="00F06E45" w:rsidRDefault="007371C6" w:rsidP="00F06E45">
      <w:pPr>
        <w:spacing w:after="200" w:line="276" w:lineRule="auto"/>
        <w:rPr>
          <w:rFonts w:ascii="Calibri" w:eastAsia="Calibri" w:hAnsi="Calibri" w:cs="Times New Roman"/>
          <w:sz w:val="44"/>
          <w:szCs w:val="44"/>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rPr>
        <w:t xml:space="preserve">responsive, cohesive, sustainable, ethical and accountable </w:t>
      </w:r>
    </w:p>
    <w:tbl>
      <w:tblPr>
        <w:tblStyle w:val="TableGrid1"/>
        <w:tblpPr w:leftFromText="180" w:rightFromText="180" w:vertAnchor="text" w:horzAnchor="margin" w:tblpY="114"/>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410"/>
        <w:gridCol w:w="3714"/>
        <w:gridCol w:w="839"/>
        <w:gridCol w:w="975"/>
        <w:gridCol w:w="709"/>
        <w:gridCol w:w="2250"/>
        <w:gridCol w:w="3420"/>
      </w:tblGrid>
      <w:tr w:rsidR="007371C6" w:rsidRPr="00F06E45" w14:paraId="356AEC0D" w14:textId="77777777" w:rsidTr="00063500">
        <w:trPr>
          <w:trHeight w:val="237"/>
        </w:trPr>
        <w:tc>
          <w:tcPr>
            <w:tcW w:w="15593" w:type="dxa"/>
            <w:gridSpan w:val="8"/>
            <w:tcBorders>
              <w:top w:val="single" w:sz="18" w:space="0" w:color="365F91"/>
              <w:bottom w:val="single" w:sz="18" w:space="0" w:color="365F91"/>
            </w:tcBorders>
            <w:shd w:val="clear" w:color="auto" w:fill="548DD4"/>
          </w:tcPr>
          <w:p w14:paraId="6F6CA10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4.1  Listening and communicating</w:t>
            </w:r>
          </w:p>
        </w:tc>
      </w:tr>
      <w:tr w:rsidR="007371C6" w:rsidRPr="00F06E45" w14:paraId="4A1FB974" w14:textId="77777777" w:rsidTr="00063500">
        <w:trPr>
          <w:trHeight w:val="189"/>
        </w:trPr>
        <w:tc>
          <w:tcPr>
            <w:tcW w:w="7400" w:type="dxa"/>
            <w:gridSpan w:val="3"/>
            <w:tcBorders>
              <w:top w:val="single" w:sz="18" w:space="0" w:color="365F91"/>
              <w:bottom w:val="single" w:sz="18" w:space="0" w:color="365F91"/>
            </w:tcBorders>
          </w:tcPr>
          <w:p w14:paraId="61EE8C7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4.1.2 Proactively seek community engagement within the community</w:t>
            </w:r>
          </w:p>
        </w:tc>
        <w:tc>
          <w:tcPr>
            <w:tcW w:w="839" w:type="dxa"/>
            <w:tcBorders>
              <w:top w:val="single" w:sz="18" w:space="0" w:color="365F91"/>
              <w:bottom w:val="single" w:sz="18" w:space="0" w:color="365F91"/>
            </w:tcBorders>
          </w:tcPr>
          <w:p w14:paraId="178F4743" w14:textId="77777777" w:rsidR="007371C6" w:rsidRPr="00F06E45" w:rsidRDefault="007371C6" w:rsidP="00F06E45">
            <w:pPr>
              <w:ind w:left="-108"/>
              <w:rPr>
                <w:rFonts w:ascii="Calibri" w:eastAsia="Calibri" w:hAnsi="Calibri" w:cs="Times New Roman"/>
                <w:b/>
                <w:sz w:val="18"/>
                <w:szCs w:val="18"/>
              </w:rPr>
            </w:pPr>
          </w:p>
        </w:tc>
        <w:tc>
          <w:tcPr>
            <w:tcW w:w="975" w:type="dxa"/>
            <w:tcBorders>
              <w:top w:val="single" w:sz="18" w:space="0" w:color="365F91"/>
              <w:bottom w:val="single" w:sz="18" w:space="0" w:color="365F91"/>
            </w:tcBorders>
          </w:tcPr>
          <w:p w14:paraId="6EAD9840" w14:textId="77777777" w:rsidR="007371C6" w:rsidRPr="00F06E45" w:rsidRDefault="007371C6" w:rsidP="00F06E45">
            <w:pPr>
              <w:ind w:left="-108"/>
              <w:rPr>
                <w:rFonts w:ascii="Calibri" w:eastAsia="Calibri" w:hAnsi="Calibri" w:cs="Times New Roman"/>
                <w:b/>
                <w:sz w:val="18"/>
                <w:szCs w:val="18"/>
              </w:rPr>
            </w:pPr>
          </w:p>
        </w:tc>
        <w:tc>
          <w:tcPr>
            <w:tcW w:w="2959" w:type="dxa"/>
            <w:gridSpan w:val="2"/>
            <w:tcBorders>
              <w:top w:val="single" w:sz="18" w:space="0" w:color="365F91"/>
              <w:bottom w:val="single" w:sz="18" w:space="0" w:color="365F91"/>
            </w:tcBorders>
          </w:tcPr>
          <w:p w14:paraId="14B6B0F6" w14:textId="77777777" w:rsidR="007371C6" w:rsidRPr="00F06E45" w:rsidRDefault="007371C6" w:rsidP="00F06E45">
            <w:pPr>
              <w:ind w:left="-108"/>
              <w:rPr>
                <w:rFonts w:ascii="Calibri" w:eastAsia="Calibri" w:hAnsi="Calibri" w:cs="Times New Roman"/>
                <w:b/>
                <w:sz w:val="18"/>
                <w:szCs w:val="18"/>
              </w:rPr>
            </w:pPr>
          </w:p>
        </w:tc>
        <w:tc>
          <w:tcPr>
            <w:tcW w:w="3420" w:type="dxa"/>
            <w:tcBorders>
              <w:top w:val="single" w:sz="18" w:space="0" w:color="365F91"/>
              <w:bottom w:val="single" w:sz="18" w:space="0" w:color="365F91"/>
            </w:tcBorders>
          </w:tcPr>
          <w:p w14:paraId="3FAF7B73" w14:textId="77777777" w:rsidR="007371C6" w:rsidRPr="00F06E45" w:rsidRDefault="007371C6" w:rsidP="00F06E45">
            <w:pPr>
              <w:ind w:left="-108"/>
              <w:rPr>
                <w:rFonts w:ascii="Calibri" w:eastAsia="Calibri" w:hAnsi="Calibri" w:cs="Times New Roman"/>
                <w:b/>
                <w:sz w:val="18"/>
                <w:szCs w:val="18"/>
              </w:rPr>
            </w:pPr>
          </w:p>
        </w:tc>
      </w:tr>
      <w:tr w:rsidR="007371C6" w:rsidRPr="00F06E45" w14:paraId="28C6FBEB" w14:textId="77777777" w:rsidTr="00063500">
        <w:trPr>
          <w:trHeight w:val="189"/>
        </w:trPr>
        <w:tc>
          <w:tcPr>
            <w:tcW w:w="1276" w:type="dxa"/>
          </w:tcPr>
          <w:p w14:paraId="3E1A665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Pr>
          <w:p w14:paraId="15D4F13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4" w:type="dxa"/>
            <w:tcBorders>
              <w:top w:val="single" w:sz="18" w:space="0" w:color="365F91"/>
              <w:left w:val="nil"/>
            </w:tcBorders>
          </w:tcPr>
          <w:p w14:paraId="2536D47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365F91"/>
            </w:tcBorders>
          </w:tcPr>
          <w:p w14:paraId="43820BB6"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5" w:type="dxa"/>
            <w:tcBorders>
              <w:top w:val="single" w:sz="18" w:space="0" w:color="365F91"/>
            </w:tcBorders>
          </w:tcPr>
          <w:p w14:paraId="6F08123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65F91"/>
            </w:tcBorders>
          </w:tcPr>
          <w:p w14:paraId="23AFC4AA"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tcPr>
          <w:p w14:paraId="29186AD3"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D5E79C8" w14:textId="77777777" w:rsidTr="00063500">
        <w:trPr>
          <w:trHeight w:val="1090"/>
        </w:trPr>
        <w:tc>
          <w:tcPr>
            <w:tcW w:w="1276" w:type="dxa"/>
            <w:shd w:val="clear" w:color="auto" w:fill="auto"/>
          </w:tcPr>
          <w:p w14:paraId="74BB22F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Stakeholder Engagement </w:t>
            </w:r>
          </w:p>
        </w:tc>
        <w:tc>
          <w:tcPr>
            <w:tcW w:w="2410" w:type="dxa"/>
            <w:shd w:val="clear" w:color="auto" w:fill="auto"/>
          </w:tcPr>
          <w:p w14:paraId="4A3A1BB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Social Media Engagement: Community engagement through social media platforms </w:t>
            </w:r>
          </w:p>
        </w:tc>
        <w:tc>
          <w:tcPr>
            <w:tcW w:w="3714" w:type="dxa"/>
            <w:tcBorders>
              <w:bottom w:val="single" w:sz="18" w:space="0" w:color="365F91"/>
            </w:tcBorders>
            <w:shd w:val="clear" w:color="auto" w:fill="auto"/>
          </w:tcPr>
          <w:p w14:paraId="324683E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Stakeholder Engagement: Social Media Engagement: Community engagement through social media platforms: Number of views -Twitter, Facebook and YouTube.</w:t>
            </w:r>
          </w:p>
        </w:tc>
        <w:tc>
          <w:tcPr>
            <w:tcW w:w="839" w:type="dxa"/>
            <w:tcBorders>
              <w:bottom w:val="single" w:sz="18" w:space="0" w:color="365F91"/>
            </w:tcBorders>
            <w:shd w:val="clear" w:color="auto" w:fill="auto"/>
          </w:tcPr>
          <w:p w14:paraId="563F7D9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5CC15AE0"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250,000</w:t>
            </w:r>
          </w:p>
        </w:tc>
        <w:tc>
          <w:tcPr>
            <w:tcW w:w="975" w:type="dxa"/>
            <w:tcBorders>
              <w:bottom w:val="single" w:sz="18" w:space="0" w:color="365F91"/>
            </w:tcBorders>
            <w:shd w:val="clear" w:color="auto" w:fill="auto"/>
          </w:tcPr>
          <w:p w14:paraId="00C8217D" w14:textId="77777777" w:rsidR="007371C6" w:rsidRPr="00F06E45" w:rsidRDefault="007371C6" w:rsidP="00F06E45">
            <w:pPr>
              <w:rPr>
                <w:rFonts w:ascii="Calibri" w:eastAsia="Calibri" w:hAnsi="Calibri" w:cs="Times New Roman"/>
                <w:sz w:val="18"/>
                <w:szCs w:val="18"/>
              </w:rPr>
            </w:pPr>
          </w:p>
          <w:p w14:paraId="18B9714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439,377</w:t>
            </w:r>
          </w:p>
        </w:tc>
        <w:tc>
          <w:tcPr>
            <w:tcW w:w="709" w:type="dxa"/>
            <w:tcBorders>
              <w:bottom w:val="single" w:sz="18" w:space="0" w:color="365F91"/>
            </w:tcBorders>
            <w:shd w:val="clear" w:color="auto" w:fill="auto"/>
          </w:tcPr>
          <w:p w14:paraId="1D3BABD4"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4320" behindDoc="1" locked="0" layoutInCell="1" allowOverlap="1" wp14:anchorId="76C28619" wp14:editId="1F9F66B1">
                  <wp:simplePos x="0" y="0"/>
                  <wp:positionH relativeFrom="column">
                    <wp:posOffset>-635</wp:posOffset>
                  </wp:positionH>
                  <wp:positionV relativeFrom="paragraph">
                    <wp:posOffset>126365</wp:posOffset>
                  </wp:positionV>
                  <wp:extent cx="221615" cy="158115"/>
                  <wp:effectExtent l="0" t="0" r="6985" b="0"/>
                  <wp:wrapTight wrapText="bothSides">
                    <wp:wrapPolygon edited="0">
                      <wp:start x="0" y="0"/>
                      <wp:lineTo x="0" y="18217"/>
                      <wp:lineTo x="20424" y="18217"/>
                      <wp:lineTo x="204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365F91"/>
            </w:tcBorders>
            <w:shd w:val="clear" w:color="auto" w:fill="auto"/>
          </w:tcPr>
          <w:p w14:paraId="153BACB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Engagement through social media platforms continues to be high, with trialled video content achieving exceptionally high interaction and reach. The BRC Promotional Video, which was launched 14 September, received 18,090 views on Facebook and 4,015 views on YouTube. </w:t>
            </w:r>
          </w:p>
        </w:tc>
      </w:tr>
      <w:tr w:rsidR="007371C6" w:rsidRPr="00F06E45" w14:paraId="6DD91B46" w14:textId="77777777" w:rsidTr="00063500">
        <w:trPr>
          <w:trHeight w:val="237"/>
        </w:trPr>
        <w:tc>
          <w:tcPr>
            <w:tcW w:w="7400" w:type="dxa"/>
            <w:gridSpan w:val="3"/>
            <w:tcBorders>
              <w:top w:val="single" w:sz="18" w:space="0" w:color="365F91"/>
              <w:bottom w:val="single" w:sz="18" w:space="0" w:color="365F91"/>
            </w:tcBorders>
            <w:shd w:val="clear" w:color="auto" w:fill="548DD4"/>
          </w:tcPr>
          <w:p w14:paraId="1C72C8CF"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4.2 Open and transparent leadership</w:t>
            </w:r>
          </w:p>
        </w:tc>
        <w:tc>
          <w:tcPr>
            <w:tcW w:w="839" w:type="dxa"/>
            <w:tcBorders>
              <w:top w:val="single" w:sz="18" w:space="0" w:color="365F91"/>
              <w:bottom w:val="single" w:sz="18" w:space="0" w:color="365F91"/>
            </w:tcBorders>
            <w:shd w:val="clear" w:color="auto" w:fill="548DD4"/>
          </w:tcPr>
          <w:p w14:paraId="7A8E728B" w14:textId="77777777" w:rsidR="007371C6" w:rsidRPr="00F06E45" w:rsidRDefault="007371C6" w:rsidP="00F06E45">
            <w:pPr>
              <w:rPr>
                <w:rFonts w:ascii="Calibri" w:eastAsia="Calibri" w:hAnsi="Calibri" w:cs="Times New Roman"/>
                <w:b/>
                <w:sz w:val="18"/>
                <w:szCs w:val="18"/>
              </w:rPr>
            </w:pPr>
          </w:p>
        </w:tc>
        <w:tc>
          <w:tcPr>
            <w:tcW w:w="975" w:type="dxa"/>
            <w:tcBorders>
              <w:top w:val="single" w:sz="18" w:space="0" w:color="365F91"/>
              <w:bottom w:val="single" w:sz="18" w:space="0" w:color="365F91"/>
            </w:tcBorders>
            <w:shd w:val="clear" w:color="auto" w:fill="548DD4"/>
          </w:tcPr>
          <w:p w14:paraId="45CD2FAD" w14:textId="77777777" w:rsidR="007371C6" w:rsidRPr="00F06E45" w:rsidRDefault="007371C6" w:rsidP="00F06E45">
            <w:pPr>
              <w:rPr>
                <w:rFonts w:ascii="Calibri" w:eastAsia="Calibri" w:hAnsi="Calibri" w:cs="Times New Roman"/>
                <w:b/>
                <w:sz w:val="18"/>
                <w:szCs w:val="18"/>
              </w:rPr>
            </w:pPr>
          </w:p>
        </w:tc>
        <w:tc>
          <w:tcPr>
            <w:tcW w:w="709" w:type="dxa"/>
            <w:tcBorders>
              <w:top w:val="single" w:sz="18" w:space="0" w:color="365F91"/>
              <w:bottom w:val="single" w:sz="18" w:space="0" w:color="365F91"/>
            </w:tcBorders>
            <w:shd w:val="clear" w:color="auto" w:fill="548DD4"/>
          </w:tcPr>
          <w:p w14:paraId="6BAAD4BD" w14:textId="77777777" w:rsidR="007371C6" w:rsidRPr="00F06E45" w:rsidRDefault="007371C6" w:rsidP="00F06E45">
            <w:pPr>
              <w:rPr>
                <w:rFonts w:ascii="Calibri" w:eastAsia="Calibri" w:hAnsi="Calibri" w:cs="Times New Roman"/>
                <w:b/>
                <w:sz w:val="18"/>
                <w:szCs w:val="18"/>
              </w:rPr>
            </w:pPr>
          </w:p>
        </w:tc>
        <w:tc>
          <w:tcPr>
            <w:tcW w:w="5670" w:type="dxa"/>
            <w:gridSpan w:val="2"/>
            <w:tcBorders>
              <w:top w:val="single" w:sz="18" w:space="0" w:color="365F91"/>
              <w:bottom w:val="single" w:sz="18" w:space="0" w:color="365F91"/>
            </w:tcBorders>
            <w:shd w:val="clear" w:color="auto" w:fill="548DD4"/>
          </w:tcPr>
          <w:p w14:paraId="13B04F26" w14:textId="77777777" w:rsidR="007371C6" w:rsidRPr="00F06E45" w:rsidRDefault="007371C6" w:rsidP="00F06E45">
            <w:pPr>
              <w:rPr>
                <w:rFonts w:ascii="Calibri" w:eastAsia="Calibri" w:hAnsi="Calibri" w:cs="Times New Roman"/>
                <w:b/>
                <w:sz w:val="18"/>
                <w:szCs w:val="18"/>
              </w:rPr>
            </w:pPr>
          </w:p>
        </w:tc>
      </w:tr>
      <w:tr w:rsidR="007371C6" w:rsidRPr="00F06E45" w14:paraId="0FAB7C24" w14:textId="77777777" w:rsidTr="00063500">
        <w:trPr>
          <w:trHeight w:val="189"/>
        </w:trPr>
        <w:tc>
          <w:tcPr>
            <w:tcW w:w="7400" w:type="dxa"/>
            <w:gridSpan w:val="3"/>
            <w:tcBorders>
              <w:top w:val="single" w:sz="18" w:space="0" w:color="365F91"/>
              <w:bottom w:val="single" w:sz="18" w:space="0" w:color="365F91"/>
            </w:tcBorders>
          </w:tcPr>
          <w:p w14:paraId="3CF84EA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4.2.2 Support an open and accountable governance framework</w:t>
            </w:r>
          </w:p>
        </w:tc>
        <w:tc>
          <w:tcPr>
            <w:tcW w:w="839" w:type="dxa"/>
            <w:tcBorders>
              <w:top w:val="single" w:sz="18" w:space="0" w:color="365F91"/>
              <w:bottom w:val="single" w:sz="18" w:space="0" w:color="365F91"/>
            </w:tcBorders>
          </w:tcPr>
          <w:p w14:paraId="1CEE512F" w14:textId="77777777" w:rsidR="007371C6" w:rsidRPr="00F06E45" w:rsidRDefault="007371C6" w:rsidP="00F06E45">
            <w:pPr>
              <w:ind w:left="-108"/>
              <w:rPr>
                <w:rFonts w:ascii="Calibri" w:eastAsia="Calibri" w:hAnsi="Calibri" w:cs="Times New Roman"/>
                <w:b/>
                <w:sz w:val="18"/>
                <w:szCs w:val="18"/>
              </w:rPr>
            </w:pPr>
          </w:p>
        </w:tc>
        <w:tc>
          <w:tcPr>
            <w:tcW w:w="975" w:type="dxa"/>
            <w:tcBorders>
              <w:top w:val="single" w:sz="18" w:space="0" w:color="365F91"/>
              <w:bottom w:val="single" w:sz="18" w:space="0" w:color="365F91"/>
            </w:tcBorders>
          </w:tcPr>
          <w:p w14:paraId="7DAD3CDB" w14:textId="77777777" w:rsidR="007371C6" w:rsidRPr="00F06E45" w:rsidRDefault="007371C6" w:rsidP="00F06E45">
            <w:pPr>
              <w:ind w:left="-108"/>
              <w:rPr>
                <w:rFonts w:ascii="Calibri" w:eastAsia="Calibri" w:hAnsi="Calibri" w:cs="Times New Roman"/>
                <w:b/>
                <w:sz w:val="18"/>
                <w:szCs w:val="18"/>
              </w:rPr>
            </w:pPr>
          </w:p>
        </w:tc>
        <w:tc>
          <w:tcPr>
            <w:tcW w:w="709" w:type="dxa"/>
            <w:tcBorders>
              <w:top w:val="single" w:sz="18" w:space="0" w:color="365F91"/>
              <w:bottom w:val="single" w:sz="18" w:space="0" w:color="365F91"/>
            </w:tcBorders>
          </w:tcPr>
          <w:p w14:paraId="7A049404" w14:textId="77777777" w:rsidR="007371C6" w:rsidRPr="00F06E45" w:rsidRDefault="007371C6" w:rsidP="00F06E45">
            <w:pPr>
              <w:ind w:left="-108"/>
              <w:rPr>
                <w:rFonts w:ascii="Calibri" w:eastAsia="Calibri" w:hAnsi="Calibri" w:cs="Times New Roman"/>
                <w:b/>
                <w:sz w:val="18"/>
                <w:szCs w:val="18"/>
              </w:rPr>
            </w:pPr>
          </w:p>
        </w:tc>
        <w:tc>
          <w:tcPr>
            <w:tcW w:w="5670" w:type="dxa"/>
            <w:gridSpan w:val="2"/>
            <w:tcBorders>
              <w:top w:val="single" w:sz="18" w:space="0" w:color="365F91"/>
              <w:bottom w:val="single" w:sz="18" w:space="0" w:color="365F91"/>
            </w:tcBorders>
          </w:tcPr>
          <w:p w14:paraId="1CAF6467" w14:textId="77777777" w:rsidR="007371C6" w:rsidRPr="00F06E45" w:rsidRDefault="007371C6" w:rsidP="00F06E45">
            <w:pPr>
              <w:ind w:left="-108"/>
              <w:rPr>
                <w:rFonts w:ascii="Calibri" w:eastAsia="Calibri" w:hAnsi="Calibri" w:cs="Times New Roman"/>
                <w:b/>
                <w:sz w:val="18"/>
                <w:szCs w:val="18"/>
              </w:rPr>
            </w:pPr>
          </w:p>
        </w:tc>
      </w:tr>
      <w:tr w:rsidR="007371C6" w:rsidRPr="00F06E45" w14:paraId="2F359871" w14:textId="77777777" w:rsidTr="00063500">
        <w:trPr>
          <w:trHeight w:val="205"/>
        </w:trPr>
        <w:tc>
          <w:tcPr>
            <w:tcW w:w="1276" w:type="dxa"/>
            <w:tcBorders>
              <w:top w:val="single" w:sz="18" w:space="0" w:color="365F91"/>
            </w:tcBorders>
          </w:tcPr>
          <w:p w14:paraId="40C637D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365F91"/>
            </w:tcBorders>
          </w:tcPr>
          <w:p w14:paraId="0F57EC0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4" w:type="dxa"/>
            <w:tcBorders>
              <w:top w:val="single" w:sz="18" w:space="0" w:color="365F91"/>
            </w:tcBorders>
          </w:tcPr>
          <w:p w14:paraId="3B06644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365F91"/>
            </w:tcBorders>
          </w:tcPr>
          <w:p w14:paraId="7F41667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5" w:type="dxa"/>
            <w:tcBorders>
              <w:top w:val="single" w:sz="18" w:space="0" w:color="365F91"/>
            </w:tcBorders>
          </w:tcPr>
          <w:p w14:paraId="0B057E7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65F91"/>
            </w:tcBorders>
          </w:tcPr>
          <w:p w14:paraId="6CD13F6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tcPr>
          <w:p w14:paraId="327AE1C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1F9B1796" w14:textId="77777777" w:rsidTr="00063500">
        <w:trPr>
          <w:trHeight w:val="499"/>
        </w:trPr>
        <w:tc>
          <w:tcPr>
            <w:tcW w:w="1276" w:type="dxa"/>
            <w:shd w:val="clear" w:color="auto" w:fill="auto"/>
          </w:tcPr>
          <w:p w14:paraId="3626038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Internal Ombudsman</w:t>
            </w:r>
          </w:p>
        </w:tc>
        <w:tc>
          <w:tcPr>
            <w:tcW w:w="2410" w:type="dxa"/>
            <w:shd w:val="clear" w:color="auto" w:fill="auto"/>
          </w:tcPr>
          <w:p w14:paraId="6B6197F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Community Access</w:t>
            </w:r>
          </w:p>
        </w:tc>
        <w:tc>
          <w:tcPr>
            <w:tcW w:w="3714" w:type="dxa"/>
            <w:shd w:val="clear" w:color="auto" w:fill="auto"/>
          </w:tcPr>
          <w:p w14:paraId="1A100E1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Right to Information (RTI) and Privacy (IP) Applications received and processed within applicable timeframes.</w:t>
            </w:r>
          </w:p>
        </w:tc>
        <w:tc>
          <w:tcPr>
            <w:tcW w:w="839" w:type="dxa"/>
            <w:shd w:val="clear" w:color="auto" w:fill="auto"/>
          </w:tcPr>
          <w:p w14:paraId="74F85726" w14:textId="77777777" w:rsidR="007371C6" w:rsidRPr="00F06E45" w:rsidRDefault="007371C6" w:rsidP="00F06E45">
            <w:pPr>
              <w:pStyle w:val="NoSpacing"/>
              <w:rPr>
                <w:sz w:val="16"/>
                <w:szCs w:val="16"/>
              </w:rPr>
            </w:pPr>
            <w:r w:rsidRPr="00F06E45">
              <w:rPr>
                <w:sz w:val="16"/>
                <w:szCs w:val="16"/>
              </w:rPr>
              <w:t xml:space="preserve">Quarterly </w:t>
            </w:r>
          </w:p>
          <w:p w14:paraId="763436C0" w14:textId="77777777" w:rsidR="007371C6" w:rsidRPr="00F06E45" w:rsidRDefault="007371C6" w:rsidP="00F06E45">
            <w:pPr>
              <w:pStyle w:val="NoSpacing"/>
              <w:rPr>
                <w:sz w:val="18"/>
                <w:szCs w:val="18"/>
              </w:rPr>
            </w:pPr>
            <w:r w:rsidRPr="00F06E45">
              <w:rPr>
                <w:sz w:val="18"/>
                <w:szCs w:val="18"/>
              </w:rPr>
              <w:t>90%</w:t>
            </w:r>
          </w:p>
        </w:tc>
        <w:tc>
          <w:tcPr>
            <w:tcW w:w="975" w:type="dxa"/>
            <w:shd w:val="clear" w:color="auto" w:fill="auto"/>
          </w:tcPr>
          <w:p w14:paraId="4C255DF5" w14:textId="77777777" w:rsidR="007371C6" w:rsidRPr="00F06E45" w:rsidRDefault="007371C6" w:rsidP="00F06E45">
            <w:pPr>
              <w:pStyle w:val="NoSpacing"/>
              <w:rPr>
                <w:sz w:val="18"/>
                <w:szCs w:val="18"/>
              </w:rPr>
            </w:pPr>
          </w:p>
          <w:p w14:paraId="509263BC" w14:textId="77777777" w:rsidR="007371C6" w:rsidRPr="00F06E45" w:rsidRDefault="007371C6" w:rsidP="00F06E45">
            <w:pPr>
              <w:pStyle w:val="NoSpacing"/>
              <w:rPr>
                <w:sz w:val="18"/>
                <w:szCs w:val="18"/>
              </w:rPr>
            </w:pPr>
            <w:r w:rsidRPr="00F06E45">
              <w:rPr>
                <w:sz w:val="18"/>
                <w:szCs w:val="18"/>
              </w:rPr>
              <w:t>100%</w:t>
            </w:r>
          </w:p>
        </w:tc>
        <w:tc>
          <w:tcPr>
            <w:tcW w:w="709" w:type="dxa"/>
            <w:shd w:val="clear" w:color="auto" w:fill="auto"/>
          </w:tcPr>
          <w:p w14:paraId="1B08F412" w14:textId="77777777" w:rsidR="007371C6" w:rsidRPr="00F06E45" w:rsidRDefault="007371C6" w:rsidP="00F06E45">
            <w:pPr>
              <w:pStyle w:val="NoSpacing"/>
              <w:rPr>
                <w:sz w:val="16"/>
                <w:szCs w:val="16"/>
              </w:rPr>
            </w:pPr>
            <w:r w:rsidRPr="00F06E45">
              <w:rPr>
                <w:rFonts w:cs="Aharoni"/>
                <w:noProof/>
                <w:color w:val="1F4E79" w:themeColor="accent1" w:themeShade="80"/>
                <w:sz w:val="20"/>
                <w:szCs w:val="20"/>
                <w:lang w:eastAsia="en-AU"/>
              </w:rPr>
              <w:drawing>
                <wp:anchor distT="0" distB="0" distL="114300" distR="114300" simplePos="0" relativeHeight="251707392" behindDoc="1" locked="0" layoutInCell="1" allowOverlap="1" wp14:anchorId="413366A6" wp14:editId="6BF5B9AE">
                  <wp:simplePos x="0" y="0"/>
                  <wp:positionH relativeFrom="column">
                    <wp:posOffset>-635</wp:posOffset>
                  </wp:positionH>
                  <wp:positionV relativeFrom="paragraph">
                    <wp:posOffset>132715</wp:posOffset>
                  </wp:positionV>
                  <wp:extent cx="221615" cy="158115"/>
                  <wp:effectExtent l="0" t="0" r="6985" b="0"/>
                  <wp:wrapTight wrapText="bothSides">
                    <wp:wrapPolygon edited="0">
                      <wp:start x="0" y="0"/>
                      <wp:lineTo x="0" y="18217"/>
                      <wp:lineTo x="20424" y="18217"/>
                      <wp:lineTo x="2042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41882909" w14:textId="77777777" w:rsidR="007371C6" w:rsidRPr="00F06E45" w:rsidRDefault="007371C6" w:rsidP="00F06E45">
            <w:pPr>
              <w:pStyle w:val="NoSpacing"/>
              <w:rPr>
                <w:sz w:val="16"/>
                <w:szCs w:val="16"/>
              </w:rPr>
            </w:pPr>
            <w:r w:rsidRPr="00F06E45">
              <w:rPr>
                <w:sz w:val="16"/>
                <w:szCs w:val="16"/>
              </w:rPr>
              <w:t xml:space="preserve">1 </w:t>
            </w:r>
            <w:r w:rsidRPr="00F06E45">
              <w:rPr>
                <w:i/>
                <w:sz w:val="16"/>
                <w:szCs w:val="16"/>
              </w:rPr>
              <w:t>Information Privacy Application</w:t>
            </w:r>
            <w:r w:rsidRPr="00F06E45">
              <w:rPr>
                <w:sz w:val="16"/>
                <w:szCs w:val="16"/>
              </w:rPr>
              <w:t xml:space="preserve"> and 3 </w:t>
            </w:r>
            <w:r w:rsidRPr="00F06E45">
              <w:rPr>
                <w:i/>
                <w:sz w:val="16"/>
                <w:szCs w:val="16"/>
              </w:rPr>
              <w:t>Right to Information Applications</w:t>
            </w:r>
            <w:r w:rsidRPr="00F06E45">
              <w:rPr>
                <w:sz w:val="16"/>
                <w:szCs w:val="16"/>
              </w:rPr>
              <w:t xml:space="preserve"> were processed within timeframes during the quarter.</w:t>
            </w:r>
          </w:p>
        </w:tc>
      </w:tr>
      <w:tr w:rsidR="007371C6" w:rsidRPr="00F06E45" w14:paraId="4D5B5347" w14:textId="77777777" w:rsidTr="00063500">
        <w:trPr>
          <w:trHeight w:val="1106"/>
        </w:trPr>
        <w:tc>
          <w:tcPr>
            <w:tcW w:w="1276" w:type="dxa"/>
            <w:shd w:val="clear" w:color="auto" w:fill="auto"/>
          </w:tcPr>
          <w:p w14:paraId="1BE49CC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Internal Ombudsman</w:t>
            </w:r>
          </w:p>
          <w:p w14:paraId="2C5E41A0"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370862B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Governance: Administrative Reviews </w:t>
            </w:r>
          </w:p>
        </w:tc>
        <w:tc>
          <w:tcPr>
            <w:tcW w:w="3714" w:type="dxa"/>
            <w:shd w:val="clear" w:color="auto" w:fill="auto"/>
          </w:tcPr>
          <w:p w14:paraId="57C05DF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Administrative Reviews received and processed within applicable timeframes.</w:t>
            </w:r>
          </w:p>
        </w:tc>
        <w:tc>
          <w:tcPr>
            <w:tcW w:w="839" w:type="dxa"/>
            <w:shd w:val="clear" w:color="auto" w:fill="auto"/>
          </w:tcPr>
          <w:p w14:paraId="09E2029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3E89E1E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Trend</w:t>
            </w:r>
          </w:p>
        </w:tc>
        <w:tc>
          <w:tcPr>
            <w:tcW w:w="975" w:type="dxa"/>
            <w:shd w:val="clear" w:color="auto" w:fill="auto"/>
          </w:tcPr>
          <w:p w14:paraId="4AAC113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 5</w:t>
            </w:r>
          </w:p>
        </w:tc>
        <w:tc>
          <w:tcPr>
            <w:tcW w:w="709" w:type="dxa"/>
            <w:shd w:val="clear" w:color="auto" w:fill="auto"/>
          </w:tcPr>
          <w:p w14:paraId="461E4573"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6368" behindDoc="1" locked="0" layoutInCell="1" allowOverlap="1" wp14:anchorId="4CE13E13" wp14:editId="78172E19">
                  <wp:simplePos x="0" y="0"/>
                  <wp:positionH relativeFrom="column">
                    <wp:posOffset>-635</wp:posOffset>
                  </wp:positionH>
                  <wp:positionV relativeFrom="paragraph">
                    <wp:posOffset>130810</wp:posOffset>
                  </wp:positionV>
                  <wp:extent cx="221941" cy="221941"/>
                  <wp:effectExtent l="0" t="0" r="6985" b="6985"/>
                  <wp:wrapTight wrapText="bothSides">
                    <wp:wrapPolygon edited="0">
                      <wp:start x="0" y="0"/>
                      <wp:lineTo x="0" y="20424"/>
                      <wp:lineTo x="20424" y="20424"/>
                      <wp:lineTo x="204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41" cy="221941"/>
                          </a:xfrm>
                          <a:prstGeom prst="rect">
                            <a:avLst/>
                          </a:prstGeom>
                        </pic:spPr>
                      </pic:pic>
                    </a:graphicData>
                  </a:graphic>
                </wp:anchor>
              </w:drawing>
            </w:r>
          </w:p>
        </w:tc>
        <w:tc>
          <w:tcPr>
            <w:tcW w:w="5670" w:type="dxa"/>
            <w:gridSpan w:val="2"/>
            <w:shd w:val="clear" w:color="auto" w:fill="auto"/>
          </w:tcPr>
          <w:p w14:paraId="125B230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5 </w:t>
            </w:r>
            <w:r w:rsidRPr="00F06E45">
              <w:rPr>
                <w:rFonts w:ascii="Calibri" w:eastAsia="Calibri" w:hAnsi="Calibri" w:cs="Times New Roman"/>
                <w:i/>
                <w:sz w:val="16"/>
                <w:szCs w:val="16"/>
              </w:rPr>
              <w:t>Administrative Action Complaints</w:t>
            </w:r>
            <w:r w:rsidRPr="00F06E45">
              <w:rPr>
                <w:rFonts w:ascii="Calibri" w:eastAsia="Calibri" w:hAnsi="Calibri" w:cs="Times New Roman"/>
                <w:sz w:val="16"/>
                <w:szCs w:val="16"/>
              </w:rPr>
              <w:t xml:space="preserve"> were received and processed within timeframes, and one (1) Ombudsman referral was made, during the 1</w:t>
            </w:r>
            <w:r w:rsidRPr="00F06E45">
              <w:rPr>
                <w:rFonts w:ascii="Calibri" w:eastAsia="Calibri" w:hAnsi="Calibri" w:cs="Times New Roman"/>
                <w:sz w:val="16"/>
                <w:szCs w:val="16"/>
                <w:vertAlign w:val="superscript"/>
              </w:rPr>
              <w:t>st</w:t>
            </w:r>
            <w:r w:rsidRPr="00F06E45">
              <w:rPr>
                <w:rFonts w:ascii="Calibri" w:eastAsia="Calibri" w:hAnsi="Calibri" w:cs="Times New Roman"/>
                <w:sz w:val="16"/>
                <w:szCs w:val="16"/>
              </w:rPr>
              <w:t xml:space="preserve"> quarter.  By way of comparison, a total of 9 Administrative Action Complaints were processed during the 2014-2015 financial year.</w:t>
            </w:r>
          </w:p>
        </w:tc>
      </w:tr>
      <w:tr w:rsidR="007371C6" w:rsidRPr="00F06E45" w14:paraId="2D3888C6" w14:textId="77777777" w:rsidTr="00063500">
        <w:trPr>
          <w:trHeight w:val="702"/>
        </w:trPr>
        <w:tc>
          <w:tcPr>
            <w:tcW w:w="1276" w:type="dxa"/>
            <w:tcBorders>
              <w:bottom w:val="single" w:sz="18" w:space="0" w:color="365F91"/>
            </w:tcBorders>
            <w:shd w:val="clear" w:color="auto" w:fill="auto"/>
          </w:tcPr>
          <w:p w14:paraId="4396AA2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Internal Ombudsman</w:t>
            </w:r>
          </w:p>
        </w:tc>
        <w:tc>
          <w:tcPr>
            <w:tcW w:w="2410" w:type="dxa"/>
            <w:tcBorders>
              <w:bottom w:val="single" w:sz="18" w:space="0" w:color="365F91"/>
            </w:tcBorders>
            <w:shd w:val="clear" w:color="auto" w:fill="auto"/>
          </w:tcPr>
          <w:p w14:paraId="060B62F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Insurance</w:t>
            </w:r>
          </w:p>
        </w:tc>
        <w:tc>
          <w:tcPr>
            <w:tcW w:w="3714" w:type="dxa"/>
            <w:tcBorders>
              <w:bottom w:val="single" w:sz="18" w:space="0" w:color="365F91"/>
            </w:tcBorders>
            <w:shd w:val="clear" w:color="auto" w:fill="auto"/>
          </w:tcPr>
          <w:p w14:paraId="7DE005F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Insurance Claims processed within timeframes (General Insurance &amp; Public Liability Claims).</w:t>
            </w:r>
          </w:p>
        </w:tc>
        <w:tc>
          <w:tcPr>
            <w:tcW w:w="839" w:type="dxa"/>
            <w:tcBorders>
              <w:bottom w:val="single" w:sz="18" w:space="0" w:color="365F91"/>
            </w:tcBorders>
            <w:shd w:val="clear" w:color="auto" w:fill="auto"/>
          </w:tcPr>
          <w:p w14:paraId="165231C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6A4C266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975" w:type="dxa"/>
            <w:tcBorders>
              <w:bottom w:val="single" w:sz="18" w:space="0" w:color="365F91"/>
            </w:tcBorders>
            <w:shd w:val="clear" w:color="auto" w:fill="auto"/>
          </w:tcPr>
          <w:p w14:paraId="066A6DCE" w14:textId="77777777" w:rsidR="007371C6" w:rsidRPr="00F06E45" w:rsidRDefault="007371C6" w:rsidP="00F06E45">
            <w:pPr>
              <w:rPr>
                <w:rFonts w:ascii="Calibri" w:eastAsia="Calibri" w:hAnsi="Calibri" w:cs="Times New Roman"/>
                <w:sz w:val="16"/>
                <w:szCs w:val="16"/>
              </w:rPr>
            </w:pPr>
          </w:p>
          <w:p w14:paraId="3C031B4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9" w:type="dxa"/>
            <w:tcBorders>
              <w:bottom w:val="single" w:sz="18" w:space="0" w:color="365F91"/>
            </w:tcBorders>
            <w:shd w:val="clear" w:color="auto" w:fill="auto"/>
          </w:tcPr>
          <w:p w14:paraId="5E3A496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8416" behindDoc="1" locked="0" layoutInCell="1" allowOverlap="1" wp14:anchorId="2C507510" wp14:editId="25A7A395">
                  <wp:simplePos x="0" y="0"/>
                  <wp:positionH relativeFrom="column">
                    <wp:posOffset>-635</wp:posOffset>
                  </wp:positionH>
                  <wp:positionV relativeFrom="paragraph">
                    <wp:posOffset>130175</wp:posOffset>
                  </wp:positionV>
                  <wp:extent cx="221615" cy="158115"/>
                  <wp:effectExtent l="0" t="0" r="6985" b="0"/>
                  <wp:wrapTight wrapText="bothSides">
                    <wp:wrapPolygon edited="0">
                      <wp:start x="0" y="0"/>
                      <wp:lineTo x="0" y="18217"/>
                      <wp:lineTo x="20424" y="18217"/>
                      <wp:lineTo x="204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365F91"/>
            </w:tcBorders>
            <w:shd w:val="clear" w:color="auto" w:fill="auto"/>
          </w:tcPr>
          <w:p w14:paraId="7D1F1A1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1 </w:t>
            </w:r>
            <w:r w:rsidRPr="00F06E45">
              <w:rPr>
                <w:rFonts w:ascii="Calibri" w:eastAsia="Calibri" w:hAnsi="Calibri" w:cs="Times New Roman"/>
                <w:i/>
                <w:sz w:val="16"/>
                <w:szCs w:val="16"/>
              </w:rPr>
              <w:t>Industrial Special Risk</w:t>
            </w:r>
            <w:r w:rsidRPr="00F06E45">
              <w:rPr>
                <w:rFonts w:ascii="Calibri" w:eastAsia="Calibri" w:hAnsi="Calibri" w:cs="Times New Roman"/>
                <w:sz w:val="16"/>
                <w:szCs w:val="16"/>
              </w:rPr>
              <w:t xml:space="preserve">; 4 </w:t>
            </w:r>
            <w:r w:rsidRPr="00F06E45">
              <w:rPr>
                <w:rFonts w:ascii="Calibri" w:eastAsia="Calibri" w:hAnsi="Calibri" w:cs="Times New Roman"/>
                <w:i/>
                <w:sz w:val="16"/>
                <w:szCs w:val="16"/>
              </w:rPr>
              <w:t>Public Liability</w:t>
            </w:r>
            <w:r w:rsidRPr="00F06E45">
              <w:rPr>
                <w:rFonts w:ascii="Calibri" w:eastAsia="Calibri" w:hAnsi="Calibri" w:cs="Times New Roman"/>
                <w:sz w:val="16"/>
                <w:szCs w:val="16"/>
              </w:rPr>
              <w:t xml:space="preserve">; 8 </w:t>
            </w:r>
            <w:r w:rsidRPr="00F06E45">
              <w:rPr>
                <w:rFonts w:ascii="Calibri" w:eastAsia="Calibri" w:hAnsi="Calibri" w:cs="Times New Roman"/>
                <w:i/>
                <w:sz w:val="16"/>
                <w:szCs w:val="16"/>
              </w:rPr>
              <w:t>Motor Vehicle</w:t>
            </w:r>
            <w:r w:rsidRPr="00F06E45">
              <w:rPr>
                <w:rFonts w:ascii="Calibri" w:eastAsia="Calibri" w:hAnsi="Calibri" w:cs="Times New Roman"/>
                <w:sz w:val="16"/>
                <w:szCs w:val="16"/>
              </w:rPr>
              <w:t xml:space="preserve"> and 9 </w:t>
            </w:r>
            <w:r w:rsidRPr="00F06E45">
              <w:rPr>
                <w:rFonts w:ascii="Calibri" w:eastAsia="Calibri" w:hAnsi="Calibri" w:cs="Times New Roman"/>
                <w:i/>
                <w:sz w:val="16"/>
                <w:szCs w:val="16"/>
              </w:rPr>
              <w:t>Possible Internal Claims</w:t>
            </w:r>
            <w:r w:rsidRPr="00F06E45">
              <w:rPr>
                <w:rFonts w:ascii="Calibri" w:eastAsia="Calibri" w:hAnsi="Calibri" w:cs="Times New Roman"/>
                <w:sz w:val="16"/>
                <w:szCs w:val="16"/>
              </w:rPr>
              <w:t xml:space="preserve"> were received and processed within timeframes during the 1st quarter. </w:t>
            </w:r>
          </w:p>
        </w:tc>
      </w:tr>
      <w:tr w:rsidR="007371C6" w:rsidRPr="00F06E45" w14:paraId="7B039FD4" w14:textId="77777777" w:rsidTr="00063500">
        <w:trPr>
          <w:trHeight w:val="237"/>
        </w:trPr>
        <w:tc>
          <w:tcPr>
            <w:tcW w:w="15593" w:type="dxa"/>
            <w:gridSpan w:val="8"/>
            <w:tcBorders>
              <w:top w:val="single" w:sz="18" w:space="0" w:color="365F91"/>
              <w:bottom w:val="single" w:sz="18" w:space="0" w:color="365F91"/>
            </w:tcBorders>
            <w:shd w:val="clear" w:color="auto" w:fill="548DD4"/>
          </w:tcPr>
          <w:p w14:paraId="6CE3D231" w14:textId="77777777" w:rsidR="007371C6" w:rsidRPr="00F06E45" w:rsidRDefault="007371C6" w:rsidP="00F06E45">
            <w:pPr>
              <w:ind w:left="-108"/>
              <w:rPr>
                <w:rFonts w:ascii="Calibri" w:eastAsia="Calibri" w:hAnsi="Calibri" w:cs="Times New Roman"/>
                <w:sz w:val="20"/>
                <w:szCs w:val="20"/>
              </w:rPr>
            </w:pPr>
            <w:r w:rsidRPr="00F06E45">
              <w:rPr>
                <w:rFonts w:ascii="Calibri" w:eastAsia="Calibri" w:hAnsi="Calibri" w:cs="Times New Roman"/>
                <w:b/>
              </w:rPr>
              <w:t>Outcome 4.3 Strong regional advocacy</w:t>
            </w:r>
            <w:r w:rsidRPr="00F06E45">
              <w:rPr>
                <w:rFonts w:ascii="Calibri" w:eastAsia="Calibri" w:hAnsi="Calibri" w:cs="Times New Roman"/>
                <w:b/>
                <w:sz w:val="20"/>
                <w:szCs w:val="20"/>
              </w:rPr>
              <w:t xml:space="preserve"> </w:t>
            </w:r>
          </w:p>
        </w:tc>
      </w:tr>
      <w:tr w:rsidR="007371C6" w:rsidRPr="00F06E45" w14:paraId="00143DA6" w14:textId="77777777" w:rsidTr="00063500">
        <w:trPr>
          <w:trHeight w:val="189"/>
        </w:trPr>
        <w:tc>
          <w:tcPr>
            <w:tcW w:w="15593" w:type="dxa"/>
            <w:gridSpan w:val="8"/>
            <w:tcBorders>
              <w:top w:val="single" w:sz="18" w:space="0" w:color="365F91"/>
              <w:bottom w:val="single" w:sz="18" w:space="0" w:color="365F91"/>
            </w:tcBorders>
          </w:tcPr>
          <w:p w14:paraId="551775EF"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4.3.2 Represent and promote the interests of the community through key regional stakeholders </w:t>
            </w:r>
          </w:p>
        </w:tc>
      </w:tr>
      <w:tr w:rsidR="007371C6" w:rsidRPr="00F06E45" w14:paraId="1376AAF1" w14:textId="77777777" w:rsidTr="00063500">
        <w:trPr>
          <w:trHeight w:val="189"/>
        </w:trPr>
        <w:tc>
          <w:tcPr>
            <w:tcW w:w="1276" w:type="dxa"/>
            <w:tcBorders>
              <w:top w:val="single" w:sz="18" w:space="0" w:color="365F91"/>
            </w:tcBorders>
            <w:shd w:val="clear" w:color="auto" w:fill="auto"/>
          </w:tcPr>
          <w:p w14:paraId="238DCB6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365F91"/>
            </w:tcBorders>
            <w:shd w:val="clear" w:color="auto" w:fill="auto"/>
          </w:tcPr>
          <w:p w14:paraId="11C09D1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14" w:type="dxa"/>
            <w:tcBorders>
              <w:top w:val="single" w:sz="18" w:space="0" w:color="365F91"/>
            </w:tcBorders>
            <w:shd w:val="clear" w:color="auto" w:fill="auto"/>
          </w:tcPr>
          <w:p w14:paraId="2558243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tcBorders>
              <w:top w:val="single" w:sz="18" w:space="0" w:color="1F4E79" w:themeColor="accent1" w:themeShade="80"/>
            </w:tcBorders>
            <w:shd w:val="clear" w:color="auto" w:fill="auto"/>
          </w:tcPr>
          <w:p w14:paraId="41726B8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75" w:type="dxa"/>
            <w:tcBorders>
              <w:top w:val="single" w:sz="18" w:space="0" w:color="1F4E79" w:themeColor="accent1" w:themeShade="80"/>
            </w:tcBorders>
            <w:shd w:val="clear" w:color="auto" w:fill="auto"/>
          </w:tcPr>
          <w:p w14:paraId="5D933B08"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365F91"/>
              <w:left w:val="nil"/>
            </w:tcBorders>
          </w:tcPr>
          <w:p w14:paraId="744C95D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shd w:val="clear" w:color="auto" w:fill="auto"/>
          </w:tcPr>
          <w:p w14:paraId="391C730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19ABF186" w14:textId="77777777" w:rsidTr="00063500">
        <w:trPr>
          <w:trHeight w:val="284"/>
        </w:trPr>
        <w:tc>
          <w:tcPr>
            <w:tcW w:w="1276" w:type="dxa"/>
            <w:tcBorders>
              <w:bottom w:val="single" w:sz="18" w:space="0" w:color="1F4E79" w:themeColor="accent1" w:themeShade="80"/>
            </w:tcBorders>
            <w:shd w:val="clear" w:color="auto" w:fill="auto"/>
          </w:tcPr>
          <w:p w14:paraId="4A88A4A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Commercial Business &amp; Economic Development</w:t>
            </w:r>
          </w:p>
        </w:tc>
        <w:tc>
          <w:tcPr>
            <w:tcW w:w="2410" w:type="dxa"/>
            <w:tcBorders>
              <w:bottom w:val="single" w:sz="18" w:space="0" w:color="1F4E79" w:themeColor="accent1" w:themeShade="80"/>
            </w:tcBorders>
            <w:shd w:val="clear" w:color="auto" w:fill="auto"/>
          </w:tcPr>
          <w:p w14:paraId="7720C6D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Economic Development:  Networks &amp; Partnerships: Investment in business attraction</w:t>
            </w:r>
          </w:p>
        </w:tc>
        <w:tc>
          <w:tcPr>
            <w:tcW w:w="3714" w:type="dxa"/>
            <w:tcBorders>
              <w:bottom w:val="single" w:sz="18" w:space="0" w:color="1F4E79" w:themeColor="accent1" w:themeShade="80"/>
            </w:tcBorders>
            <w:shd w:val="clear" w:color="auto" w:fill="auto"/>
          </w:tcPr>
          <w:p w14:paraId="3F785CA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meetings held with key regional development agencies.</w:t>
            </w:r>
          </w:p>
        </w:tc>
        <w:tc>
          <w:tcPr>
            <w:tcW w:w="839" w:type="dxa"/>
            <w:tcBorders>
              <w:bottom w:val="single" w:sz="18" w:space="0" w:color="1F4E79" w:themeColor="accent1" w:themeShade="80"/>
            </w:tcBorders>
            <w:shd w:val="clear" w:color="auto" w:fill="auto"/>
          </w:tcPr>
          <w:p w14:paraId="0788326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0F01DC21"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5</w:t>
            </w:r>
          </w:p>
        </w:tc>
        <w:tc>
          <w:tcPr>
            <w:tcW w:w="975" w:type="dxa"/>
            <w:tcBorders>
              <w:bottom w:val="single" w:sz="18" w:space="0" w:color="1F4E79" w:themeColor="accent1" w:themeShade="80"/>
            </w:tcBorders>
            <w:shd w:val="clear" w:color="auto" w:fill="auto"/>
          </w:tcPr>
          <w:p w14:paraId="5566A17F" w14:textId="77777777" w:rsidR="007371C6" w:rsidRPr="00F06E45" w:rsidRDefault="007371C6" w:rsidP="00F06E45">
            <w:pPr>
              <w:rPr>
                <w:rFonts w:ascii="Calibri" w:eastAsia="Calibri" w:hAnsi="Calibri" w:cs="Times New Roman"/>
                <w:sz w:val="16"/>
                <w:szCs w:val="16"/>
              </w:rPr>
            </w:pPr>
          </w:p>
          <w:p w14:paraId="5D4E783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15</w:t>
            </w:r>
          </w:p>
        </w:tc>
        <w:tc>
          <w:tcPr>
            <w:tcW w:w="709" w:type="dxa"/>
            <w:tcBorders>
              <w:left w:val="nil"/>
              <w:bottom w:val="single" w:sz="18" w:space="0" w:color="1F4E79" w:themeColor="accent1" w:themeShade="80"/>
            </w:tcBorders>
            <w:shd w:val="clear" w:color="auto" w:fill="auto"/>
          </w:tcPr>
          <w:p w14:paraId="266722E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0464" behindDoc="1" locked="0" layoutInCell="1" allowOverlap="1" wp14:anchorId="2B3B4A85" wp14:editId="1CA69D6C">
                  <wp:simplePos x="0" y="0"/>
                  <wp:positionH relativeFrom="column">
                    <wp:posOffset>-635</wp:posOffset>
                  </wp:positionH>
                  <wp:positionV relativeFrom="paragraph">
                    <wp:posOffset>125095</wp:posOffset>
                  </wp:positionV>
                  <wp:extent cx="221615" cy="158115"/>
                  <wp:effectExtent l="0" t="0" r="6985" b="0"/>
                  <wp:wrapTight wrapText="bothSides">
                    <wp:wrapPolygon edited="0">
                      <wp:start x="0" y="0"/>
                      <wp:lineTo x="0" y="18217"/>
                      <wp:lineTo x="20424" y="18217"/>
                      <wp:lineTo x="2042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1F4E79" w:themeColor="accent1" w:themeShade="80"/>
            </w:tcBorders>
            <w:shd w:val="clear" w:color="auto" w:fill="auto"/>
          </w:tcPr>
          <w:p w14:paraId="5DB3165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w:t>
            </w:r>
            <w:r w:rsidRPr="00F06E45">
              <w:rPr>
                <w:rFonts w:ascii="Calibri" w:eastAsia="Calibri" w:hAnsi="Calibri" w:cs="Times New Roman"/>
                <w:i/>
                <w:sz w:val="16"/>
                <w:szCs w:val="16"/>
              </w:rPr>
              <w:t>Bundaberg Investment Zone 2020</w:t>
            </w:r>
            <w:r w:rsidRPr="00F06E45">
              <w:rPr>
                <w:rFonts w:ascii="Calibri" w:eastAsia="Calibri" w:hAnsi="Calibri" w:cs="Times New Roman"/>
                <w:sz w:val="16"/>
                <w:szCs w:val="16"/>
              </w:rPr>
              <w:t xml:space="preserve"> initiative resulted in a significant number of meetings being held to collaboratively develop projects with key regional development stakeholders.  The </w:t>
            </w:r>
            <w:r w:rsidRPr="00F06E45">
              <w:rPr>
                <w:rFonts w:ascii="Calibri" w:eastAsia="Calibri" w:hAnsi="Calibri" w:cs="Times New Roman"/>
                <w:i/>
                <w:sz w:val="16"/>
                <w:szCs w:val="16"/>
              </w:rPr>
              <w:t xml:space="preserve">Bundaberg Investment Zone 2020 </w:t>
            </w:r>
            <w:r w:rsidRPr="00F06E45">
              <w:rPr>
                <w:rFonts w:ascii="Calibri" w:eastAsia="Calibri" w:hAnsi="Calibri" w:cs="Times New Roman"/>
                <w:sz w:val="16"/>
                <w:szCs w:val="16"/>
              </w:rPr>
              <w:t xml:space="preserve">is a joint initiative with the Queensland Government that addresses several </w:t>
            </w:r>
            <w:r w:rsidRPr="00F06E45">
              <w:rPr>
                <w:rFonts w:ascii="Calibri" w:eastAsia="Calibri" w:hAnsi="Calibri" w:cs="Times New Roman"/>
                <w:i/>
                <w:sz w:val="16"/>
                <w:szCs w:val="16"/>
              </w:rPr>
              <w:t xml:space="preserve">BRC Economic Development Strategy </w:t>
            </w:r>
            <w:r w:rsidRPr="00F06E45">
              <w:rPr>
                <w:rFonts w:ascii="Calibri" w:eastAsia="Calibri" w:hAnsi="Calibri" w:cs="Times New Roman"/>
                <w:sz w:val="16"/>
                <w:szCs w:val="16"/>
              </w:rPr>
              <w:t xml:space="preserve">priorities.  </w:t>
            </w:r>
          </w:p>
          <w:p w14:paraId="3A6BFAD1" w14:textId="77777777" w:rsidR="007371C6" w:rsidRPr="00F06E45" w:rsidRDefault="007371C6" w:rsidP="00F06E45">
            <w:pPr>
              <w:rPr>
                <w:rFonts w:ascii="Calibri" w:eastAsia="Calibri" w:hAnsi="Calibri" w:cs="Times New Roman"/>
                <w:sz w:val="16"/>
                <w:szCs w:val="16"/>
              </w:rPr>
            </w:pPr>
          </w:p>
          <w:p w14:paraId="5B81F226" w14:textId="77777777" w:rsidR="007371C6" w:rsidRPr="00F06E45" w:rsidRDefault="007371C6" w:rsidP="00F06E45">
            <w:pPr>
              <w:rPr>
                <w:rFonts w:ascii="Calibri" w:eastAsia="Calibri" w:hAnsi="Calibri" w:cs="Times New Roman"/>
                <w:sz w:val="16"/>
                <w:szCs w:val="16"/>
              </w:rPr>
            </w:pPr>
          </w:p>
          <w:p w14:paraId="23338DEC" w14:textId="77777777" w:rsidR="007371C6" w:rsidRPr="00F06E45" w:rsidRDefault="007371C6" w:rsidP="00F06E45">
            <w:pPr>
              <w:rPr>
                <w:rFonts w:ascii="Tahoma" w:hAnsi="Tahoma" w:cs="Tahoma"/>
                <w:sz w:val="17"/>
                <w:szCs w:val="17"/>
              </w:rPr>
            </w:pPr>
            <w:r w:rsidRPr="00F06E45">
              <w:rPr>
                <w:rFonts w:ascii="Calibri" w:eastAsia="Calibri" w:hAnsi="Calibri" w:cs="Times New Roman"/>
                <w:sz w:val="16"/>
                <w:szCs w:val="16"/>
              </w:rPr>
              <w:t xml:space="preserve"> </w:t>
            </w:r>
          </w:p>
          <w:p w14:paraId="0BD862B7" w14:textId="77777777" w:rsidR="007371C6" w:rsidRPr="00F06E45" w:rsidRDefault="007371C6" w:rsidP="00F06E45">
            <w:pPr>
              <w:rPr>
                <w:rFonts w:ascii="Calibri" w:eastAsia="Calibri" w:hAnsi="Calibri" w:cs="Times New Roman"/>
                <w:sz w:val="16"/>
                <w:szCs w:val="16"/>
              </w:rPr>
            </w:pPr>
          </w:p>
          <w:p w14:paraId="074FC101" w14:textId="77777777" w:rsidR="007371C6" w:rsidRPr="00F06E45" w:rsidRDefault="007371C6" w:rsidP="00F06E45">
            <w:pPr>
              <w:rPr>
                <w:rFonts w:ascii="Calibri" w:eastAsia="Calibri" w:hAnsi="Calibri" w:cs="Times New Roman"/>
                <w:sz w:val="16"/>
                <w:szCs w:val="16"/>
              </w:rPr>
            </w:pPr>
          </w:p>
        </w:tc>
      </w:tr>
    </w:tbl>
    <w:p w14:paraId="745D50F5"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sectPr w:rsidR="007371C6" w:rsidRPr="00F06E45"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b/>
          <w:i/>
          <w:color w:val="215868"/>
          <w:sz w:val="32"/>
          <w:szCs w:val="32"/>
        </w:rPr>
        <w:t xml:space="preserve">  </w:t>
      </w:r>
    </w:p>
    <w:p w14:paraId="3AF7B872" w14:textId="77777777" w:rsidR="007371C6" w:rsidRPr="00F06E45" w:rsidRDefault="007371C6" w:rsidP="00F06E45">
      <w:pPr>
        <w:tabs>
          <w:tab w:val="left" w:pos="910"/>
        </w:tabs>
        <w:rPr>
          <w:rFonts w:ascii="Times New Roman" w:eastAsia="Calibri" w:hAnsi="Times New Roman" w:cs="Times New Roman"/>
          <w:sz w:val="32"/>
          <w:szCs w:val="32"/>
        </w:rPr>
      </w:pPr>
    </w:p>
    <w:tbl>
      <w:tblPr>
        <w:tblStyle w:val="TableGrid1"/>
        <w:tblpPr w:leftFromText="180" w:rightFromText="180" w:vertAnchor="text" w:horzAnchor="margin" w:tblpY="922"/>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07"/>
        <w:gridCol w:w="1903"/>
        <w:gridCol w:w="399"/>
        <w:gridCol w:w="3286"/>
        <w:gridCol w:w="105"/>
        <w:gridCol w:w="746"/>
        <w:gridCol w:w="93"/>
        <w:gridCol w:w="693"/>
        <w:gridCol w:w="64"/>
        <w:gridCol w:w="142"/>
        <w:gridCol w:w="709"/>
        <w:gridCol w:w="2297"/>
        <w:gridCol w:w="3373"/>
      </w:tblGrid>
      <w:tr w:rsidR="007371C6" w:rsidRPr="00F06E45" w14:paraId="5DD359C4" w14:textId="77777777" w:rsidTr="00063500">
        <w:trPr>
          <w:trHeight w:val="236"/>
        </w:trPr>
        <w:tc>
          <w:tcPr>
            <w:tcW w:w="15593" w:type="dxa"/>
            <w:gridSpan w:val="14"/>
            <w:tcBorders>
              <w:top w:val="single" w:sz="18" w:space="0" w:color="1F4E79" w:themeColor="accent1" w:themeShade="80"/>
              <w:bottom w:val="single" w:sz="18" w:space="0" w:color="1F4E79" w:themeColor="accent1" w:themeShade="80"/>
            </w:tcBorders>
            <w:shd w:val="clear" w:color="auto" w:fill="548DD4"/>
          </w:tcPr>
          <w:p w14:paraId="4C6BC78D" w14:textId="77777777" w:rsidR="007371C6" w:rsidRPr="00F06E45" w:rsidRDefault="007371C6" w:rsidP="00F06E45">
            <w:pPr>
              <w:ind w:left="-108"/>
              <w:rPr>
                <w:rFonts w:ascii="Calibri" w:eastAsia="Calibri" w:hAnsi="Calibri" w:cs="Times New Roman"/>
                <w:sz w:val="20"/>
                <w:szCs w:val="20"/>
              </w:rPr>
            </w:pPr>
            <w:r w:rsidRPr="00F06E45">
              <w:rPr>
                <w:rFonts w:ascii="Calibri" w:eastAsia="Calibri" w:hAnsi="Calibri" w:cs="Times New Roman"/>
                <w:b/>
              </w:rPr>
              <w:t>Outcome 4.3 Strong regional advocacy</w:t>
            </w:r>
            <w:r w:rsidRPr="00F06E45">
              <w:rPr>
                <w:rFonts w:ascii="Calibri" w:eastAsia="Calibri" w:hAnsi="Calibri" w:cs="Times New Roman"/>
                <w:b/>
                <w:sz w:val="20"/>
                <w:szCs w:val="20"/>
              </w:rPr>
              <w:t xml:space="preserve"> </w:t>
            </w:r>
          </w:p>
        </w:tc>
      </w:tr>
      <w:tr w:rsidR="007371C6" w:rsidRPr="00F06E45" w14:paraId="5BB728AE" w14:textId="77777777" w:rsidTr="00063500">
        <w:trPr>
          <w:trHeight w:val="188"/>
        </w:trPr>
        <w:tc>
          <w:tcPr>
            <w:tcW w:w="15593" w:type="dxa"/>
            <w:gridSpan w:val="14"/>
            <w:tcBorders>
              <w:top w:val="single" w:sz="18" w:space="0" w:color="1F4E79" w:themeColor="accent1" w:themeShade="80"/>
              <w:bottom w:val="single" w:sz="18" w:space="0" w:color="1F4E79" w:themeColor="accent1" w:themeShade="80"/>
            </w:tcBorders>
          </w:tcPr>
          <w:p w14:paraId="1027A37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4.3.2 Represent and promote the interests of the community through key regional stakeholders </w:t>
            </w:r>
          </w:p>
        </w:tc>
      </w:tr>
      <w:tr w:rsidR="007371C6" w:rsidRPr="00F06E45" w14:paraId="331267C2" w14:textId="77777777" w:rsidTr="00063500">
        <w:trPr>
          <w:trHeight w:val="188"/>
        </w:trPr>
        <w:tc>
          <w:tcPr>
            <w:tcW w:w="1276" w:type="dxa"/>
            <w:tcBorders>
              <w:top w:val="single" w:sz="18" w:space="0" w:color="1F4E79" w:themeColor="accent1" w:themeShade="80"/>
            </w:tcBorders>
          </w:tcPr>
          <w:p w14:paraId="1CA07F3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gridSpan w:val="2"/>
            <w:tcBorders>
              <w:top w:val="single" w:sz="18" w:space="0" w:color="1F4E79" w:themeColor="accent1" w:themeShade="80"/>
            </w:tcBorders>
          </w:tcPr>
          <w:p w14:paraId="543E33C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gridSpan w:val="2"/>
            <w:tcBorders>
              <w:top w:val="single" w:sz="18" w:space="0" w:color="1F4E79" w:themeColor="accent1" w:themeShade="80"/>
            </w:tcBorders>
          </w:tcPr>
          <w:p w14:paraId="71564E3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gridSpan w:val="2"/>
            <w:tcBorders>
              <w:top w:val="single" w:sz="18" w:space="0" w:color="1F4E79" w:themeColor="accent1" w:themeShade="80"/>
            </w:tcBorders>
          </w:tcPr>
          <w:p w14:paraId="1703486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992" w:type="dxa"/>
            <w:gridSpan w:val="4"/>
            <w:tcBorders>
              <w:top w:val="single" w:sz="18" w:space="0" w:color="1F4E79" w:themeColor="accent1" w:themeShade="80"/>
            </w:tcBorders>
          </w:tcPr>
          <w:p w14:paraId="73FE837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709" w:type="dxa"/>
            <w:tcBorders>
              <w:top w:val="single" w:sz="18" w:space="0" w:color="1F4E79" w:themeColor="accent1" w:themeShade="80"/>
            </w:tcBorders>
          </w:tcPr>
          <w:p w14:paraId="0607695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1F4E79" w:themeColor="accent1" w:themeShade="80"/>
            </w:tcBorders>
          </w:tcPr>
          <w:p w14:paraId="65601BAB"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C8576A1" w14:textId="77777777" w:rsidTr="00063500">
        <w:trPr>
          <w:trHeight w:val="1004"/>
        </w:trPr>
        <w:tc>
          <w:tcPr>
            <w:tcW w:w="1276" w:type="dxa"/>
            <w:shd w:val="clear" w:color="auto" w:fill="auto"/>
          </w:tcPr>
          <w:p w14:paraId="642341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Stakeholder Engagement</w:t>
            </w:r>
          </w:p>
        </w:tc>
        <w:tc>
          <w:tcPr>
            <w:tcW w:w="2410" w:type="dxa"/>
            <w:gridSpan w:val="2"/>
            <w:shd w:val="clear" w:color="auto" w:fill="auto"/>
          </w:tcPr>
          <w:p w14:paraId="37A3751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Media Communications:  Representing &amp; communicating the interests of regional stakeholders  </w:t>
            </w:r>
          </w:p>
        </w:tc>
        <w:tc>
          <w:tcPr>
            <w:tcW w:w="3685" w:type="dxa"/>
            <w:gridSpan w:val="2"/>
            <w:shd w:val="clear" w:color="auto" w:fill="auto"/>
          </w:tcPr>
          <w:p w14:paraId="14CF9BB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media releases including releases, statements and web-site posts.</w:t>
            </w:r>
          </w:p>
        </w:tc>
        <w:tc>
          <w:tcPr>
            <w:tcW w:w="851" w:type="dxa"/>
            <w:gridSpan w:val="2"/>
            <w:shd w:val="clear" w:color="auto" w:fill="auto"/>
          </w:tcPr>
          <w:p w14:paraId="7B969E3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5C3F934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150</w:t>
            </w:r>
          </w:p>
        </w:tc>
        <w:tc>
          <w:tcPr>
            <w:tcW w:w="992" w:type="dxa"/>
            <w:gridSpan w:val="4"/>
            <w:shd w:val="clear" w:color="auto" w:fill="auto"/>
          </w:tcPr>
          <w:p w14:paraId="0E0287D4" w14:textId="77777777" w:rsidR="007371C6" w:rsidRPr="00F06E45" w:rsidRDefault="007371C6" w:rsidP="00F06E45">
            <w:pPr>
              <w:rPr>
                <w:rFonts w:ascii="Calibri" w:eastAsia="Calibri" w:hAnsi="Calibri" w:cs="Times New Roman"/>
                <w:sz w:val="16"/>
                <w:szCs w:val="16"/>
              </w:rPr>
            </w:pPr>
          </w:p>
          <w:p w14:paraId="122192D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204</w:t>
            </w:r>
          </w:p>
        </w:tc>
        <w:tc>
          <w:tcPr>
            <w:tcW w:w="709" w:type="dxa"/>
            <w:tcBorders>
              <w:left w:val="nil"/>
            </w:tcBorders>
            <w:shd w:val="clear" w:color="auto" w:fill="auto"/>
          </w:tcPr>
          <w:p w14:paraId="2D0B8FE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 </w:t>
            </w:r>
            <w:r w:rsidRPr="00F06E45">
              <w:rPr>
                <w:rFonts w:cs="Aharoni"/>
                <w:noProof/>
                <w:color w:val="1F4E79" w:themeColor="accent1" w:themeShade="80"/>
                <w:sz w:val="20"/>
                <w:szCs w:val="20"/>
                <w:lang w:eastAsia="en-AU"/>
              </w:rPr>
              <w:drawing>
                <wp:anchor distT="0" distB="0" distL="114300" distR="114300" simplePos="0" relativeHeight="251705344" behindDoc="1" locked="0" layoutInCell="1" allowOverlap="1" wp14:anchorId="3EF1E830" wp14:editId="61655CDE">
                  <wp:simplePos x="0" y="0"/>
                  <wp:positionH relativeFrom="column">
                    <wp:posOffset>-635</wp:posOffset>
                  </wp:positionH>
                  <wp:positionV relativeFrom="paragraph">
                    <wp:posOffset>125730</wp:posOffset>
                  </wp:positionV>
                  <wp:extent cx="221615" cy="158115"/>
                  <wp:effectExtent l="0" t="0" r="6985" b="0"/>
                  <wp:wrapTight wrapText="bothSides">
                    <wp:wrapPolygon edited="0">
                      <wp:start x="0" y="0"/>
                      <wp:lineTo x="0" y="18217"/>
                      <wp:lineTo x="20424" y="18217"/>
                      <wp:lineTo x="2042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2F9D9C6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 very high percentage of these media releases were published by local media outlets indicating high engagement with key regional stakeholders. </w:t>
            </w:r>
          </w:p>
        </w:tc>
      </w:tr>
      <w:tr w:rsidR="007371C6" w:rsidRPr="00F06E45" w14:paraId="1A7ACC7A" w14:textId="77777777" w:rsidTr="00063500">
        <w:trPr>
          <w:trHeight w:val="236"/>
        </w:trPr>
        <w:tc>
          <w:tcPr>
            <w:tcW w:w="15593" w:type="dxa"/>
            <w:gridSpan w:val="14"/>
            <w:tcBorders>
              <w:top w:val="single" w:sz="18" w:space="0" w:color="1F4E79" w:themeColor="accent1" w:themeShade="80"/>
              <w:bottom w:val="single" w:sz="18" w:space="0" w:color="1F4E79" w:themeColor="accent1" w:themeShade="80"/>
            </w:tcBorders>
            <w:shd w:val="clear" w:color="auto" w:fill="548DD4"/>
          </w:tcPr>
          <w:p w14:paraId="3724D13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 xml:space="preserve">Outcome 4.4 A committed and responsive customer service focus </w:t>
            </w:r>
            <w:r w:rsidRPr="00F06E45">
              <w:rPr>
                <w:rFonts w:ascii="Calibri" w:eastAsia="Calibri" w:hAnsi="Calibri" w:cs="Times New Roman"/>
                <w:b/>
              </w:rPr>
              <w:tab/>
            </w:r>
          </w:p>
        </w:tc>
      </w:tr>
      <w:tr w:rsidR="007371C6" w:rsidRPr="00F06E45" w14:paraId="36D151FB" w14:textId="77777777" w:rsidTr="00063500">
        <w:trPr>
          <w:trHeight w:val="188"/>
        </w:trPr>
        <w:tc>
          <w:tcPr>
            <w:tcW w:w="15593" w:type="dxa"/>
            <w:gridSpan w:val="14"/>
            <w:tcBorders>
              <w:top w:val="single" w:sz="18" w:space="0" w:color="1F4E79" w:themeColor="accent1" w:themeShade="80"/>
              <w:bottom w:val="single" w:sz="18" w:space="0" w:color="1F4E79" w:themeColor="accent1" w:themeShade="80"/>
            </w:tcBorders>
          </w:tcPr>
          <w:p w14:paraId="74031F3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4.4.1  Provide friendly, respectful and proactive customer service delivery, consistent with our values </w:t>
            </w:r>
          </w:p>
        </w:tc>
      </w:tr>
      <w:tr w:rsidR="007371C6" w:rsidRPr="00F06E45" w14:paraId="2436AAA5" w14:textId="77777777" w:rsidTr="00063500">
        <w:trPr>
          <w:trHeight w:val="204"/>
        </w:trPr>
        <w:tc>
          <w:tcPr>
            <w:tcW w:w="1276" w:type="dxa"/>
            <w:tcBorders>
              <w:top w:val="single" w:sz="18" w:space="0" w:color="1F4E79" w:themeColor="accent1" w:themeShade="80"/>
            </w:tcBorders>
          </w:tcPr>
          <w:p w14:paraId="1742CB4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gridSpan w:val="2"/>
            <w:tcBorders>
              <w:top w:val="single" w:sz="18" w:space="0" w:color="1F4E79" w:themeColor="accent1" w:themeShade="80"/>
            </w:tcBorders>
          </w:tcPr>
          <w:p w14:paraId="787DF68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gridSpan w:val="2"/>
            <w:tcBorders>
              <w:top w:val="single" w:sz="18" w:space="0" w:color="1F4E79" w:themeColor="accent1" w:themeShade="80"/>
            </w:tcBorders>
          </w:tcPr>
          <w:p w14:paraId="136783A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gridSpan w:val="2"/>
            <w:tcBorders>
              <w:top w:val="single" w:sz="18" w:space="0" w:color="1F4E79" w:themeColor="accent1" w:themeShade="80"/>
            </w:tcBorders>
          </w:tcPr>
          <w:p w14:paraId="0532FCE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gridSpan w:val="3"/>
            <w:tcBorders>
              <w:top w:val="single" w:sz="18" w:space="0" w:color="1F4E79" w:themeColor="accent1" w:themeShade="80"/>
            </w:tcBorders>
          </w:tcPr>
          <w:p w14:paraId="101C21B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gridSpan w:val="2"/>
            <w:tcBorders>
              <w:top w:val="single" w:sz="18" w:space="0" w:color="1F4E79" w:themeColor="accent1" w:themeShade="80"/>
            </w:tcBorders>
          </w:tcPr>
          <w:p w14:paraId="2245A15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1F4E79" w:themeColor="accent1" w:themeShade="80"/>
            </w:tcBorders>
          </w:tcPr>
          <w:p w14:paraId="644ACA1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56523EC3" w14:textId="77777777" w:rsidTr="00063500">
        <w:trPr>
          <w:trHeight w:val="497"/>
        </w:trPr>
        <w:tc>
          <w:tcPr>
            <w:tcW w:w="1276" w:type="dxa"/>
            <w:shd w:val="clear" w:color="auto" w:fill="auto"/>
          </w:tcPr>
          <w:p w14:paraId="603D45D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Development </w:t>
            </w:r>
          </w:p>
        </w:tc>
        <w:tc>
          <w:tcPr>
            <w:tcW w:w="2410" w:type="dxa"/>
            <w:gridSpan w:val="2"/>
            <w:shd w:val="clear" w:color="auto" w:fill="auto"/>
          </w:tcPr>
          <w:p w14:paraId="29AC66E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Community &amp; Internal Customer Services </w:t>
            </w:r>
          </w:p>
        </w:tc>
        <w:tc>
          <w:tcPr>
            <w:tcW w:w="3685" w:type="dxa"/>
            <w:gridSpan w:val="2"/>
            <w:shd w:val="clear" w:color="auto" w:fill="auto"/>
          </w:tcPr>
          <w:p w14:paraId="55F3743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planning searches are issued within statutory and corporate time frames.</w:t>
            </w:r>
          </w:p>
        </w:tc>
        <w:tc>
          <w:tcPr>
            <w:tcW w:w="851" w:type="dxa"/>
            <w:gridSpan w:val="2"/>
            <w:shd w:val="clear" w:color="auto" w:fill="auto"/>
          </w:tcPr>
          <w:p w14:paraId="77BD6D5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39179D62"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95%</w:t>
            </w:r>
          </w:p>
        </w:tc>
        <w:tc>
          <w:tcPr>
            <w:tcW w:w="850" w:type="dxa"/>
            <w:gridSpan w:val="3"/>
            <w:shd w:val="clear" w:color="auto" w:fill="auto"/>
          </w:tcPr>
          <w:p w14:paraId="59FD943D" w14:textId="77777777" w:rsidR="007371C6" w:rsidRPr="00F06E45" w:rsidRDefault="007371C6" w:rsidP="00F06E45">
            <w:pPr>
              <w:rPr>
                <w:rFonts w:ascii="Calibri" w:eastAsia="Calibri" w:hAnsi="Calibri" w:cs="Times New Roman"/>
                <w:sz w:val="16"/>
                <w:szCs w:val="16"/>
              </w:rPr>
            </w:pPr>
          </w:p>
          <w:p w14:paraId="702CC79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94.3%</w:t>
            </w:r>
          </w:p>
        </w:tc>
        <w:tc>
          <w:tcPr>
            <w:tcW w:w="851" w:type="dxa"/>
            <w:gridSpan w:val="2"/>
            <w:shd w:val="clear" w:color="auto" w:fill="auto"/>
          </w:tcPr>
          <w:p w14:paraId="00F2E1FA"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1488" behindDoc="1" locked="0" layoutInCell="1" allowOverlap="1" wp14:anchorId="08A88BEA" wp14:editId="450C4CA0">
                  <wp:simplePos x="0" y="0"/>
                  <wp:positionH relativeFrom="column">
                    <wp:posOffset>2540</wp:posOffset>
                  </wp:positionH>
                  <wp:positionV relativeFrom="paragraph">
                    <wp:posOffset>130810</wp:posOffset>
                  </wp:positionV>
                  <wp:extent cx="221615" cy="158115"/>
                  <wp:effectExtent l="0" t="0" r="6985" b="0"/>
                  <wp:wrapTight wrapText="bothSides">
                    <wp:wrapPolygon edited="0">
                      <wp:start x="0" y="0"/>
                      <wp:lineTo x="0" y="18217"/>
                      <wp:lineTo x="20424" y="18217"/>
                      <wp:lineTo x="2042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00D3E4C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214 Building Compliance Searches were undertaken during the quarter. Additionally, 13 Planning Certificates were issued - 10 Limited, 2 Standard and 1 Full Planning Certificates were completed.</w:t>
            </w:r>
          </w:p>
          <w:p w14:paraId="5BFB64AE" w14:textId="77777777" w:rsidR="007371C6" w:rsidRPr="00F06E45" w:rsidRDefault="007371C6" w:rsidP="00F06E45">
            <w:pPr>
              <w:rPr>
                <w:rFonts w:ascii="Calibri" w:eastAsia="Calibri" w:hAnsi="Calibri" w:cs="Times New Roman"/>
                <w:sz w:val="16"/>
                <w:szCs w:val="16"/>
              </w:rPr>
            </w:pPr>
          </w:p>
        </w:tc>
      </w:tr>
      <w:tr w:rsidR="007371C6" w:rsidRPr="00F06E45" w14:paraId="63A5A5EC" w14:textId="77777777" w:rsidTr="00063500">
        <w:trPr>
          <w:trHeight w:val="784"/>
        </w:trPr>
        <w:tc>
          <w:tcPr>
            <w:tcW w:w="1276" w:type="dxa"/>
            <w:shd w:val="clear" w:color="auto" w:fill="auto"/>
          </w:tcPr>
          <w:p w14:paraId="2C3E9E6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gridSpan w:val="2"/>
            <w:shd w:val="clear" w:color="auto" w:fill="auto"/>
          </w:tcPr>
          <w:p w14:paraId="794E930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Customer Service: Customer Request Management (CRM)</w:t>
            </w:r>
          </w:p>
        </w:tc>
        <w:tc>
          <w:tcPr>
            <w:tcW w:w="3685" w:type="dxa"/>
            <w:gridSpan w:val="2"/>
            <w:shd w:val="clear" w:color="auto" w:fill="auto"/>
          </w:tcPr>
          <w:p w14:paraId="566C532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CRMs outstanding across council in relations to the timeframes assigned.</w:t>
            </w:r>
          </w:p>
        </w:tc>
        <w:tc>
          <w:tcPr>
            <w:tcW w:w="851" w:type="dxa"/>
            <w:gridSpan w:val="2"/>
            <w:shd w:val="clear" w:color="auto" w:fill="auto"/>
          </w:tcPr>
          <w:p w14:paraId="14BFF67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235FC6A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&lt;15%</w:t>
            </w:r>
          </w:p>
        </w:tc>
        <w:tc>
          <w:tcPr>
            <w:tcW w:w="850" w:type="dxa"/>
            <w:gridSpan w:val="3"/>
            <w:shd w:val="clear" w:color="auto" w:fill="auto"/>
          </w:tcPr>
          <w:p w14:paraId="2C555CDF" w14:textId="77777777" w:rsidR="007371C6" w:rsidRPr="00F06E45" w:rsidRDefault="007371C6" w:rsidP="00F06E45">
            <w:pPr>
              <w:rPr>
                <w:rFonts w:ascii="Calibri" w:eastAsia="Calibri" w:hAnsi="Calibri" w:cs="Times New Roman"/>
                <w:sz w:val="16"/>
                <w:szCs w:val="16"/>
              </w:rPr>
            </w:pPr>
          </w:p>
          <w:p w14:paraId="61D8AD2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12%</w:t>
            </w:r>
          </w:p>
        </w:tc>
        <w:tc>
          <w:tcPr>
            <w:tcW w:w="851" w:type="dxa"/>
            <w:gridSpan w:val="2"/>
            <w:shd w:val="clear" w:color="auto" w:fill="auto"/>
          </w:tcPr>
          <w:p w14:paraId="50789334" w14:textId="77777777" w:rsidR="007371C6" w:rsidRPr="00F06E45" w:rsidRDefault="007371C6" w:rsidP="00F06E45">
            <w:pPr>
              <w:rPr>
                <w:rFonts w:eastAsia="Calibri" w:cs="Times New Roman"/>
                <w:sz w:val="16"/>
                <w:szCs w:val="16"/>
              </w:rPr>
            </w:pPr>
            <w:r w:rsidRPr="00F06E45">
              <w:rPr>
                <w:rFonts w:eastAsia="Calibri" w:cs="Times New Roman"/>
                <w:sz w:val="16"/>
                <w:szCs w:val="16"/>
              </w:rPr>
              <w:t xml:space="preserve"> </w:t>
            </w:r>
            <w:r w:rsidRPr="00F06E45">
              <w:rPr>
                <w:rFonts w:cs="Aharoni"/>
                <w:noProof/>
                <w:color w:val="1F4E79" w:themeColor="accent1" w:themeShade="80"/>
                <w:sz w:val="20"/>
                <w:szCs w:val="20"/>
                <w:lang w:eastAsia="en-AU"/>
              </w:rPr>
              <w:drawing>
                <wp:anchor distT="0" distB="0" distL="114300" distR="114300" simplePos="0" relativeHeight="251712512" behindDoc="1" locked="0" layoutInCell="1" allowOverlap="1" wp14:anchorId="03E46DF2" wp14:editId="6D5A8BE4">
                  <wp:simplePos x="0" y="0"/>
                  <wp:positionH relativeFrom="column">
                    <wp:posOffset>2540</wp:posOffset>
                  </wp:positionH>
                  <wp:positionV relativeFrom="paragraph">
                    <wp:posOffset>126365</wp:posOffset>
                  </wp:positionV>
                  <wp:extent cx="221615" cy="158115"/>
                  <wp:effectExtent l="0" t="0" r="6985" b="0"/>
                  <wp:wrapTight wrapText="bothSides">
                    <wp:wrapPolygon edited="0">
                      <wp:start x="0" y="0"/>
                      <wp:lineTo x="0" y="18217"/>
                      <wp:lineTo x="20424" y="18217"/>
                      <wp:lineTo x="2042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3CB41565" w14:textId="77777777" w:rsidR="007371C6" w:rsidRPr="00F06E45" w:rsidRDefault="007371C6" w:rsidP="00F06E45">
            <w:pPr>
              <w:rPr>
                <w:rFonts w:eastAsia="Calibri" w:cs="Times New Roman"/>
                <w:sz w:val="16"/>
                <w:szCs w:val="16"/>
              </w:rPr>
            </w:pPr>
            <w:r w:rsidRPr="00F06E45">
              <w:rPr>
                <w:rFonts w:eastAsia="Calibri" w:cs="Times New Roman"/>
                <w:sz w:val="16"/>
                <w:szCs w:val="16"/>
              </w:rPr>
              <w:t>Management of Customer Requests has exceeded expected standards this quarter.</w:t>
            </w:r>
          </w:p>
        </w:tc>
      </w:tr>
      <w:tr w:rsidR="007371C6" w:rsidRPr="00F06E45" w14:paraId="30C2C38B" w14:textId="77777777" w:rsidTr="00063500">
        <w:trPr>
          <w:trHeight w:val="713"/>
        </w:trPr>
        <w:tc>
          <w:tcPr>
            <w:tcW w:w="1276" w:type="dxa"/>
            <w:shd w:val="clear" w:color="auto" w:fill="auto"/>
          </w:tcPr>
          <w:p w14:paraId="64DB2D9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Information Systems </w:t>
            </w:r>
          </w:p>
        </w:tc>
        <w:tc>
          <w:tcPr>
            <w:tcW w:w="2410" w:type="dxa"/>
            <w:gridSpan w:val="2"/>
            <w:shd w:val="clear" w:color="auto" w:fill="auto"/>
          </w:tcPr>
          <w:p w14:paraId="4770F86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Efficient Operations: Support Requests </w:t>
            </w:r>
          </w:p>
        </w:tc>
        <w:tc>
          <w:tcPr>
            <w:tcW w:w="3685" w:type="dxa"/>
            <w:gridSpan w:val="2"/>
            <w:shd w:val="clear" w:color="auto" w:fill="auto"/>
          </w:tcPr>
          <w:p w14:paraId="53F6A5F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support requests. </w:t>
            </w:r>
          </w:p>
        </w:tc>
        <w:tc>
          <w:tcPr>
            <w:tcW w:w="851" w:type="dxa"/>
            <w:gridSpan w:val="2"/>
            <w:shd w:val="clear" w:color="auto" w:fill="auto"/>
          </w:tcPr>
          <w:p w14:paraId="3849DC0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048BF17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Trend </w:t>
            </w:r>
          </w:p>
        </w:tc>
        <w:tc>
          <w:tcPr>
            <w:tcW w:w="850" w:type="dxa"/>
            <w:gridSpan w:val="3"/>
            <w:shd w:val="clear" w:color="auto" w:fill="auto"/>
          </w:tcPr>
          <w:p w14:paraId="07B9FBD4" w14:textId="77777777" w:rsidR="007371C6" w:rsidRPr="00F06E45" w:rsidRDefault="007371C6" w:rsidP="00F06E45">
            <w:pPr>
              <w:rPr>
                <w:rFonts w:ascii="Calibri" w:eastAsia="Calibri" w:hAnsi="Calibri" w:cs="Times New Roman"/>
                <w:sz w:val="16"/>
                <w:szCs w:val="16"/>
              </w:rPr>
            </w:pPr>
          </w:p>
          <w:p w14:paraId="04FEB8F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951</w:t>
            </w:r>
          </w:p>
        </w:tc>
        <w:tc>
          <w:tcPr>
            <w:tcW w:w="851" w:type="dxa"/>
            <w:gridSpan w:val="2"/>
            <w:shd w:val="clear" w:color="auto" w:fill="auto"/>
          </w:tcPr>
          <w:p w14:paraId="3B0A2050"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59616" behindDoc="1" locked="0" layoutInCell="1" allowOverlap="1" wp14:anchorId="45B5A5C2" wp14:editId="64A4EE19">
                  <wp:simplePos x="0" y="0"/>
                  <wp:positionH relativeFrom="column">
                    <wp:posOffset>1905</wp:posOffset>
                  </wp:positionH>
                  <wp:positionV relativeFrom="paragraph">
                    <wp:posOffset>122555</wp:posOffset>
                  </wp:positionV>
                  <wp:extent cx="221941" cy="221941"/>
                  <wp:effectExtent l="0" t="0" r="6985" b="6985"/>
                  <wp:wrapTight wrapText="bothSides">
                    <wp:wrapPolygon edited="0">
                      <wp:start x="0" y="0"/>
                      <wp:lineTo x="0" y="20424"/>
                      <wp:lineTo x="20424" y="20424"/>
                      <wp:lineTo x="2042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41" cy="221941"/>
                          </a:xfrm>
                          <a:prstGeom prst="rect">
                            <a:avLst/>
                          </a:prstGeom>
                        </pic:spPr>
                      </pic:pic>
                    </a:graphicData>
                  </a:graphic>
                </wp:anchor>
              </w:drawing>
            </w:r>
          </w:p>
        </w:tc>
        <w:tc>
          <w:tcPr>
            <w:tcW w:w="5670" w:type="dxa"/>
            <w:gridSpan w:val="2"/>
            <w:shd w:val="clear" w:color="auto" w:fill="auto"/>
          </w:tcPr>
          <w:p w14:paraId="0E86755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Following the establishment of the Standard Operating Environment (SOE), Information Systems is experiencing less support requests. However, requests for other services (such as new mobile phones) remains high.</w:t>
            </w:r>
          </w:p>
          <w:p w14:paraId="574FF04E"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273066AD" w14:textId="77777777" w:rsidTr="00063500">
        <w:trPr>
          <w:trHeight w:val="897"/>
        </w:trPr>
        <w:tc>
          <w:tcPr>
            <w:tcW w:w="1276" w:type="dxa"/>
            <w:tcBorders>
              <w:bottom w:val="single" w:sz="18" w:space="0" w:color="1F4E79" w:themeColor="accent1" w:themeShade="80"/>
            </w:tcBorders>
            <w:shd w:val="clear" w:color="auto" w:fill="auto"/>
          </w:tcPr>
          <w:p w14:paraId="3AD471D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Information Systems </w:t>
            </w:r>
          </w:p>
          <w:p w14:paraId="0320A78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 </w:t>
            </w:r>
          </w:p>
        </w:tc>
        <w:tc>
          <w:tcPr>
            <w:tcW w:w="2410" w:type="dxa"/>
            <w:gridSpan w:val="2"/>
            <w:tcBorders>
              <w:bottom w:val="single" w:sz="18" w:space="0" w:color="1F4E79" w:themeColor="accent1" w:themeShade="80"/>
            </w:tcBorders>
            <w:shd w:val="clear" w:color="auto" w:fill="auto"/>
          </w:tcPr>
          <w:p w14:paraId="16C82FD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Efficient Operations:  Resolved Support Requests</w:t>
            </w:r>
          </w:p>
        </w:tc>
        <w:tc>
          <w:tcPr>
            <w:tcW w:w="3685" w:type="dxa"/>
            <w:gridSpan w:val="2"/>
            <w:tcBorders>
              <w:bottom w:val="single" w:sz="18" w:space="0" w:color="1F4E79" w:themeColor="accent1" w:themeShade="80"/>
            </w:tcBorders>
            <w:shd w:val="clear" w:color="auto" w:fill="auto"/>
          </w:tcPr>
          <w:p w14:paraId="18DF919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requests resolved within service level standards. </w:t>
            </w:r>
          </w:p>
        </w:tc>
        <w:tc>
          <w:tcPr>
            <w:tcW w:w="851" w:type="dxa"/>
            <w:gridSpan w:val="2"/>
            <w:tcBorders>
              <w:bottom w:val="single" w:sz="18" w:space="0" w:color="1F4E79" w:themeColor="accent1" w:themeShade="80"/>
            </w:tcBorders>
            <w:shd w:val="clear" w:color="auto" w:fill="auto"/>
          </w:tcPr>
          <w:p w14:paraId="53E01EF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5811123E"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98%</w:t>
            </w:r>
          </w:p>
        </w:tc>
        <w:tc>
          <w:tcPr>
            <w:tcW w:w="850" w:type="dxa"/>
            <w:gridSpan w:val="3"/>
            <w:tcBorders>
              <w:bottom w:val="single" w:sz="18" w:space="0" w:color="1F4E79" w:themeColor="accent1" w:themeShade="80"/>
            </w:tcBorders>
            <w:shd w:val="clear" w:color="auto" w:fill="auto"/>
          </w:tcPr>
          <w:p w14:paraId="21F5C1EC" w14:textId="77777777" w:rsidR="007371C6" w:rsidRPr="00F06E45" w:rsidRDefault="007371C6" w:rsidP="00F06E45">
            <w:pPr>
              <w:rPr>
                <w:rFonts w:ascii="Calibri" w:eastAsia="Calibri" w:hAnsi="Calibri" w:cs="Times New Roman"/>
                <w:sz w:val="16"/>
                <w:szCs w:val="16"/>
              </w:rPr>
            </w:pPr>
          </w:p>
          <w:p w14:paraId="6C1D35B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91%</w:t>
            </w:r>
          </w:p>
        </w:tc>
        <w:tc>
          <w:tcPr>
            <w:tcW w:w="851" w:type="dxa"/>
            <w:gridSpan w:val="2"/>
            <w:tcBorders>
              <w:bottom w:val="single" w:sz="18" w:space="0" w:color="1F4E79" w:themeColor="accent1" w:themeShade="80"/>
            </w:tcBorders>
            <w:shd w:val="clear" w:color="auto" w:fill="auto"/>
          </w:tcPr>
          <w:p w14:paraId="37A2125B"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0640" behindDoc="1" locked="0" layoutInCell="1" allowOverlap="1" wp14:anchorId="264F2121" wp14:editId="44B6C5FB">
                  <wp:simplePos x="0" y="0"/>
                  <wp:positionH relativeFrom="column">
                    <wp:posOffset>1905</wp:posOffset>
                  </wp:positionH>
                  <wp:positionV relativeFrom="paragraph">
                    <wp:posOffset>126365</wp:posOffset>
                  </wp:positionV>
                  <wp:extent cx="143510" cy="143510"/>
                  <wp:effectExtent l="0" t="0" r="8890" b="8890"/>
                  <wp:wrapTight wrapText="bothSides">
                    <wp:wrapPolygon edited="0">
                      <wp:start x="0" y="0"/>
                      <wp:lineTo x="0" y="20071"/>
                      <wp:lineTo x="20071" y="20071"/>
                      <wp:lineTo x="2007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5670" w:type="dxa"/>
            <w:gridSpan w:val="2"/>
            <w:tcBorders>
              <w:bottom w:val="single" w:sz="18" w:space="0" w:color="1F4E79" w:themeColor="accent1" w:themeShade="80"/>
            </w:tcBorders>
            <w:shd w:val="clear" w:color="auto" w:fill="auto"/>
          </w:tcPr>
          <w:p w14:paraId="5FA7107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Support requests have reduced significantly since the establishment of the Standard Operating Environment (SOE). Requests and issues that now arise across the standard environment typically have a single cause, which can be more effectively resolved for multiple users.</w:t>
            </w:r>
          </w:p>
        </w:tc>
      </w:tr>
      <w:tr w:rsidR="007371C6" w:rsidRPr="00F06E45" w14:paraId="2B0D7FD6" w14:textId="77777777" w:rsidTr="00063500">
        <w:trPr>
          <w:trHeight w:val="204"/>
        </w:trPr>
        <w:tc>
          <w:tcPr>
            <w:tcW w:w="1783" w:type="dxa"/>
            <w:gridSpan w:val="2"/>
            <w:tcBorders>
              <w:top w:val="single" w:sz="18" w:space="0" w:color="1F4E79" w:themeColor="accent1" w:themeShade="80"/>
            </w:tcBorders>
            <w:shd w:val="clear" w:color="auto" w:fill="auto"/>
          </w:tcPr>
          <w:p w14:paraId="06DFB778" w14:textId="77777777" w:rsidR="007371C6" w:rsidRPr="00F06E45" w:rsidRDefault="007371C6" w:rsidP="00F06E45">
            <w:pPr>
              <w:rPr>
                <w:rFonts w:ascii="Calibri" w:eastAsia="Calibri" w:hAnsi="Calibri" w:cs="Times New Roman"/>
                <w:b/>
                <w:sz w:val="18"/>
                <w:szCs w:val="18"/>
              </w:rPr>
            </w:pPr>
          </w:p>
        </w:tc>
        <w:tc>
          <w:tcPr>
            <w:tcW w:w="2302" w:type="dxa"/>
            <w:gridSpan w:val="2"/>
            <w:tcBorders>
              <w:top w:val="single" w:sz="18" w:space="0" w:color="1F4E79" w:themeColor="accent1" w:themeShade="80"/>
            </w:tcBorders>
            <w:shd w:val="clear" w:color="auto" w:fill="auto"/>
          </w:tcPr>
          <w:p w14:paraId="4F8E280C" w14:textId="77777777" w:rsidR="007371C6" w:rsidRPr="00F06E45" w:rsidRDefault="007371C6" w:rsidP="00F06E45">
            <w:pPr>
              <w:rPr>
                <w:rFonts w:ascii="Calibri" w:eastAsia="Calibri" w:hAnsi="Calibri" w:cs="Times New Roman"/>
                <w:b/>
                <w:sz w:val="18"/>
                <w:szCs w:val="18"/>
              </w:rPr>
            </w:pPr>
          </w:p>
        </w:tc>
        <w:tc>
          <w:tcPr>
            <w:tcW w:w="3391" w:type="dxa"/>
            <w:gridSpan w:val="2"/>
            <w:tcBorders>
              <w:top w:val="single" w:sz="18" w:space="0" w:color="1F4E79" w:themeColor="accent1" w:themeShade="80"/>
            </w:tcBorders>
            <w:shd w:val="clear" w:color="auto" w:fill="auto"/>
          </w:tcPr>
          <w:p w14:paraId="1BA329B5" w14:textId="77777777" w:rsidR="007371C6" w:rsidRPr="00F06E45" w:rsidRDefault="007371C6" w:rsidP="00F06E45">
            <w:pPr>
              <w:rPr>
                <w:rFonts w:ascii="Calibri" w:eastAsia="Calibri" w:hAnsi="Calibri" w:cs="Times New Roman"/>
                <w:b/>
                <w:sz w:val="18"/>
                <w:szCs w:val="18"/>
              </w:rPr>
            </w:pPr>
          </w:p>
        </w:tc>
        <w:tc>
          <w:tcPr>
            <w:tcW w:w="839" w:type="dxa"/>
            <w:gridSpan w:val="2"/>
            <w:tcBorders>
              <w:top w:val="single" w:sz="18" w:space="0" w:color="1F4E79" w:themeColor="accent1" w:themeShade="80"/>
            </w:tcBorders>
            <w:shd w:val="clear" w:color="auto" w:fill="auto"/>
          </w:tcPr>
          <w:p w14:paraId="5D83B3F5" w14:textId="77777777" w:rsidR="007371C6" w:rsidRPr="00F06E45" w:rsidRDefault="007371C6" w:rsidP="00F06E45">
            <w:pPr>
              <w:rPr>
                <w:rFonts w:ascii="Calibri" w:eastAsia="Calibri" w:hAnsi="Calibri" w:cs="Times New Roman"/>
                <w:b/>
                <w:sz w:val="18"/>
                <w:szCs w:val="18"/>
              </w:rPr>
            </w:pPr>
          </w:p>
        </w:tc>
        <w:tc>
          <w:tcPr>
            <w:tcW w:w="693" w:type="dxa"/>
            <w:tcBorders>
              <w:top w:val="single" w:sz="18" w:space="0" w:color="1F4E79" w:themeColor="accent1" w:themeShade="80"/>
            </w:tcBorders>
            <w:shd w:val="clear" w:color="auto" w:fill="auto"/>
          </w:tcPr>
          <w:p w14:paraId="209BA87B" w14:textId="77777777" w:rsidR="007371C6" w:rsidRPr="00F06E45" w:rsidRDefault="007371C6" w:rsidP="00F06E45">
            <w:pPr>
              <w:rPr>
                <w:rFonts w:ascii="Calibri" w:eastAsia="Calibri" w:hAnsi="Calibri" w:cs="Times New Roman"/>
                <w:b/>
                <w:sz w:val="18"/>
                <w:szCs w:val="18"/>
              </w:rPr>
            </w:pPr>
          </w:p>
        </w:tc>
        <w:tc>
          <w:tcPr>
            <w:tcW w:w="3212" w:type="dxa"/>
            <w:gridSpan w:val="4"/>
            <w:tcBorders>
              <w:top w:val="single" w:sz="18" w:space="0" w:color="1F4E79" w:themeColor="accent1" w:themeShade="80"/>
            </w:tcBorders>
          </w:tcPr>
          <w:p w14:paraId="0E9B2E6F" w14:textId="77777777" w:rsidR="007371C6" w:rsidRPr="00F06E45" w:rsidRDefault="007371C6" w:rsidP="00F06E45">
            <w:pPr>
              <w:rPr>
                <w:rFonts w:ascii="Calibri" w:eastAsia="Calibri" w:hAnsi="Calibri" w:cs="Times New Roman"/>
                <w:b/>
                <w:sz w:val="18"/>
                <w:szCs w:val="18"/>
              </w:rPr>
            </w:pPr>
          </w:p>
        </w:tc>
        <w:tc>
          <w:tcPr>
            <w:tcW w:w="3373" w:type="dxa"/>
            <w:tcBorders>
              <w:top w:val="single" w:sz="18" w:space="0" w:color="1F4E79" w:themeColor="accent1" w:themeShade="80"/>
            </w:tcBorders>
            <w:shd w:val="clear" w:color="auto" w:fill="auto"/>
          </w:tcPr>
          <w:p w14:paraId="72511131" w14:textId="77777777" w:rsidR="007371C6" w:rsidRPr="00F06E45" w:rsidRDefault="007371C6" w:rsidP="00F06E45">
            <w:pPr>
              <w:rPr>
                <w:rFonts w:ascii="Calibri" w:eastAsia="Calibri" w:hAnsi="Calibri" w:cs="Times New Roman"/>
                <w:b/>
                <w:sz w:val="18"/>
                <w:szCs w:val="18"/>
              </w:rPr>
            </w:pPr>
          </w:p>
        </w:tc>
      </w:tr>
    </w:tbl>
    <w:p w14:paraId="3FEDF21C" w14:textId="77777777" w:rsidR="007371C6" w:rsidRPr="00F06E45" w:rsidRDefault="007371C6" w:rsidP="00F06E45">
      <w:pPr>
        <w:spacing w:after="0" w:line="240" w:lineRule="auto"/>
        <w:rPr>
          <w:rFonts w:ascii="Times New Roman" w:eastAsia="Calibri" w:hAnsi="Times New Roman" w:cs="Times New Roman"/>
          <w:sz w:val="32"/>
          <w:szCs w:val="32"/>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t xml:space="preserv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t xml:space="preserv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rPr>
        <w:t>responsive, cohesive, sustainable, ethical and accountable</w:t>
      </w:r>
    </w:p>
    <w:p w14:paraId="266DECF2" w14:textId="77777777" w:rsidR="007371C6" w:rsidRPr="00F06E45" w:rsidRDefault="007371C6" w:rsidP="00F06E45">
      <w:pPr>
        <w:tabs>
          <w:tab w:val="left" w:pos="910"/>
        </w:tabs>
        <w:rPr>
          <w:rFonts w:ascii="Times New Roman" w:eastAsia="Calibri" w:hAnsi="Times New Roman" w:cs="Times New Roman"/>
          <w:sz w:val="32"/>
          <w:szCs w:val="32"/>
        </w:rPr>
        <w:sectPr w:rsidR="007371C6" w:rsidRPr="00F06E45" w:rsidSect="000F71F5">
          <w:pgSz w:w="16838" w:h="11906" w:orient="landscape"/>
          <w:pgMar w:top="0" w:right="678" w:bottom="709" w:left="567" w:header="708" w:footer="173" w:gutter="0"/>
          <w:cols w:space="708"/>
          <w:titlePg/>
          <w:docGrid w:linePitch="360"/>
        </w:sectPr>
      </w:pPr>
    </w:p>
    <w:p w14:paraId="6227D269"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p>
    <w:tbl>
      <w:tblPr>
        <w:tblStyle w:val="TableGrid1"/>
        <w:tblpPr w:leftFromText="180" w:rightFromText="180" w:vertAnchor="text" w:horzAnchor="margin" w:tblpY="627"/>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84"/>
        <w:gridCol w:w="2026"/>
        <w:gridCol w:w="941"/>
        <w:gridCol w:w="2796"/>
        <w:gridCol w:w="81"/>
        <w:gridCol w:w="758"/>
        <w:gridCol w:w="74"/>
        <w:gridCol w:w="693"/>
        <w:gridCol w:w="894"/>
        <w:gridCol w:w="2296"/>
        <w:gridCol w:w="3374"/>
      </w:tblGrid>
      <w:tr w:rsidR="007371C6" w:rsidRPr="00F06E45" w14:paraId="57EC791F" w14:textId="77777777" w:rsidTr="00063500">
        <w:trPr>
          <w:trHeight w:val="27"/>
        </w:trPr>
        <w:tc>
          <w:tcPr>
            <w:tcW w:w="15593" w:type="dxa"/>
            <w:gridSpan w:val="12"/>
            <w:tcBorders>
              <w:top w:val="single" w:sz="18" w:space="0" w:color="365F91"/>
              <w:bottom w:val="single" w:sz="18" w:space="0" w:color="365F91"/>
            </w:tcBorders>
            <w:shd w:val="clear" w:color="auto" w:fill="548DD4"/>
          </w:tcPr>
          <w:p w14:paraId="2CBFDF76" w14:textId="77777777" w:rsidR="007371C6" w:rsidRPr="00F06E45" w:rsidRDefault="007371C6" w:rsidP="00F06E45">
            <w:pPr>
              <w:ind w:left="-108"/>
              <w:rPr>
                <w:rFonts w:ascii="Calibri" w:eastAsia="Calibri" w:hAnsi="Calibri" w:cs="Times New Roman"/>
                <w:sz w:val="20"/>
                <w:szCs w:val="20"/>
              </w:rPr>
            </w:pPr>
            <w:r w:rsidRPr="00F06E45">
              <w:rPr>
                <w:rFonts w:ascii="Calibri" w:eastAsia="Calibri" w:hAnsi="Calibri" w:cs="Times New Roman"/>
                <w:b/>
              </w:rPr>
              <w:t xml:space="preserve">Outcome 4.4 A committed and responsive customer service focus </w:t>
            </w:r>
            <w:r w:rsidRPr="00F06E45">
              <w:rPr>
                <w:rFonts w:ascii="Calibri" w:eastAsia="Calibri" w:hAnsi="Calibri" w:cs="Times New Roman"/>
                <w:b/>
              </w:rPr>
              <w:tab/>
            </w:r>
          </w:p>
        </w:tc>
      </w:tr>
      <w:tr w:rsidR="007371C6" w:rsidRPr="00F06E45" w14:paraId="72874A1A" w14:textId="77777777" w:rsidTr="00063500">
        <w:trPr>
          <w:trHeight w:val="190"/>
        </w:trPr>
        <w:tc>
          <w:tcPr>
            <w:tcW w:w="15593" w:type="dxa"/>
            <w:gridSpan w:val="12"/>
            <w:tcBorders>
              <w:top w:val="single" w:sz="18" w:space="0" w:color="365F91"/>
              <w:bottom w:val="single" w:sz="18" w:space="0" w:color="365F91"/>
            </w:tcBorders>
          </w:tcPr>
          <w:p w14:paraId="25EF9080"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4.4.1  Provide friendly, respectful and proactive customer service delivery, consistent with our values </w:t>
            </w:r>
          </w:p>
        </w:tc>
      </w:tr>
      <w:tr w:rsidR="007371C6" w:rsidRPr="00F06E45" w14:paraId="5F40DC4A" w14:textId="77777777" w:rsidTr="00063500">
        <w:trPr>
          <w:trHeight w:val="190"/>
        </w:trPr>
        <w:tc>
          <w:tcPr>
            <w:tcW w:w="1276" w:type="dxa"/>
            <w:tcBorders>
              <w:top w:val="single" w:sz="18" w:space="0" w:color="365F91"/>
            </w:tcBorders>
            <w:shd w:val="clear" w:color="auto" w:fill="auto"/>
          </w:tcPr>
          <w:p w14:paraId="4B32ABD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gridSpan w:val="2"/>
            <w:tcBorders>
              <w:top w:val="single" w:sz="18" w:space="0" w:color="365F91"/>
            </w:tcBorders>
            <w:shd w:val="clear" w:color="auto" w:fill="auto"/>
          </w:tcPr>
          <w:p w14:paraId="71F78CF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818" w:type="dxa"/>
            <w:gridSpan w:val="3"/>
            <w:tcBorders>
              <w:top w:val="single" w:sz="18" w:space="0" w:color="365F91"/>
            </w:tcBorders>
            <w:shd w:val="clear" w:color="auto" w:fill="auto"/>
          </w:tcPr>
          <w:p w14:paraId="40E766C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2" w:type="dxa"/>
            <w:gridSpan w:val="2"/>
            <w:tcBorders>
              <w:top w:val="single" w:sz="18" w:space="0" w:color="365F91"/>
            </w:tcBorders>
            <w:shd w:val="clear" w:color="auto" w:fill="auto"/>
          </w:tcPr>
          <w:p w14:paraId="085E96C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693" w:type="dxa"/>
            <w:tcBorders>
              <w:top w:val="single" w:sz="18" w:space="0" w:color="365F91"/>
            </w:tcBorders>
            <w:shd w:val="clear" w:color="auto" w:fill="auto"/>
          </w:tcPr>
          <w:p w14:paraId="2FCAB91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94" w:type="dxa"/>
            <w:tcBorders>
              <w:top w:val="single" w:sz="18" w:space="0" w:color="365F91"/>
            </w:tcBorders>
          </w:tcPr>
          <w:p w14:paraId="0F2A8F2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shd w:val="clear" w:color="auto" w:fill="auto"/>
          </w:tcPr>
          <w:p w14:paraId="6EC38E8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1ECC3E36" w14:textId="77777777" w:rsidTr="00063500">
        <w:trPr>
          <w:trHeight w:val="725"/>
        </w:trPr>
        <w:tc>
          <w:tcPr>
            <w:tcW w:w="1276" w:type="dxa"/>
            <w:shd w:val="clear" w:color="auto" w:fill="auto"/>
          </w:tcPr>
          <w:p w14:paraId="564FE2B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Roads &amp; Drainage</w:t>
            </w:r>
          </w:p>
        </w:tc>
        <w:tc>
          <w:tcPr>
            <w:tcW w:w="2410" w:type="dxa"/>
            <w:gridSpan w:val="2"/>
            <w:shd w:val="clear" w:color="auto" w:fill="auto"/>
          </w:tcPr>
          <w:p w14:paraId="51B96C8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Group: Response to complaints and community requests for works and advice </w:t>
            </w:r>
          </w:p>
        </w:tc>
        <w:tc>
          <w:tcPr>
            <w:tcW w:w="3737" w:type="dxa"/>
            <w:gridSpan w:val="2"/>
            <w:shd w:val="clear" w:color="auto" w:fill="auto"/>
          </w:tcPr>
          <w:p w14:paraId="5185866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Customer Requests (CRMs) completed within allocated time periods.</w:t>
            </w:r>
          </w:p>
          <w:p w14:paraId="0A812370" w14:textId="77777777" w:rsidR="007371C6" w:rsidRPr="00F06E45" w:rsidRDefault="007371C6" w:rsidP="00F06E45">
            <w:pPr>
              <w:ind w:left="-108"/>
              <w:rPr>
                <w:rFonts w:ascii="Calibri" w:eastAsia="Calibri" w:hAnsi="Calibri" w:cs="Times New Roman"/>
                <w:sz w:val="18"/>
                <w:szCs w:val="18"/>
              </w:rPr>
            </w:pPr>
          </w:p>
        </w:tc>
        <w:tc>
          <w:tcPr>
            <w:tcW w:w="839" w:type="dxa"/>
            <w:gridSpan w:val="2"/>
            <w:shd w:val="clear" w:color="auto" w:fill="auto"/>
          </w:tcPr>
          <w:p w14:paraId="17393E4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0A1610C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80%</w:t>
            </w:r>
          </w:p>
        </w:tc>
        <w:tc>
          <w:tcPr>
            <w:tcW w:w="767" w:type="dxa"/>
            <w:gridSpan w:val="2"/>
            <w:shd w:val="clear" w:color="auto" w:fill="auto"/>
          </w:tcPr>
          <w:p w14:paraId="0B8EF2AC" w14:textId="77777777" w:rsidR="007371C6" w:rsidRPr="00F06E45" w:rsidRDefault="007371C6" w:rsidP="00F06E45">
            <w:pPr>
              <w:rPr>
                <w:rFonts w:ascii="Calibri" w:eastAsia="Calibri" w:hAnsi="Calibri" w:cs="Times New Roman"/>
                <w:sz w:val="16"/>
                <w:szCs w:val="16"/>
              </w:rPr>
            </w:pPr>
          </w:p>
          <w:p w14:paraId="0600696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81%</w:t>
            </w:r>
          </w:p>
        </w:tc>
        <w:tc>
          <w:tcPr>
            <w:tcW w:w="894" w:type="dxa"/>
            <w:shd w:val="clear" w:color="auto" w:fill="auto"/>
          </w:tcPr>
          <w:p w14:paraId="58D97C9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3536" behindDoc="1" locked="0" layoutInCell="1" allowOverlap="1" wp14:anchorId="32D6039A" wp14:editId="5755077B">
                  <wp:simplePos x="0" y="0"/>
                  <wp:positionH relativeFrom="column">
                    <wp:posOffset>2540</wp:posOffset>
                  </wp:positionH>
                  <wp:positionV relativeFrom="paragraph">
                    <wp:posOffset>125730</wp:posOffset>
                  </wp:positionV>
                  <wp:extent cx="221615" cy="158115"/>
                  <wp:effectExtent l="0" t="0" r="6985" b="0"/>
                  <wp:wrapTight wrapText="bothSides">
                    <wp:wrapPolygon edited="0">
                      <wp:start x="0" y="0"/>
                      <wp:lineTo x="0" y="18217"/>
                      <wp:lineTo x="20424" y="18217"/>
                      <wp:lineTo x="2042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2A8DD90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 total of 1,497 CRMs were completed for the Roads and Drainage Group during the first quarter of 2015/2016, with an average processing time of 11 days per CRM.</w:t>
            </w:r>
          </w:p>
        </w:tc>
      </w:tr>
      <w:tr w:rsidR="007371C6" w:rsidRPr="00F06E45" w14:paraId="0D7638C2" w14:textId="77777777" w:rsidTr="00063500">
        <w:trPr>
          <w:trHeight w:val="746"/>
        </w:trPr>
        <w:tc>
          <w:tcPr>
            <w:tcW w:w="1276" w:type="dxa"/>
            <w:shd w:val="clear" w:color="auto" w:fill="auto"/>
          </w:tcPr>
          <w:p w14:paraId="1C7B4E7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Support Services </w:t>
            </w:r>
          </w:p>
        </w:tc>
        <w:tc>
          <w:tcPr>
            <w:tcW w:w="2410" w:type="dxa"/>
            <w:gridSpan w:val="2"/>
            <w:shd w:val="clear" w:color="auto" w:fill="auto"/>
          </w:tcPr>
          <w:p w14:paraId="417E3BE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Fleet: Management: Administration: Internal client satisfaction </w:t>
            </w:r>
          </w:p>
        </w:tc>
        <w:tc>
          <w:tcPr>
            <w:tcW w:w="3737" w:type="dxa"/>
            <w:gridSpan w:val="2"/>
            <w:shd w:val="clear" w:color="auto" w:fill="auto"/>
          </w:tcPr>
          <w:p w14:paraId="22CD768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internal client survey results satisfactory or above.                                                                                                                                                                      </w:t>
            </w:r>
          </w:p>
        </w:tc>
        <w:tc>
          <w:tcPr>
            <w:tcW w:w="839" w:type="dxa"/>
            <w:gridSpan w:val="2"/>
            <w:shd w:val="clear" w:color="auto" w:fill="auto"/>
          </w:tcPr>
          <w:p w14:paraId="3F4999F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05A4B961"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75%</w:t>
            </w:r>
          </w:p>
        </w:tc>
        <w:tc>
          <w:tcPr>
            <w:tcW w:w="767" w:type="dxa"/>
            <w:gridSpan w:val="2"/>
            <w:shd w:val="clear" w:color="auto" w:fill="auto"/>
          </w:tcPr>
          <w:p w14:paraId="1B688280" w14:textId="77777777" w:rsidR="007371C6" w:rsidRPr="00F06E45" w:rsidRDefault="007371C6" w:rsidP="00F06E45">
            <w:pPr>
              <w:rPr>
                <w:rFonts w:ascii="Calibri" w:eastAsia="Calibri" w:hAnsi="Calibri" w:cs="Times New Roman"/>
                <w:sz w:val="18"/>
                <w:szCs w:val="18"/>
              </w:rPr>
            </w:pPr>
          </w:p>
          <w:p w14:paraId="13632E3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94.4%</w:t>
            </w:r>
          </w:p>
        </w:tc>
        <w:tc>
          <w:tcPr>
            <w:tcW w:w="894" w:type="dxa"/>
            <w:shd w:val="clear" w:color="auto" w:fill="auto"/>
          </w:tcPr>
          <w:p w14:paraId="5EEF9810"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4560" behindDoc="1" locked="0" layoutInCell="1" allowOverlap="1" wp14:anchorId="740CE008" wp14:editId="2CFB97C1">
                  <wp:simplePos x="0" y="0"/>
                  <wp:positionH relativeFrom="column">
                    <wp:posOffset>2540</wp:posOffset>
                  </wp:positionH>
                  <wp:positionV relativeFrom="paragraph">
                    <wp:posOffset>129540</wp:posOffset>
                  </wp:positionV>
                  <wp:extent cx="221615" cy="158115"/>
                  <wp:effectExtent l="0" t="0" r="6985" b="0"/>
                  <wp:wrapTight wrapText="bothSides">
                    <wp:wrapPolygon edited="0">
                      <wp:start x="0" y="0"/>
                      <wp:lineTo x="0" y="18217"/>
                      <wp:lineTo x="20424" y="18217"/>
                      <wp:lineTo x="204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28A9999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94.4% of internal client survey results rated satisfactory or above.</w:t>
            </w:r>
          </w:p>
        </w:tc>
      </w:tr>
      <w:tr w:rsidR="007371C6" w:rsidRPr="00F06E45" w14:paraId="6C931814" w14:textId="77777777" w:rsidTr="00063500">
        <w:trPr>
          <w:trHeight w:val="921"/>
        </w:trPr>
        <w:tc>
          <w:tcPr>
            <w:tcW w:w="1276" w:type="dxa"/>
            <w:shd w:val="clear" w:color="auto" w:fill="auto"/>
          </w:tcPr>
          <w:p w14:paraId="0B6C2A7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Water &amp; Wastewater </w:t>
            </w:r>
          </w:p>
        </w:tc>
        <w:tc>
          <w:tcPr>
            <w:tcW w:w="2410" w:type="dxa"/>
            <w:gridSpan w:val="2"/>
            <w:shd w:val="clear" w:color="auto" w:fill="auto"/>
          </w:tcPr>
          <w:p w14:paraId="4FA5F5B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Plumbing Services: Approvals</w:t>
            </w:r>
          </w:p>
        </w:tc>
        <w:tc>
          <w:tcPr>
            <w:tcW w:w="3737" w:type="dxa"/>
            <w:gridSpan w:val="2"/>
            <w:shd w:val="clear" w:color="auto" w:fill="auto"/>
          </w:tcPr>
          <w:p w14:paraId="2CD0493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approvals processed within allocated time period.</w:t>
            </w:r>
          </w:p>
        </w:tc>
        <w:tc>
          <w:tcPr>
            <w:tcW w:w="839" w:type="dxa"/>
            <w:gridSpan w:val="2"/>
            <w:shd w:val="clear" w:color="auto" w:fill="auto"/>
          </w:tcPr>
          <w:p w14:paraId="4D94C33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5F126D86"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95%</w:t>
            </w:r>
          </w:p>
        </w:tc>
        <w:tc>
          <w:tcPr>
            <w:tcW w:w="767" w:type="dxa"/>
            <w:gridSpan w:val="2"/>
            <w:shd w:val="clear" w:color="auto" w:fill="auto"/>
          </w:tcPr>
          <w:p w14:paraId="61008545" w14:textId="77777777" w:rsidR="007371C6" w:rsidRPr="00F06E45" w:rsidRDefault="007371C6" w:rsidP="00F06E45">
            <w:pPr>
              <w:rPr>
                <w:rFonts w:ascii="Calibri" w:eastAsia="Calibri" w:hAnsi="Calibri" w:cs="Times New Roman"/>
                <w:sz w:val="16"/>
                <w:szCs w:val="16"/>
              </w:rPr>
            </w:pPr>
          </w:p>
          <w:p w14:paraId="6C058ED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894" w:type="dxa"/>
            <w:shd w:val="clear" w:color="auto" w:fill="auto"/>
          </w:tcPr>
          <w:p w14:paraId="2C46BC95"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9856" behindDoc="1" locked="0" layoutInCell="1" allowOverlap="1" wp14:anchorId="4AF9A2E6" wp14:editId="65EB3EF3">
                  <wp:simplePos x="0" y="0"/>
                  <wp:positionH relativeFrom="column">
                    <wp:posOffset>3175</wp:posOffset>
                  </wp:positionH>
                  <wp:positionV relativeFrom="paragraph">
                    <wp:posOffset>121920</wp:posOffset>
                  </wp:positionV>
                  <wp:extent cx="221615" cy="158115"/>
                  <wp:effectExtent l="0" t="0" r="6985" b="0"/>
                  <wp:wrapTight wrapText="bothSides">
                    <wp:wrapPolygon edited="0">
                      <wp:start x="0" y="0"/>
                      <wp:lineTo x="0" y="18217"/>
                      <wp:lineTo x="20424" y="18217"/>
                      <wp:lineTo x="2042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30BD6331" w14:textId="77777777" w:rsidR="007371C6" w:rsidRPr="00F06E45" w:rsidRDefault="007371C6" w:rsidP="00F06E45">
            <w:pPr>
              <w:rPr>
                <w:rFonts w:cs="Tahoma"/>
                <w:sz w:val="16"/>
                <w:szCs w:val="16"/>
              </w:rPr>
            </w:pPr>
            <w:r w:rsidRPr="00F06E45">
              <w:rPr>
                <w:rFonts w:cs="Tahoma"/>
                <w:sz w:val="16"/>
                <w:szCs w:val="16"/>
              </w:rPr>
              <w:t xml:space="preserve">95% of Plumbing Applications were assessed and approved within 10 working days during the first quarter. </w:t>
            </w:r>
          </w:p>
        </w:tc>
      </w:tr>
      <w:tr w:rsidR="007371C6" w:rsidRPr="00F06E45" w14:paraId="0DA37E3B" w14:textId="77777777" w:rsidTr="00063500">
        <w:trPr>
          <w:trHeight w:val="746"/>
        </w:trPr>
        <w:tc>
          <w:tcPr>
            <w:tcW w:w="1276" w:type="dxa"/>
            <w:tcBorders>
              <w:bottom w:val="single" w:sz="18" w:space="0" w:color="1F4E79" w:themeColor="accent1" w:themeShade="80"/>
            </w:tcBorders>
            <w:shd w:val="clear" w:color="auto" w:fill="auto"/>
          </w:tcPr>
          <w:p w14:paraId="620FA9D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Water &amp; Wastewater </w:t>
            </w:r>
          </w:p>
        </w:tc>
        <w:tc>
          <w:tcPr>
            <w:tcW w:w="2410" w:type="dxa"/>
            <w:gridSpan w:val="2"/>
            <w:tcBorders>
              <w:bottom w:val="single" w:sz="18" w:space="0" w:color="1F4E79" w:themeColor="accent1" w:themeShade="80"/>
            </w:tcBorders>
            <w:shd w:val="clear" w:color="auto" w:fill="auto"/>
          </w:tcPr>
          <w:p w14:paraId="0DF31F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Plumbing Services: Inquiries</w:t>
            </w:r>
          </w:p>
        </w:tc>
        <w:tc>
          <w:tcPr>
            <w:tcW w:w="3737" w:type="dxa"/>
            <w:gridSpan w:val="2"/>
            <w:tcBorders>
              <w:bottom w:val="single" w:sz="18" w:space="0" w:color="1F4E79" w:themeColor="accent1" w:themeShade="80"/>
            </w:tcBorders>
            <w:shd w:val="clear" w:color="auto" w:fill="auto"/>
          </w:tcPr>
          <w:p w14:paraId="431AC9D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enquiries. </w:t>
            </w:r>
          </w:p>
        </w:tc>
        <w:tc>
          <w:tcPr>
            <w:tcW w:w="839" w:type="dxa"/>
            <w:gridSpan w:val="2"/>
            <w:tcBorders>
              <w:bottom w:val="single" w:sz="18" w:space="0" w:color="1F4E79" w:themeColor="accent1" w:themeShade="80"/>
            </w:tcBorders>
            <w:shd w:val="clear" w:color="auto" w:fill="auto"/>
          </w:tcPr>
          <w:p w14:paraId="75BEF5E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39ED92B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Trend</w:t>
            </w:r>
          </w:p>
        </w:tc>
        <w:tc>
          <w:tcPr>
            <w:tcW w:w="767" w:type="dxa"/>
            <w:gridSpan w:val="2"/>
            <w:tcBorders>
              <w:bottom w:val="single" w:sz="18" w:space="0" w:color="1F4E79" w:themeColor="accent1" w:themeShade="80"/>
            </w:tcBorders>
            <w:shd w:val="clear" w:color="auto" w:fill="auto"/>
          </w:tcPr>
          <w:p w14:paraId="6A2235A5" w14:textId="77777777" w:rsidR="007371C6" w:rsidRPr="00F06E45" w:rsidRDefault="007371C6" w:rsidP="00F06E45">
            <w:pPr>
              <w:rPr>
                <w:rFonts w:ascii="Calibri" w:eastAsia="Calibri" w:hAnsi="Calibri" w:cs="Times New Roman"/>
                <w:sz w:val="16"/>
                <w:szCs w:val="16"/>
              </w:rPr>
            </w:pPr>
          </w:p>
          <w:p w14:paraId="3D70D98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1683</w:t>
            </w:r>
          </w:p>
        </w:tc>
        <w:tc>
          <w:tcPr>
            <w:tcW w:w="894" w:type="dxa"/>
            <w:tcBorders>
              <w:bottom w:val="single" w:sz="18" w:space="0" w:color="1F4E79" w:themeColor="accent1" w:themeShade="80"/>
            </w:tcBorders>
            <w:shd w:val="clear" w:color="auto" w:fill="auto"/>
          </w:tcPr>
          <w:p w14:paraId="2D54E62F"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70880" behindDoc="1" locked="0" layoutInCell="1" allowOverlap="1" wp14:anchorId="0CDAD19D" wp14:editId="41A825A3">
                  <wp:simplePos x="0" y="0"/>
                  <wp:positionH relativeFrom="column">
                    <wp:posOffset>3175</wp:posOffset>
                  </wp:positionH>
                  <wp:positionV relativeFrom="paragraph">
                    <wp:posOffset>123825</wp:posOffset>
                  </wp:positionV>
                  <wp:extent cx="221941" cy="221941"/>
                  <wp:effectExtent l="0" t="0" r="6985" b="6985"/>
                  <wp:wrapTight wrapText="bothSides">
                    <wp:wrapPolygon edited="0">
                      <wp:start x="0" y="0"/>
                      <wp:lineTo x="0" y="20424"/>
                      <wp:lineTo x="20424" y="20424"/>
                      <wp:lineTo x="20424"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41" cy="221941"/>
                          </a:xfrm>
                          <a:prstGeom prst="rect">
                            <a:avLst/>
                          </a:prstGeom>
                        </pic:spPr>
                      </pic:pic>
                    </a:graphicData>
                  </a:graphic>
                </wp:anchor>
              </w:drawing>
            </w:r>
          </w:p>
        </w:tc>
        <w:tc>
          <w:tcPr>
            <w:tcW w:w="5670" w:type="dxa"/>
            <w:gridSpan w:val="2"/>
            <w:tcBorders>
              <w:bottom w:val="single" w:sz="18" w:space="0" w:color="1F4E79" w:themeColor="accent1" w:themeShade="80"/>
            </w:tcBorders>
            <w:shd w:val="clear" w:color="auto" w:fill="auto"/>
          </w:tcPr>
          <w:p w14:paraId="2D0F5505" w14:textId="77777777" w:rsidR="007371C6" w:rsidRPr="00F06E45" w:rsidRDefault="007371C6" w:rsidP="00F06E45">
            <w:pPr>
              <w:rPr>
                <w:rFonts w:cs="Tahoma"/>
                <w:sz w:val="16"/>
                <w:szCs w:val="16"/>
              </w:rPr>
            </w:pPr>
            <w:r w:rsidRPr="00F06E45">
              <w:rPr>
                <w:rFonts w:cs="Tahoma"/>
                <w:sz w:val="16"/>
                <w:szCs w:val="16"/>
              </w:rPr>
              <w:t xml:space="preserve"> This figure refers to both counter and phone enquiries and is indicative of the increased level of Customer Service activity in Plumbing Services. </w:t>
            </w:r>
          </w:p>
          <w:p w14:paraId="403D6048" w14:textId="77777777" w:rsidR="007371C6" w:rsidRPr="00F06E45" w:rsidRDefault="007371C6" w:rsidP="00F06E45">
            <w:pPr>
              <w:rPr>
                <w:rFonts w:cs="Tahoma"/>
                <w:sz w:val="16"/>
                <w:szCs w:val="16"/>
              </w:rPr>
            </w:pPr>
          </w:p>
        </w:tc>
      </w:tr>
      <w:tr w:rsidR="007371C6" w:rsidRPr="00F06E45" w14:paraId="0EBD9983" w14:textId="77777777" w:rsidTr="00063500">
        <w:trPr>
          <w:trHeight w:val="190"/>
        </w:trPr>
        <w:tc>
          <w:tcPr>
            <w:tcW w:w="15593" w:type="dxa"/>
            <w:gridSpan w:val="12"/>
            <w:tcBorders>
              <w:top w:val="single" w:sz="18" w:space="0" w:color="1F4E79" w:themeColor="accent1" w:themeShade="80"/>
              <w:bottom w:val="single" w:sz="18" w:space="0" w:color="1F4E79" w:themeColor="accent1" w:themeShade="80"/>
            </w:tcBorders>
          </w:tcPr>
          <w:p w14:paraId="542E494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4.4.3 Continue to develop a more cohesive workplace culture with a strong customer focus </w:t>
            </w:r>
          </w:p>
        </w:tc>
      </w:tr>
      <w:tr w:rsidR="007371C6" w:rsidRPr="00F06E45" w14:paraId="0F968D53" w14:textId="77777777" w:rsidTr="00063500">
        <w:trPr>
          <w:trHeight w:val="190"/>
        </w:trPr>
        <w:tc>
          <w:tcPr>
            <w:tcW w:w="1276" w:type="dxa"/>
            <w:tcBorders>
              <w:top w:val="single" w:sz="18" w:space="0" w:color="1F4E79" w:themeColor="accent1" w:themeShade="80"/>
            </w:tcBorders>
            <w:shd w:val="clear" w:color="auto" w:fill="auto"/>
          </w:tcPr>
          <w:p w14:paraId="1AB6E7F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gridSpan w:val="2"/>
            <w:tcBorders>
              <w:top w:val="single" w:sz="18" w:space="0" w:color="1F4E79" w:themeColor="accent1" w:themeShade="80"/>
            </w:tcBorders>
            <w:shd w:val="clear" w:color="auto" w:fill="auto"/>
          </w:tcPr>
          <w:p w14:paraId="75EDE37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37" w:type="dxa"/>
            <w:gridSpan w:val="2"/>
            <w:tcBorders>
              <w:top w:val="single" w:sz="18" w:space="0" w:color="1F4E79" w:themeColor="accent1" w:themeShade="80"/>
            </w:tcBorders>
            <w:shd w:val="clear" w:color="auto" w:fill="auto"/>
          </w:tcPr>
          <w:p w14:paraId="423C4C4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gridSpan w:val="2"/>
            <w:tcBorders>
              <w:top w:val="single" w:sz="18" w:space="0" w:color="1F4E79" w:themeColor="accent1" w:themeShade="80"/>
            </w:tcBorders>
            <w:shd w:val="clear" w:color="auto" w:fill="auto"/>
          </w:tcPr>
          <w:p w14:paraId="1E47505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67" w:type="dxa"/>
            <w:gridSpan w:val="2"/>
            <w:tcBorders>
              <w:top w:val="single" w:sz="18" w:space="0" w:color="1F4E79" w:themeColor="accent1" w:themeShade="80"/>
            </w:tcBorders>
            <w:shd w:val="clear" w:color="auto" w:fill="auto"/>
          </w:tcPr>
          <w:p w14:paraId="30E18F1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94" w:type="dxa"/>
            <w:tcBorders>
              <w:top w:val="single" w:sz="18" w:space="0" w:color="1F4E79" w:themeColor="accent1" w:themeShade="80"/>
            </w:tcBorders>
          </w:tcPr>
          <w:p w14:paraId="583C3B4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1F4E79" w:themeColor="accent1" w:themeShade="80"/>
            </w:tcBorders>
            <w:shd w:val="clear" w:color="auto" w:fill="auto"/>
          </w:tcPr>
          <w:p w14:paraId="19B9FFC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715C9BC5" w14:textId="77777777" w:rsidTr="00063500">
        <w:trPr>
          <w:trHeight w:val="746"/>
        </w:trPr>
        <w:tc>
          <w:tcPr>
            <w:tcW w:w="1276" w:type="dxa"/>
            <w:shd w:val="clear" w:color="auto" w:fill="auto"/>
          </w:tcPr>
          <w:p w14:paraId="1DB871A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p w14:paraId="47EE19D2" w14:textId="77777777" w:rsidR="007371C6" w:rsidRPr="00F06E45" w:rsidRDefault="007371C6" w:rsidP="00F06E45">
            <w:pPr>
              <w:ind w:left="-108"/>
              <w:rPr>
                <w:rFonts w:ascii="Calibri" w:eastAsia="Calibri" w:hAnsi="Calibri" w:cs="Times New Roman"/>
                <w:sz w:val="18"/>
                <w:szCs w:val="18"/>
              </w:rPr>
            </w:pPr>
          </w:p>
        </w:tc>
        <w:tc>
          <w:tcPr>
            <w:tcW w:w="2410" w:type="dxa"/>
            <w:gridSpan w:val="2"/>
            <w:shd w:val="clear" w:color="auto" w:fill="auto"/>
          </w:tcPr>
          <w:p w14:paraId="14615F9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Customer Service: Call Centre: Call Management</w:t>
            </w:r>
          </w:p>
        </w:tc>
        <w:tc>
          <w:tcPr>
            <w:tcW w:w="3737" w:type="dxa"/>
            <w:gridSpan w:val="2"/>
            <w:shd w:val="clear" w:color="auto" w:fill="auto"/>
          </w:tcPr>
          <w:p w14:paraId="769BDBB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calls effectively processed at point of contact.</w:t>
            </w:r>
          </w:p>
        </w:tc>
        <w:tc>
          <w:tcPr>
            <w:tcW w:w="839" w:type="dxa"/>
            <w:gridSpan w:val="2"/>
            <w:shd w:val="clear" w:color="auto" w:fill="auto"/>
          </w:tcPr>
          <w:p w14:paraId="54491BD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13BD62C5"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90%</w:t>
            </w:r>
          </w:p>
        </w:tc>
        <w:tc>
          <w:tcPr>
            <w:tcW w:w="767" w:type="dxa"/>
            <w:gridSpan w:val="2"/>
            <w:shd w:val="clear" w:color="auto" w:fill="auto"/>
          </w:tcPr>
          <w:p w14:paraId="6382CF5E" w14:textId="77777777" w:rsidR="007371C6" w:rsidRPr="00F06E45" w:rsidRDefault="007371C6" w:rsidP="00F06E45">
            <w:pPr>
              <w:rPr>
                <w:rFonts w:ascii="Calibri" w:eastAsia="Calibri" w:hAnsi="Calibri" w:cs="Times New Roman"/>
                <w:sz w:val="16"/>
                <w:szCs w:val="16"/>
              </w:rPr>
            </w:pPr>
          </w:p>
          <w:p w14:paraId="2C5A450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97%</w:t>
            </w:r>
          </w:p>
        </w:tc>
        <w:tc>
          <w:tcPr>
            <w:tcW w:w="894" w:type="dxa"/>
            <w:shd w:val="clear" w:color="auto" w:fill="auto"/>
          </w:tcPr>
          <w:p w14:paraId="1E161ADF"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5584" behindDoc="1" locked="0" layoutInCell="1" allowOverlap="1" wp14:anchorId="6AB8C17E" wp14:editId="4CE3F276">
                  <wp:simplePos x="0" y="0"/>
                  <wp:positionH relativeFrom="column">
                    <wp:posOffset>-11314</wp:posOffset>
                  </wp:positionH>
                  <wp:positionV relativeFrom="paragraph">
                    <wp:posOffset>109739</wp:posOffset>
                  </wp:positionV>
                  <wp:extent cx="221615" cy="158115"/>
                  <wp:effectExtent l="0" t="0" r="6985" b="0"/>
                  <wp:wrapTight wrapText="bothSides">
                    <wp:wrapPolygon edited="0">
                      <wp:start x="0" y="0"/>
                      <wp:lineTo x="0" y="18217"/>
                      <wp:lineTo x="20424" y="18217"/>
                      <wp:lineTo x="2042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p w14:paraId="511198E1" w14:textId="77777777" w:rsidR="007371C6" w:rsidRPr="00F06E45" w:rsidRDefault="007371C6" w:rsidP="00F06E45">
            <w:pPr>
              <w:rPr>
                <w:rFonts w:ascii="Calibri" w:eastAsia="Calibri" w:hAnsi="Calibri" w:cs="Times New Roman"/>
                <w:sz w:val="16"/>
                <w:szCs w:val="16"/>
              </w:rPr>
            </w:pPr>
          </w:p>
        </w:tc>
        <w:tc>
          <w:tcPr>
            <w:tcW w:w="5670" w:type="dxa"/>
            <w:gridSpan w:val="2"/>
            <w:shd w:val="clear" w:color="auto" w:fill="auto"/>
          </w:tcPr>
          <w:p w14:paraId="2B22CE9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Customer Service Call Management has again exceeded expected KPI standards this quarter. A high standard of service was maintained even during periods of high customer demand in both the Property Rates &amp; Animal Renewal issue periods. </w:t>
            </w:r>
          </w:p>
        </w:tc>
      </w:tr>
      <w:tr w:rsidR="007371C6" w:rsidRPr="00F06E45" w14:paraId="17F97600" w14:textId="77777777" w:rsidTr="00063500">
        <w:trPr>
          <w:trHeight w:val="190"/>
        </w:trPr>
        <w:tc>
          <w:tcPr>
            <w:tcW w:w="1276" w:type="dxa"/>
            <w:tcBorders>
              <w:bottom w:val="single" w:sz="18" w:space="0" w:color="365F91"/>
            </w:tcBorders>
            <w:shd w:val="clear" w:color="auto" w:fill="auto"/>
          </w:tcPr>
          <w:p w14:paraId="08D0CCC1" w14:textId="77777777" w:rsidR="007371C6" w:rsidRPr="00F06E45" w:rsidRDefault="007371C6" w:rsidP="00F06E45">
            <w:pPr>
              <w:jc w:val="center"/>
              <w:rPr>
                <w:rFonts w:ascii="Calibri" w:eastAsia="Calibri" w:hAnsi="Calibri" w:cs="Times New Roman"/>
                <w:sz w:val="18"/>
                <w:szCs w:val="18"/>
              </w:rPr>
            </w:pPr>
          </w:p>
        </w:tc>
        <w:tc>
          <w:tcPr>
            <w:tcW w:w="2410" w:type="dxa"/>
            <w:gridSpan w:val="2"/>
            <w:tcBorders>
              <w:bottom w:val="single" w:sz="18" w:space="0" w:color="365F91"/>
            </w:tcBorders>
            <w:shd w:val="clear" w:color="auto" w:fill="auto"/>
          </w:tcPr>
          <w:p w14:paraId="4D4BC913" w14:textId="77777777" w:rsidR="007371C6" w:rsidRPr="00F06E45" w:rsidRDefault="007371C6" w:rsidP="00F06E45">
            <w:pPr>
              <w:rPr>
                <w:rFonts w:ascii="Calibri" w:eastAsia="Calibri" w:hAnsi="Calibri" w:cs="Times New Roman"/>
                <w:sz w:val="18"/>
                <w:szCs w:val="18"/>
              </w:rPr>
            </w:pPr>
          </w:p>
        </w:tc>
        <w:tc>
          <w:tcPr>
            <w:tcW w:w="3737" w:type="dxa"/>
            <w:gridSpan w:val="2"/>
            <w:tcBorders>
              <w:bottom w:val="single" w:sz="18" w:space="0" w:color="365F91"/>
            </w:tcBorders>
            <w:shd w:val="clear" w:color="auto" w:fill="auto"/>
          </w:tcPr>
          <w:p w14:paraId="6F6DCA3F" w14:textId="77777777" w:rsidR="007371C6" w:rsidRPr="00F06E45" w:rsidRDefault="007371C6" w:rsidP="00F06E45">
            <w:pPr>
              <w:rPr>
                <w:rFonts w:ascii="Calibri" w:eastAsia="Calibri" w:hAnsi="Calibri" w:cs="Times New Roman"/>
                <w:sz w:val="18"/>
                <w:szCs w:val="18"/>
              </w:rPr>
            </w:pPr>
          </w:p>
        </w:tc>
        <w:tc>
          <w:tcPr>
            <w:tcW w:w="839" w:type="dxa"/>
            <w:gridSpan w:val="2"/>
            <w:tcBorders>
              <w:bottom w:val="single" w:sz="18" w:space="0" w:color="365F91"/>
            </w:tcBorders>
            <w:shd w:val="clear" w:color="auto" w:fill="auto"/>
          </w:tcPr>
          <w:p w14:paraId="61F4C5C0" w14:textId="77777777" w:rsidR="007371C6" w:rsidRPr="00F06E45" w:rsidRDefault="007371C6" w:rsidP="00F06E45">
            <w:pPr>
              <w:rPr>
                <w:rFonts w:ascii="Calibri" w:eastAsia="Calibri" w:hAnsi="Calibri" w:cs="Times New Roman"/>
                <w:sz w:val="16"/>
                <w:szCs w:val="16"/>
              </w:rPr>
            </w:pPr>
          </w:p>
        </w:tc>
        <w:tc>
          <w:tcPr>
            <w:tcW w:w="767" w:type="dxa"/>
            <w:gridSpan w:val="2"/>
            <w:tcBorders>
              <w:bottom w:val="single" w:sz="18" w:space="0" w:color="365F91"/>
            </w:tcBorders>
            <w:shd w:val="clear" w:color="auto" w:fill="auto"/>
          </w:tcPr>
          <w:p w14:paraId="06534220" w14:textId="77777777" w:rsidR="007371C6" w:rsidRPr="00F06E45" w:rsidRDefault="007371C6" w:rsidP="00F06E45">
            <w:pPr>
              <w:rPr>
                <w:rFonts w:ascii="Calibri" w:eastAsia="Calibri" w:hAnsi="Calibri" w:cs="Times New Roman"/>
                <w:sz w:val="16"/>
                <w:szCs w:val="16"/>
              </w:rPr>
            </w:pPr>
          </w:p>
        </w:tc>
        <w:tc>
          <w:tcPr>
            <w:tcW w:w="894" w:type="dxa"/>
            <w:tcBorders>
              <w:bottom w:val="single" w:sz="18" w:space="0" w:color="365F91"/>
            </w:tcBorders>
          </w:tcPr>
          <w:p w14:paraId="431C8444" w14:textId="77777777" w:rsidR="007371C6" w:rsidRPr="00F06E45" w:rsidRDefault="007371C6" w:rsidP="00F06E45">
            <w:pPr>
              <w:rPr>
                <w:rFonts w:ascii="Calibri" w:eastAsia="Calibri" w:hAnsi="Calibri" w:cs="Times New Roman"/>
                <w:sz w:val="16"/>
                <w:szCs w:val="16"/>
              </w:rPr>
            </w:pPr>
          </w:p>
        </w:tc>
        <w:tc>
          <w:tcPr>
            <w:tcW w:w="5670" w:type="dxa"/>
            <w:gridSpan w:val="2"/>
            <w:tcBorders>
              <w:bottom w:val="single" w:sz="18" w:space="0" w:color="365F91"/>
            </w:tcBorders>
            <w:shd w:val="clear" w:color="auto" w:fill="auto"/>
          </w:tcPr>
          <w:p w14:paraId="380AF8D9" w14:textId="77777777" w:rsidR="007371C6" w:rsidRPr="00F06E45" w:rsidRDefault="007371C6" w:rsidP="00F06E45">
            <w:pPr>
              <w:rPr>
                <w:rFonts w:ascii="Calibri" w:eastAsia="Calibri" w:hAnsi="Calibri" w:cs="Times New Roman"/>
                <w:sz w:val="16"/>
                <w:szCs w:val="16"/>
              </w:rPr>
            </w:pPr>
          </w:p>
        </w:tc>
      </w:tr>
      <w:tr w:rsidR="007371C6" w:rsidRPr="00F06E45" w14:paraId="5B29FCE7" w14:textId="77777777" w:rsidTr="00063500">
        <w:trPr>
          <w:trHeight w:val="238"/>
        </w:trPr>
        <w:tc>
          <w:tcPr>
            <w:tcW w:w="15593" w:type="dxa"/>
            <w:gridSpan w:val="12"/>
            <w:tcBorders>
              <w:top w:val="single" w:sz="18" w:space="0" w:color="365F91"/>
              <w:bottom w:val="single" w:sz="18" w:space="0" w:color="365F91"/>
            </w:tcBorders>
            <w:shd w:val="clear" w:color="auto" w:fill="548DD4"/>
          </w:tcPr>
          <w:p w14:paraId="58309752" w14:textId="77777777" w:rsidR="007371C6" w:rsidRPr="00F06E45" w:rsidRDefault="007371C6" w:rsidP="00F06E45">
            <w:pPr>
              <w:ind w:left="-108"/>
              <w:rPr>
                <w:rFonts w:ascii="Calibri" w:eastAsia="Calibri" w:hAnsi="Calibri" w:cs="Times New Roman"/>
                <w:sz w:val="20"/>
                <w:szCs w:val="20"/>
              </w:rPr>
            </w:pPr>
            <w:r w:rsidRPr="00F06E45">
              <w:rPr>
                <w:rFonts w:ascii="Calibri" w:eastAsia="Calibri" w:hAnsi="Calibri" w:cs="Times New Roman"/>
                <w:b/>
              </w:rPr>
              <w:t>Outcome  4.5 Responsible financial management and efficient operations</w:t>
            </w:r>
            <w:r w:rsidRPr="00F06E45">
              <w:rPr>
                <w:rFonts w:ascii="Calibri" w:eastAsia="Calibri" w:hAnsi="Calibri" w:cs="Times New Roman"/>
                <w:b/>
                <w:sz w:val="20"/>
                <w:szCs w:val="20"/>
              </w:rPr>
              <w:t xml:space="preserve"> </w:t>
            </w:r>
          </w:p>
        </w:tc>
      </w:tr>
      <w:tr w:rsidR="007371C6" w:rsidRPr="00F06E45" w14:paraId="2195D2CD" w14:textId="77777777" w:rsidTr="00063500">
        <w:trPr>
          <w:trHeight w:val="190"/>
        </w:trPr>
        <w:tc>
          <w:tcPr>
            <w:tcW w:w="15593" w:type="dxa"/>
            <w:gridSpan w:val="12"/>
            <w:tcBorders>
              <w:top w:val="single" w:sz="18" w:space="0" w:color="365F91"/>
              <w:bottom w:val="single" w:sz="18" w:space="0" w:color="365F91"/>
            </w:tcBorders>
          </w:tcPr>
          <w:p w14:paraId="74D81B2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4.5.1 Maintain a long-term financial sustainability strategy </w:t>
            </w:r>
          </w:p>
        </w:tc>
      </w:tr>
      <w:tr w:rsidR="007371C6" w:rsidRPr="00F06E45" w14:paraId="74A9E893" w14:textId="77777777" w:rsidTr="00063500">
        <w:trPr>
          <w:trHeight w:val="206"/>
        </w:trPr>
        <w:tc>
          <w:tcPr>
            <w:tcW w:w="1276" w:type="dxa"/>
            <w:tcBorders>
              <w:top w:val="single" w:sz="18" w:space="0" w:color="365F91"/>
            </w:tcBorders>
            <w:shd w:val="clear" w:color="auto" w:fill="auto"/>
          </w:tcPr>
          <w:p w14:paraId="0BC4C83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gridSpan w:val="2"/>
            <w:tcBorders>
              <w:top w:val="single" w:sz="18" w:space="0" w:color="365F91"/>
            </w:tcBorders>
            <w:shd w:val="clear" w:color="auto" w:fill="auto"/>
          </w:tcPr>
          <w:p w14:paraId="17425D6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737" w:type="dxa"/>
            <w:gridSpan w:val="2"/>
            <w:tcBorders>
              <w:top w:val="single" w:sz="18" w:space="0" w:color="365F91"/>
            </w:tcBorders>
            <w:shd w:val="clear" w:color="auto" w:fill="auto"/>
          </w:tcPr>
          <w:p w14:paraId="6805BCFD"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39" w:type="dxa"/>
            <w:gridSpan w:val="2"/>
            <w:tcBorders>
              <w:top w:val="single" w:sz="18" w:space="0" w:color="365F91"/>
            </w:tcBorders>
            <w:shd w:val="clear" w:color="auto" w:fill="auto"/>
          </w:tcPr>
          <w:p w14:paraId="3F3012D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67" w:type="dxa"/>
            <w:gridSpan w:val="2"/>
            <w:tcBorders>
              <w:top w:val="single" w:sz="18" w:space="0" w:color="365F91"/>
            </w:tcBorders>
            <w:shd w:val="clear" w:color="auto" w:fill="auto"/>
          </w:tcPr>
          <w:p w14:paraId="324EE51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94" w:type="dxa"/>
            <w:tcBorders>
              <w:top w:val="single" w:sz="18" w:space="0" w:color="365F91"/>
            </w:tcBorders>
          </w:tcPr>
          <w:p w14:paraId="17B8A02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shd w:val="clear" w:color="auto" w:fill="auto"/>
          </w:tcPr>
          <w:p w14:paraId="20E462AA"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2CB5F5F6" w14:textId="77777777" w:rsidTr="00063500">
        <w:trPr>
          <w:trHeight w:val="365"/>
        </w:trPr>
        <w:tc>
          <w:tcPr>
            <w:tcW w:w="1276" w:type="dxa"/>
            <w:shd w:val="clear" w:color="auto" w:fill="auto"/>
          </w:tcPr>
          <w:p w14:paraId="354C40E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Sustainable Finance </w:t>
            </w:r>
          </w:p>
        </w:tc>
        <w:tc>
          <w:tcPr>
            <w:tcW w:w="2410" w:type="dxa"/>
            <w:gridSpan w:val="2"/>
            <w:shd w:val="clear" w:color="auto" w:fill="auto"/>
          </w:tcPr>
          <w:p w14:paraId="4963586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Budget: Operating Surplus</w:t>
            </w:r>
          </w:p>
        </w:tc>
        <w:tc>
          <w:tcPr>
            <w:tcW w:w="3737" w:type="dxa"/>
            <w:gridSpan w:val="2"/>
            <w:shd w:val="clear" w:color="auto" w:fill="auto"/>
          </w:tcPr>
          <w:p w14:paraId="034349E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Ratio is between 0 and 15% of total operating revenue.</w:t>
            </w:r>
          </w:p>
        </w:tc>
        <w:tc>
          <w:tcPr>
            <w:tcW w:w="839" w:type="dxa"/>
            <w:gridSpan w:val="2"/>
            <w:shd w:val="clear" w:color="auto" w:fill="auto"/>
          </w:tcPr>
          <w:p w14:paraId="4775E3C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0B01520"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5%</w:t>
            </w:r>
          </w:p>
        </w:tc>
        <w:tc>
          <w:tcPr>
            <w:tcW w:w="767" w:type="dxa"/>
            <w:gridSpan w:val="2"/>
            <w:shd w:val="clear" w:color="auto" w:fill="auto"/>
          </w:tcPr>
          <w:p w14:paraId="4E273036" w14:textId="77777777" w:rsidR="007371C6" w:rsidRPr="00F06E45" w:rsidRDefault="007371C6" w:rsidP="00F06E45">
            <w:pPr>
              <w:rPr>
                <w:rFonts w:ascii="Calibri" w:eastAsia="Calibri" w:hAnsi="Calibri" w:cs="Times New Roman"/>
                <w:sz w:val="16"/>
                <w:szCs w:val="16"/>
              </w:rPr>
            </w:pPr>
          </w:p>
          <w:p w14:paraId="50715B5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n/a </w:t>
            </w:r>
          </w:p>
        </w:tc>
        <w:tc>
          <w:tcPr>
            <w:tcW w:w="894" w:type="dxa"/>
            <w:shd w:val="clear" w:color="auto" w:fill="auto"/>
          </w:tcPr>
          <w:p w14:paraId="27C8E1C8"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6608" behindDoc="1" locked="0" layoutInCell="1" allowOverlap="1" wp14:anchorId="5FD98417" wp14:editId="36AD3D6C">
                  <wp:simplePos x="0" y="0"/>
                  <wp:positionH relativeFrom="column">
                    <wp:posOffset>2540</wp:posOffset>
                  </wp:positionH>
                  <wp:positionV relativeFrom="paragraph">
                    <wp:posOffset>130175</wp:posOffset>
                  </wp:positionV>
                  <wp:extent cx="221615" cy="158115"/>
                  <wp:effectExtent l="0" t="0" r="6985" b="0"/>
                  <wp:wrapTight wrapText="bothSides">
                    <wp:wrapPolygon edited="0">
                      <wp:start x="0" y="0"/>
                      <wp:lineTo x="0" y="18217"/>
                      <wp:lineTo x="20424" y="18217"/>
                      <wp:lineTo x="204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608A87B3" w14:textId="77777777" w:rsidR="007371C6" w:rsidRPr="00F06E45" w:rsidRDefault="007371C6" w:rsidP="00F06E45">
            <w:pPr>
              <w:rPr>
                <w:rFonts w:ascii="Calibri" w:eastAsia="Calibri" w:hAnsi="Calibri" w:cs="Times New Roman"/>
                <w:sz w:val="16"/>
                <w:szCs w:val="16"/>
              </w:rPr>
            </w:pPr>
          </w:p>
          <w:p w14:paraId="3D84DA4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KPI will be reported on in the 4</w:t>
            </w:r>
            <w:r w:rsidRPr="00F06E45">
              <w:rPr>
                <w:rFonts w:ascii="Calibri" w:eastAsia="Calibri" w:hAnsi="Calibri" w:cs="Times New Roman"/>
                <w:sz w:val="16"/>
                <w:szCs w:val="16"/>
                <w:vertAlign w:val="superscript"/>
              </w:rPr>
              <w:t>th</w:t>
            </w:r>
            <w:r w:rsidRPr="00F06E45">
              <w:rPr>
                <w:rFonts w:ascii="Calibri" w:eastAsia="Calibri" w:hAnsi="Calibri" w:cs="Times New Roman"/>
                <w:sz w:val="16"/>
                <w:szCs w:val="16"/>
              </w:rPr>
              <w:t xml:space="preserve"> quarter. </w:t>
            </w:r>
            <w:r w:rsidR="00063500" w:rsidRPr="00F06E45">
              <w:rPr>
                <w:rFonts w:ascii="Calibri" w:eastAsia="Calibri" w:hAnsi="Calibri" w:cs="Times New Roman"/>
                <w:sz w:val="16"/>
                <w:szCs w:val="16"/>
              </w:rPr>
              <w:t>(The 2014-2015 result was 3.4%)</w:t>
            </w:r>
          </w:p>
        </w:tc>
      </w:tr>
      <w:tr w:rsidR="007371C6" w:rsidRPr="00F06E45" w14:paraId="57463A8B" w14:textId="77777777" w:rsidTr="00063500">
        <w:trPr>
          <w:trHeight w:val="397"/>
        </w:trPr>
        <w:tc>
          <w:tcPr>
            <w:tcW w:w="1276" w:type="dxa"/>
            <w:tcBorders>
              <w:bottom w:val="single" w:sz="18" w:space="0" w:color="365F91"/>
            </w:tcBorders>
            <w:shd w:val="clear" w:color="auto" w:fill="auto"/>
          </w:tcPr>
          <w:p w14:paraId="5BA9ABF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Sustainable Finance </w:t>
            </w:r>
          </w:p>
        </w:tc>
        <w:tc>
          <w:tcPr>
            <w:tcW w:w="2410" w:type="dxa"/>
            <w:gridSpan w:val="2"/>
            <w:tcBorders>
              <w:bottom w:val="single" w:sz="18" w:space="0" w:color="365F91"/>
            </w:tcBorders>
            <w:shd w:val="clear" w:color="auto" w:fill="auto"/>
          </w:tcPr>
          <w:p w14:paraId="1738100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Forecasting: Asset Sustainability Ratio</w:t>
            </w:r>
          </w:p>
        </w:tc>
        <w:tc>
          <w:tcPr>
            <w:tcW w:w="3737" w:type="dxa"/>
            <w:gridSpan w:val="2"/>
            <w:tcBorders>
              <w:bottom w:val="single" w:sz="18" w:space="0" w:color="365F91"/>
            </w:tcBorders>
            <w:shd w:val="clear" w:color="auto" w:fill="auto"/>
          </w:tcPr>
          <w:p w14:paraId="5CCAE34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Capital expenditure on replacement assets is greater than 90% of depreciation.</w:t>
            </w:r>
          </w:p>
        </w:tc>
        <w:tc>
          <w:tcPr>
            <w:tcW w:w="839" w:type="dxa"/>
            <w:gridSpan w:val="2"/>
            <w:tcBorders>
              <w:bottom w:val="single" w:sz="18" w:space="0" w:color="365F91"/>
            </w:tcBorders>
            <w:shd w:val="clear" w:color="auto" w:fill="auto"/>
          </w:tcPr>
          <w:p w14:paraId="6E7F2B9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FB7E3D3"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100%</w:t>
            </w:r>
          </w:p>
        </w:tc>
        <w:tc>
          <w:tcPr>
            <w:tcW w:w="767" w:type="dxa"/>
            <w:gridSpan w:val="2"/>
            <w:tcBorders>
              <w:bottom w:val="single" w:sz="18" w:space="0" w:color="365F91"/>
            </w:tcBorders>
            <w:shd w:val="clear" w:color="auto" w:fill="auto"/>
          </w:tcPr>
          <w:p w14:paraId="6CABD052" w14:textId="77777777" w:rsidR="007371C6" w:rsidRPr="00F06E45" w:rsidRDefault="007371C6" w:rsidP="00F06E45">
            <w:pPr>
              <w:rPr>
                <w:rFonts w:ascii="Calibri" w:eastAsia="Calibri" w:hAnsi="Calibri" w:cs="Times New Roman"/>
                <w:sz w:val="16"/>
                <w:szCs w:val="16"/>
              </w:rPr>
            </w:pPr>
          </w:p>
          <w:p w14:paraId="1663BC3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n/a</w:t>
            </w:r>
          </w:p>
        </w:tc>
        <w:tc>
          <w:tcPr>
            <w:tcW w:w="894" w:type="dxa"/>
            <w:tcBorders>
              <w:bottom w:val="single" w:sz="18" w:space="0" w:color="365F91"/>
            </w:tcBorders>
          </w:tcPr>
          <w:p w14:paraId="0B398A71"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7632" behindDoc="1" locked="0" layoutInCell="1" allowOverlap="1" wp14:anchorId="2F1A349F" wp14:editId="1B61902E">
                  <wp:simplePos x="0" y="0"/>
                  <wp:positionH relativeFrom="column">
                    <wp:posOffset>2540</wp:posOffset>
                  </wp:positionH>
                  <wp:positionV relativeFrom="paragraph">
                    <wp:posOffset>128905</wp:posOffset>
                  </wp:positionV>
                  <wp:extent cx="221615" cy="158115"/>
                  <wp:effectExtent l="0" t="0" r="6985" b="0"/>
                  <wp:wrapTight wrapText="bothSides">
                    <wp:wrapPolygon edited="0">
                      <wp:start x="0" y="0"/>
                      <wp:lineTo x="0" y="18217"/>
                      <wp:lineTo x="20424" y="18217"/>
                      <wp:lineTo x="2042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365F91"/>
            </w:tcBorders>
            <w:shd w:val="clear" w:color="auto" w:fill="auto"/>
          </w:tcPr>
          <w:p w14:paraId="3980C474" w14:textId="77777777" w:rsidR="007371C6" w:rsidRPr="00F06E45" w:rsidRDefault="00063500" w:rsidP="00F06E45">
            <w:pPr>
              <w:rPr>
                <w:rFonts w:ascii="Calibri" w:eastAsia="Calibri" w:hAnsi="Calibri" w:cs="Times New Roman"/>
                <w:sz w:val="16"/>
                <w:szCs w:val="16"/>
              </w:rPr>
            </w:pPr>
            <w:r w:rsidRPr="00F06E45">
              <w:rPr>
                <w:rFonts w:ascii="Calibri" w:eastAsia="Calibri" w:hAnsi="Calibri" w:cs="Times New Roman"/>
                <w:sz w:val="16"/>
                <w:szCs w:val="16"/>
              </w:rPr>
              <w:t xml:space="preserve"> </w:t>
            </w:r>
          </w:p>
          <w:p w14:paraId="1BFD60D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KPI will be reported on in the 4</w:t>
            </w:r>
            <w:r w:rsidRPr="00F06E45">
              <w:rPr>
                <w:rFonts w:ascii="Calibri" w:eastAsia="Calibri" w:hAnsi="Calibri" w:cs="Times New Roman"/>
                <w:sz w:val="16"/>
                <w:szCs w:val="16"/>
                <w:vertAlign w:val="superscript"/>
              </w:rPr>
              <w:t>th</w:t>
            </w:r>
            <w:r w:rsidRPr="00F06E45">
              <w:rPr>
                <w:rFonts w:ascii="Calibri" w:eastAsia="Calibri" w:hAnsi="Calibri" w:cs="Times New Roman"/>
                <w:sz w:val="16"/>
                <w:szCs w:val="16"/>
              </w:rPr>
              <w:t xml:space="preserve"> quarter.</w:t>
            </w:r>
            <w:r w:rsidR="00063500" w:rsidRPr="00F06E45">
              <w:rPr>
                <w:rFonts w:ascii="Calibri" w:eastAsia="Calibri" w:hAnsi="Calibri" w:cs="Times New Roman"/>
                <w:sz w:val="16"/>
                <w:szCs w:val="16"/>
              </w:rPr>
              <w:t xml:space="preserve"> (The 2014-2015 result was 100%)</w:t>
            </w:r>
          </w:p>
          <w:p w14:paraId="62791BFA" w14:textId="77777777" w:rsidR="007371C6" w:rsidRPr="00F06E45" w:rsidRDefault="007371C6" w:rsidP="00F06E45">
            <w:pPr>
              <w:rPr>
                <w:rFonts w:ascii="Calibri" w:eastAsia="Calibri" w:hAnsi="Calibri" w:cs="Times New Roman"/>
                <w:sz w:val="16"/>
                <w:szCs w:val="16"/>
              </w:rPr>
            </w:pPr>
          </w:p>
          <w:p w14:paraId="5B333A08" w14:textId="77777777" w:rsidR="007371C6" w:rsidRPr="00F06E45" w:rsidRDefault="007371C6" w:rsidP="00F06E45">
            <w:pPr>
              <w:rPr>
                <w:rFonts w:ascii="Calibri" w:eastAsia="Calibri" w:hAnsi="Calibri" w:cs="Times New Roman"/>
                <w:sz w:val="16"/>
                <w:szCs w:val="16"/>
              </w:rPr>
            </w:pPr>
          </w:p>
        </w:tc>
      </w:tr>
      <w:tr w:rsidR="007371C6" w:rsidRPr="00F06E45" w14:paraId="1B1D498B" w14:textId="77777777" w:rsidTr="00063500">
        <w:trPr>
          <w:trHeight w:val="206"/>
        </w:trPr>
        <w:tc>
          <w:tcPr>
            <w:tcW w:w="1660" w:type="dxa"/>
            <w:gridSpan w:val="2"/>
            <w:tcBorders>
              <w:top w:val="single" w:sz="18" w:space="0" w:color="365F91"/>
            </w:tcBorders>
            <w:shd w:val="clear" w:color="auto" w:fill="auto"/>
          </w:tcPr>
          <w:p w14:paraId="3C40C714" w14:textId="77777777" w:rsidR="007371C6" w:rsidRPr="00F06E45" w:rsidRDefault="007371C6" w:rsidP="00F06E45">
            <w:pPr>
              <w:rPr>
                <w:rFonts w:ascii="Calibri" w:eastAsia="Calibri" w:hAnsi="Calibri" w:cs="Times New Roman"/>
                <w:sz w:val="18"/>
                <w:szCs w:val="18"/>
              </w:rPr>
            </w:pPr>
          </w:p>
        </w:tc>
        <w:tc>
          <w:tcPr>
            <w:tcW w:w="2967" w:type="dxa"/>
            <w:gridSpan w:val="2"/>
            <w:tcBorders>
              <w:top w:val="single" w:sz="18" w:space="0" w:color="365F91"/>
            </w:tcBorders>
            <w:shd w:val="clear" w:color="auto" w:fill="auto"/>
          </w:tcPr>
          <w:p w14:paraId="1C222947" w14:textId="77777777" w:rsidR="007371C6" w:rsidRPr="00F06E45" w:rsidRDefault="007371C6" w:rsidP="00F06E45">
            <w:pPr>
              <w:rPr>
                <w:rFonts w:ascii="Calibri" w:eastAsia="Calibri" w:hAnsi="Calibri" w:cs="Times New Roman"/>
                <w:sz w:val="18"/>
                <w:szCs w:val="18"/>
              </w:rPr>
            </w:pPr>
          </w:p>
        </w:tc>
        <w:tc>
          <w:tcPr>
            <w:tcW w:w="2877" w:type="dxa"/>
            <w:gridSpan w:val="2"/>
            <w:tcBorders>
              <w:top w:val="single" w:sz="18" w:space="0" w:color="365F91"/>
            </w:tcBorders>
            <w:shd w:val="clear" w:color="auto" w:fill="auto"/>
          </w:tcPr>
          <w:p w14:paraId="6596488E" w14:textId="77777777" w:rsidR="007371C6" w:rsidRPr="00F06E45" w:rsidRDefault="007371C6" w:rsidP="00F06E45">
            <w:pPr>
              <w:rPr>
                <w:rFonts w:ascii="Calibri" w:eastAsia="Calibri" w:hAnsi="Calibri" w:cs="Times New Roman"/>
                <w:sz w:val="18"/>
                <w:szCs w:val="18"/>
              </w:rPr>
            </w:pPr>
          </w:p>
        </w:tc>
        <w:tc>
          <w:tcPr>
            <w:tcW w:w="832" w:type="dxa"/>
            <w:gridSpan w:val="2"/>
            <w:tcBorders>
              <w:top w:val="single" w:sz="18" w:space="0" w:color="365F91"/>
            </w:tcBorders>
            <w:shd w:val="clear" w:color="auto" w:fill="auto"/>
          </w:tcPr>
          <w:p w14:paraId="516A5F87" w14:textId="77777777" w:rsidR="007371C6" w:rsidRPr="00F06E45" w:rsidRDefault="007371C6" w:rsidP="00F06E45">
            <w:pPr>
              <w:rPr>
                <w:rFonts w:ascii="Calibri" w:eastAsia="Calibri" w:hAnsi="Calibri" w:cs="Times New Roman"/>
                <w:sz w:val="16"/>
                <w:szCs w:val="16"/>
              </w:rPr>
            </w:pPr>
          </w:p>
        </w:tc>
        <w:tc>
          <w:tcPr>
            <w:tcW w:w="693" w:type="dxa"/>
            <w:tcBorders>
              <w:top w:val="single" w:sz="18" w:space="0" w:color="365F91"/>
            </w:tcBorders>
            <w:shd w:val="clear" w:color="auto" w:fill="auto"/>
          </w:tcPr>
          <w:p w14:paraId="78DFA61D" w14:textId="77777777" w:rsidR="007371C6" w:rsidRPr="00F06E45" w:rsidRDefault="007371C6" w:rsidP="00F06E45">
            <w:pPr>
              <w:rPr>
                <w:rFonts w:ascii="Calibri" w:eastAsia="Calibri" w:hAnsi="Calibri" w:cs="Times New Roman"/>
                <w:sz w:val="16"/>
                <w:szCs w:val="16"/>
              </w:rPr>
            </w:pPr>
          </w:p>
        </w:tc>
        <w:tc>
          <w:tcPr>
            <w:tcW w:w="3190" w:type="dxa"/>
            <w:gridSpan w:val="2"/>
            <w:tcBorders>
              <w:top w:val="single" w:sz="18" w:space="0" w:color="365F91"/>
            </w:tcBorders>
          </w:tcPr>
          <w:p w14:paraId="36F4B234" w14:textId="77777777" w:rsidR="007371C6" w:rsidRPr="00F06E45" w:rsidRDefault="007371C6" w:rsidP="00F06E45">
            <w:pPr>
              <w:rPr>
                <w:rFonts w:ascii="Calibri" w:eastAsia="Calibri" w:hAnsi="Calibri" w:cs="Times New Roman"/>
                <w:sz w:val="16"/>
                <w:szCs w:val="16"/>
              </w:rPr>
            </w:pPr>
          </w:p>
        </w:tc>
        <w:tc>
          <w:tcPr>
            <w:tcW w:w="3374" w:type="dxa"/>
            <w:tcBorders>
              <w:top w:val="single" w:sz="18" w:space="0" w:color="365F91"/>
            </w:tcBorders>
            <w:shd w:val="clear" w:color="auto" w:fill="auto"/>
          </w:tcPr>
          <w:p w14:paraId="64653E8B" w14:textId="77777777" w:rsidR="007371C6" w:rsidRPr="00F06E45" w:rsidRDefault="007371C6" w:rsidP="00F06E45">
            <w:pPr>
              <w:rPr>
                <w:rFonts w:ascii="Calibri" w:eastAsia="Calibri" w:hAnsi="Calibri" w:cs="Times New Roman"/>
                <w:sz w:val="16"/>
                <w:szCs w:val="16"/>
              </w:rPr>
            </w:pPr>
          </w:p>
        </w:tc>
      </w:tr>
    </w:tbl>
    <w:p w14:paraId="4D9B1450"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rPr>
        <w:t>responsive, cohesive, sustainable, ethical and accountable</w:t>
      </w:r>
    </w:p>
    <w:p w14:paraId="51673174"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sectPr w:rsidR="007371C6" w:rsidRPr="00F06E45" w:rsidSect="000F71F5">
          <w:pgSz w:w="16838" w:h="11906" w:orient="landscape"/>
          <w:pgMar w:top="0" w:right="678" w:bottom="709" w:left="567" w:header="708" w:footer="173" w:gutter="0"/>
          <w:cols w:space="708"/>
          <w:titlePg/>
          <w:docGrid w:linePitch="360"/>
        </w:sectPr>
      </w:pPr>
    </w:p>
    <w:p w14:paraId="7EE11AA9"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p>
    <w:p w14:paraId="1CC8B856" w14:textId="77777777" w:rsidR="007371C6" w:rsidRPr="00F06E45" w:rsidRDefault="007371C6" w:rsidP="00F06E45">
      <w:pPr>
        <w:spacing w:after="200" w:line="276" w:lineRule="auto"/>
        <w:rPr>
          <w:rFonts w:ascii="Calibri" w:eastAsia="Calibri" w:hAnsi="Calibri" w:cs="Times New Roman"/>
          <w:sz w:val="44"/>
          <w:szCs w:val="44"/>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rPr>
        <w:t>responsive, cohesive, sustainable, ethical and accountable</w:t>
      </w:r>
    </w:p>
    <w:tbl>
      <w:tblPr>
        <w:tblStyle w:val="TableGrid1"/>
        <w:tblpPr w:leftFromText="180" w:rightFromText="180" w:vertAnchor="text" w:horzAnchor="margin" w:tblpY="114"/>
        <w:tblW w:w="15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410"/>
        <w:gridCol w:w="3827"/>
        <w:gridCol w:w="851"/>
        <w:gridCol w:w="708"/>
        <w:gridCol w:w="851"/>
        <w:gridCol w:w="5670"/>
        <w:gridCol w:w="236"/>
      </w:tblGrid>
      <w:tr w:rsidR="007371C6" w:rsidRPr="00F06E45" w14:paraId="5E5CFF7B" w14:textId="77777777" w:rsidTr="00063500">
        <w:trPr>
          <w:trHeight w:val="227"/>
        </w:trPr>
        <w:tc>
          <w:tcPr>
            <w:tcW w:w="15593" w:type="dxa"/>
            <w:gridSpan w:val="7"/>
            <w:tcBorders>
              <w:top w:val="single" w:sz="18" w:space="0" w:color="365F91"/>
              <w:bottom w:val="single" w:sz="18" w:space="0" w:color="365F91"/>
            </w:tcBorders>
            <w:shd w:val="clear" w:color="auto" w:fill="548DD4"/>
          </w:tcPr>
          <w:p w14:paraId="5B54874B" w14:textId="77777777" w:rsidR="007371C6" w:rsidRPr="00F06E45" w:rsidRDefault="007371C6" w:rsidP="00F06E45">
            <w:pPr>
              <w:ind w:left="-108"/>
              <w:rPr>
                <w:rFonts w:ascii="Calibri" w:eastAsia="Calibri" w:hAnsi="Calibri" w:cs="Times New Roman"/>
                <w:sz w:val="20"/>
                <w:szCs w:val="20"/>
              </w:rPr>
            </w:pPr>
            <w:r w:rsidRPr="00F06E45">
              <w:rPr>
                <w:rFonts w:ascii="Calibri" w:eastAsia="Calibri" w:hAnsi="Calibri" w:cs="Times New Roman"/>
                <w:b/>
              </w:rPr>
              <w:t>Outcome  4.5 Responsible financial management and efficient operations</w:t>
            </w:r>
          </w:p>
        </w:tc>
        <w:tc>
          <w:tcPr>
            <w:tcW w:w="236" w:type="dxa"/>
          </w:tcPr>
          <w:p w14:paraId="54D73019" w14:textId="77777777" w:rsidR="007371C6" w:rsidRPr="00F06E45" w:rsidRDefault="007371C6" w:rsidP="00F06E45">
            <w:pPr>
              <w:rPr>
                <w:rFonts w:ascii="Calibri" w:eastAsia="Calibri" w:hAnsi="Calibri" w:cs="Times New Roman"/>
                <w:b/>
              </w:rPr>
            </w:pPr>
          </w:p>
        </w:tc>
      </w:tr>
      <w:tr w:rsidR="007371C6" w:rsidRPr="00F06E45" w14:paraId="27EB4EAA" w14:textId="77777777" w:rsidTr="00063500">
        <w:trPr>
          <w:trHeight w:val="199"/>
        </w:trPr>
        <w:tc>
          <w:tcPr>
            <w:tcW w:w="15593" w:type="dxa"/>
            <w:gridSpan w:val="7"/>
            <w:tcBorders>
              <w:top w:val="single" w:sz="18" w:space="0" w:color="365F91"/>
              <w:bottom w:val="single" w:sz="18" w:space="0" w:color="1F4E79" w:themeColor="accent1" w:themeShade="80"/>
            </w:tcBorders>
          </w:tcPr>
          <w:p w14:paraId="30C1E7B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4.5.2 Drive the region's strategic direction on behalf of the community through effective and responsible policy, planning and decision making</w:t>
            </w:r>
          </w:p>
        </w:tc>
        <w:tc>
          <w:tcPr>
            <w:tcW w:w="236" w:type="dxa"/>
          </w:tcPr>
          <w:p w14:paraId="19E2ABF3" w14:textId="77777777" w:rsidR="007371C6" w:rsidRPr="00F06E45" w:rsidRDefault="007371C6" w:rsidP="00F06E45">
            <w:pPr>
              <w:rPr>
                <w:rFonts w:ascii="Calibri" w:eastAsia="Calibri" w:hAnsi="Calibri" w:cs="Times New Roman"/>
                <w:b/>
              </w:rPr>
            </w:pPr>
          </w:p>
        </w:tc>
      </w:tr>
      <w:tr w:rsidR="007371C6" w:rsidRPr="00F06E45" w14:paraId="41125B8F" w14:textId="77777777" w:rsidTr="00063500">
        <w:trPr>
          <w:gridAfter w:val="1"/>
          <w:wAfter w:w="236" w:type="dxa"/>
          <w:trHeight w:val="213"/>
        </w:trPr>
        <w:tc>
          <w:tcPr>
            <w:tcW w:w="1276" w:type="dxa"/>
            <w:tcBorders>
              <w:top w:val="single" w:sz="18" w:space="0" w:color="1F4E79" w:themeColor="accent1" w:themeShade="80"/>
            </w:tcBorders>
            <w:shd w:val="clear" w:color="auto" w:fill="auto"/>
          </w:tcPr>
          <w:p w14:paraId="09358AE1"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1F4E79" w:themeColor="accent1" w:themeShade="80"/>
            </w:tcBorders>
            <w:shd w:val="clear" w:color="auto" w:fill="auto"/>
          </w:tcPr>
          <w:p w14:paraId="661D994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827" w:type="dxa"/>
            <w:tcBorders>
              <w:top w:val="single" w:sz="18" w:space="0" w:color="1F4E79" w:themeColor="accent1" w:themeShade="80"/>
            </w:tcBorders>
            <w:shd w:val="clear" w:color="auto" w:fill="auto"/>
          </w:tcPr>
          <w:p w14:paraId="188E13D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1F4E79" w:themeColor="accent1" w:themeShade="80"/>
            </w:tcBorders>
            <w:shd w:val="clear" w:color="auto" w:fill="auto"/>
          </w:tcPr>
          <w:p w14:paraId="1D9BA07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708" w:type="dxa"/>
            <w:tcBorders>
              <w:top w:val="single" w:sz="18" w:space="0" w:color="1F4E79" w:themeColor="accent1" w:themeShade="80"/>
            </w:tcBorders>
            <w:shd w:val="clear" w:color="auto" w:fill="auto"/>
          </w:tcPr>
          <w:p w14:paraId="76676651" w14:textId="77777777" w:rsidR="007371C6" w:rsidRPr="00F06E45" w:rsidRDefault="007371C6" w:rsidP="00F06E45">
            <w:pPr>
              <w:jc w:val="both"/>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tcBorders>
              <w:top w:val="single" w:sz="18" w:space="0" w:color="1F4E79" w:themeColor="accent1" w:themeShade="80"/>
            </w:tcBorders>
          </w:tcPr>
          <w:p w14:paraId="77CD2C0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tcBorders>
              <w:top w:val="single" w:sz="18" w:space="0" w:color="1F4E79" w:themeColor="accent1" w:themeShade="80"/>
            </w:tcBorders>
            <w:shd w:val="clear" w:color="auto" w:fill="auto"/>
          </w:tcPr>
          <w:p w14:paraId="151E28D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378EB631" w14:textId="77777777" w:rsidTr="00063500">
        <w:trPr>
          <w:gridAfter w:val="1"/>
          <w:wAfter w:w="236" w:type="dxa"/>
          <w:trHeight w:val="399"/>
        </w:trPr>
        <w:tc>
          <w:tcPr>
            <w:tcW w:w="1276" w:type="dxa"/>
            <w:shd w:val="clear" w:color="auto" w:fill="auto"/>
          </w:tcPr>
          <w:p w14:paraId="784F5C6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w:t>
            </w:r>
          </w:p>
        </w:tc>
        <w:tc>
          <w:tcPr>
            <w:tcW w:w="2410" w:type="dxa"/>
            <w:shd w:val="clear" w:color="auto" w:fill="auto"/>
          </w:tcPr>
          <w:p w14:paraId="1798EB5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Development Compliance</w:t>
            </w:r>
          </w:p>
        </w:tc>
        <w:tc>
          <w:tcPr>
            <w:tcW w:w="3827" w:type="dxa"/>
            <w:shd w:val="clear" w:color="auto" w:fill="auto"/>
          </w:tcPr>
          <w:p w14:paraId="6089D95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Enforcement actions are taken within statutory timeframes (includes actions against breaches and unlawful use of land, defective or illegal building works).</w:t>
            </w:r>
          </w:p>
        </w:tc>
        <w:tc>
          <w:tcPr>
            <w:tcW w:w="851" w:type="dxa"/>
            <w:shd w:val="clear" w:color="auto" w:fill="auto"/>
          </w:tcPr>
          <w:p w14:paraId="23641CA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52AAF22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8" w:type="dxa"/>
            <w:shd w:val="clear" w:color="auto" w:fill="auto"/>
          </w:tcPr>
          <w:p w14:paraId="03199034" w14:textId="77777777" w:rsidR="007371C6" w:rsidRPr="00F06E45" w:rsidRDefault="007371C6" w:rsidP="00F06E45">
            <w:pPr>
              <w:jc w:val="both"/>
              <w:rPr>
                <w:rFonts w:ascii="Calibri" w:eastAsia="Calibri" w:hAnsi="Calibri" w:cs="Times New Roman"/>
                <w:sz w:val="16"/>
                <w:szCs w:val="16"/>
              </w:rPr>
            </w:pPr>
          </w:p>
          <w:p w14:paraId="06BDC4EE"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100%</w:t>
            </w:r>
          </w:p>
        </w:tc>
        <w:tc>
          <w:tcPr>
            <w:tcW w:w="851" w:type="dxa"/>
            <w:shd w:val="clear" w:color="auto" w:fill="auto"/>
          </w:tcPr>
          <w:p w14:paraId="39388E1E"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1728" behindDoc="1" locked="0" layoutInCell="1" allowOverlap="1" wp14:anchorId="08E4F514" wp14:editId="529AB4DD">
                  <wp:simplePos x="0" y="0"/>
                  <wp:positionH relativeFrom="column">
                    <wp:posOffset>2540</wp:posOffset>
                  </wp:positionH>
                  <wp:positionV relativeFrom="paragraph">
                    <wp:posOffset>129540</wp:posOffset>
                  </wp:positionV>
                  <wp:extent cx="221615" cy="158115"/>
                  <wp:effectExtent l="0" t="0" r="6985" b="0"/>
                  <wp:wrapTight wrapText="bothSides">
                    <wp:wrapPolygon edited="0">
                      <wp:start x="0" y="0"/>
                      <wp:lineTo x="0" y="18217"/>
                      <wp:lineTo x="20424" y="18217"/>
                      <wp:lineTo x="2042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49B0F37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85 complaints were received during the quarter. 20 </w:t>
            </w:r>
            <w:r w:rsidRPr="00F06E45">
              <w:rPr>
                <w:rFonts w:ascii="Calibri" w:eastAsia="Calibri" w:hAnsi="Calibri" w:cs="Times New Roman"/>
                <w:i/>
                <w:sz w:val="16"/>
                <w:szCs w:val="16"/>
              </w:rPr>
              <w:t xml:space="preserve">Show Cause Notices; </w:t>
            </w:r>
            <w:r w:rsidRPr="00F06E45">
              <w:rPr>
                <w:rFonts w:ascii="Calibri" w:eastAsia="Calibri" w:hAnsi="Calibri" w:cs="Times New Roman"/>
                <w:sz w:val="16"/>
                <w:szCs w:val="16"/>
              </w:rPr>
              <w:t>4</w:t>
            </w:r>
            <w:r w:rsidRPr="00F06E45">
              <w:rPr>
                <w:rFonts w:ascii="Calibri" w:eastAsia="Calibri" w:hAnsi="Calibri" w:cs="Times New Roman"/>
                <w:i/>
                <w:sz w:val="16"/>
                <w:szCs w:val="16"/>
              </w:rPr>
              <w:t xml:space="preserve"> Penalty Infringements </w:t>
            </w:r>
            <w:r w:rsidRPr="00F06E45">
              <w:rPr>
                <w:rFonts w:ascii="Calibri" w:eastAsia="Calibri" w:hAnsi="Calibri" w:cs="Times New Roman"/>
                <w:sz w:val="16"/>
                <w:szCs w:val="16"/>
              </w:rPr>
              <w:t xml:space="preserve">and 5 </w:t>
            </w:r>
            <w:r w:rsidRPr="00F06E45">
              <w:rPr>
                <w:rFonts w:ascii="Calibri" w:eastAsia="Calibri" w:hAnsi="Calibri" w:cs="Times New Roman"/>
                <w:i/>
                <w:sz w:val="16"/>
                <w:szCs w:val="16"/>
              </w:rPr>
              <w:t>Enforcement Notices</w:t>
            </w:r>
            <w:r w:rsidRPr="00F06E45">
              <w:rPr>
                <w:rFonts w:ascii="Calibri" w:eastAsia="Calibri" w:hAnsi="Calibri" w:cs="Times New Roman"/>
                <w:sz w:val="16"/>
                <w:szCs w:val="16"/>
              </w:rPr>
              <w:t xml:space="preserve"> were issued. All enforcement actions were applied within statutory timeframes</w:t>
            </w:r>
          </w:p>
          <w:p w14:paraId="2478562D"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0C2AC16A" w14:textId="77777777" w:rsidTr="00063500">
        <w:trPr>
          <w:gridAfter w:val="1"/>
          <w:wAfter w:w="236" w:type="dxa"/>
          <w:trHeight w:val="399"/>
        </w:trPr>
        <w:tc>
          <w:tcPr>
            <w:tcW w:w="1276" w:type="dxa"/>
            <w:shd w:val="clear" w:color="auto" w:fill="auto"/>
          </w:tcPr>
          <w:p w14:paraId="78F0585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shd w:val="clear" w:color="auto" w:fill="auto"/>
          </w:tcPr>
          <w:p w14:paraId="3779894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Accounting: Cash Flow</w:t>
            </w:r>
          </w:p>
        </w:tc>
        <w:tc>
          <w:tcPr>
            <w:tcW w:w="3827" w:type="dxa"/>
            <w:shd w:val="clear" w:color="auto" w:fill="auto"/>
          </w:tcPr>
          <w:p w14:paraId="4C93241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Level of funds available greater than $30m at the end of the financial year.</w:t>
            </w:r>
          </w:p>
        </w:tc>
        <w:tc>
          <w:tcPr>
            <w:tcW w:w="851" w:type="dxa"/>
            <w:shd w:val="clear" w:color="auto" w:fill="auto"/>
          </w:tcPr>
          <w:p w14:paraId="43DD011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07EBA2D"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 $40m</w:t>
            </w:r>
          </w:p>
        </w:tc>
        <w:tc>
          <w:tcPr>
            <w:tcW w:w="708" w:type="dxa"/>
            <w:shd w:val="clear" w:color="auto" w:fill="auto"/>
          </w:tcPr>
          <w:p w14:paraId="68B91162" w14:textId="77777777" w:rsidR="007371C6" w:rsidRPr="00F06E45" w:rsidRDefault="007371C6" w:rsidP="00F06E45">
            <w:pPr>
              <w:jc w:val="both"/>
              <w:rPr>
                <w:rFonts w:ascii="Calibri" w:eastAsia="Calibri" w:hAnsi="Calibri" w:cs="Times New Roman"/>
                <w:sz w:val="16"/>
                <w:szCs w:val="16"/>
              </w:rPr>
            </w:pPr>
          </w:p>
          <w:p w14:paraId="1EDCCFEB"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$112m</w:t>
            </w:r>
          </w:p>
        </w:tc>
        <w:tc>
          <w:tcPr>
            <w:tcW w:w="851" w:type="dxa"/>
            <w:shd w:val="clear" w:color="auto" w:fill="auto"/>
          </w:tcPr>
          <w:p w14:paraId="182132C1"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2752" behindDoc="1" locked="0" layoutInCell="1" allowOverlap="1" wp14:anchorId="14196FC2" wp14:editId="2EE1276A">
                  <wp:simplePos x="0" y="0"/>
                  <wp:positionH relativeFrom="column">
                    <wp:posOffset>2540</wp:posOffset>
                  </wp:positionH>
                  <wp:positionV relativeFrom="paragraph">
                    <wp:posOffset>125730</wp:posOffset>
                  </wp:positionV>
                  <wp:extent cx="143510" cy="143510"/>
                  <wp:effectExtent l="0" t="0" r="8890" b="8890"/>
                  <wp:wrapTight wrapText="bothSides">
                    <wp:wrapPolygon edited="0">
                      <wp:start x="0" y="0"/>
                      <wp:lineTo x="0" y="20071"/>
                      <wp:lineTo x="20071" y="20071"/>
                      <wp:lineTo x="20071"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5670" w:type="dxa"/>
            <w:shd w:val="clear" w:color="auto" w:fill="auto"/>
          </w:tcPr>
          <w:p w14:paraId="4CA4DB6C" w14:textId="77777777" w:rsidR="007371C6" w:rsidRPr="00F06E45" w:rsidRDefault="007371C6" w:rsidP="00F06E45">
            <w:pPr>
              <w:rPr>
                <w:rFonts w:ascii="Calibri" w:eastAsia="Calibri" w:hAnsi="Calibri" w:cs="Times New Roman"/>
                <w:color w:val="000000" w:themeColor="text1"/>
                <w:sz w:val="16"/>
                <w:szCs w:val="16"/>
              </w:rPr>
            </w:pPr>
            <w:r w:rsidRPr="00F06E45">
              <w:rPr>
                <w:rFonts w:ascii="Calibri" w:eastAsia="Calibri" w:hAnsi="Calibri" w:cs="Times New Roman"/>
                <w:color w:val="000000" w:themeColor="text1"/>
                <w:sz w:val="16"/>
                <w:szCs w:val="16"/>
              </w:rPr>
              <w:t>Cash held at the end of the quarter was approximately $112m. This balance, which is higher than the upper tolerance limit of $90m, is the result of the recent rating period, and it is expected that cash levels will drop to within the tolerance range as expenditure on the large Capital Projects increases.</w:t>
            </w:r>
          </w:p>
          <w:p w14:paraId="6B8298BF"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36455952" w14:textId="77777777" w:rsidTr="00063500">
        <w:trPr>
          <w:gridAfter w:val="1"/>
          <w:wAfter w:w="236" w:type="dxa"/>
          <w:trHeight w:val="399"/>
        </w:trPr>
        <w:tc>
          <w:tcPr>
            <w:tcW w:w="1276" w:type="dxa"/>
            <w:shd w:val="clear" w:color="auto" w:fill="auto"/>
          </w:tcPr>
          <w:p w14:paraId="5F4AB3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shd w:val="clear" w:color="auto" w:fill="auto"/>
          </w:tcPr>
          <w:p w14:paraId="4FE3BDA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Procurement: Strategic Supply: Spend under Management: Management of expenditure through a defined procurement process</w:t>
            </w:r>
          </w:p>
        </w:tc>
        <w:tc>
          <w:tcPr>
            <w:tcW w:w="3827" w:type="dxa"/>
            <w:shd w:val="clear" w:color="auto" w:fill="auto"/>
          </w:tcPr>
          <w:p w14:paraId="6EF0176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spend under management.</w:t>
            </w:r>
          </w:p>
        </w:tc>
        <w:tc>
          <w:tcPr>
            <w:tcW w:w="851" w:type="dxa"/>
            <w:shd w:val="clear" w:color="auto" w:fill="auto"/>
          </w:tcPr>
          <w:p w14:paraId="0BBF5CF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475DEAD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60%</w:t>
            </w:r>
          </w:p>
        </w:tc>
        <w:tc>
          <w:tcPr>
            <w:tcW w:w="708" w:type="dxa"/>
            <w:shd w:val="clear" w:color="auto" w:fill="auto"/>
          </w:tcPr>
          <w:p w14:paraId="7907DB2D" w14:textId="77777777" w:rsidR="007371C6" w:rsidRPr="00F06E45" w:rsidRDefault="007371C6" w:rsidP="00F06E45">
            <w:pPr>
              <w:jc w:val="both"/>
              <w:rPr>
                <w:rFonts w:ascii="Calibri" w:eastAsia="Calibri" w:hAnsi="Calibri" w:cs="Times New Roman"/>
                <w:sz w:val="16"/>
                <w:szCs w:val="16"/>
              </w:rPr>
            </w:pPr>
          </w:p>
          <w:p w14:paraId="3D7044B5"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60%</w:t>
            </w:r>
          </w:p>
        </w:tc>
        <w:tc>
          <w:tcPr>
            <w:tcW w:w="851" w:type="dxa"/>
            <w:shd w:val="clear" w:color="auto" w:fill="auto"/>
          </w:tcPr>
          <w:p w14:paraId="1708BB3C"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3776" behindDoc="1" locked="0" layoutInCell="1" allowOverlap="1" wp14:anchorId="0EB1E15B" wp14:editId="591F1D59">
                  <wp:simplePos x="0" y="0"/>
                  <wp:positionH relativeFrom="column">
                    <wp:posOffset>2540</wp:posOffset>
                  </wp:positionH>
                  <wp:positionV relativeFrom="paragraph">
                    <wp:posOffset>128270</wp:posOffset>
                  </wp:positionV>
                  <wp:extent cx="221615" cy="158115"/>
                  <wp:effectExtent l="0" t="0" r="6985" b="0"/>
                  <wp:wrapTight wrapText="bothSides">
                    <wp:wrapPolygon edited="0">
                      <wp:start x="0" y="0"/>
                      <wp:lineTo x="0" y="18217"/>
                      <wp:lineTo x="20424" y="18217"/>
                      <wp:lineTo x="20424"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45039A5A"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 xml:space="preserve">The number of contracts under management has remained static as new contracts let and old contracts expire. There is a current push to create a number of new panel arrangements using </w:t>
            </w:r>
            <w:r w:rsidRPr="00F06E45">
              <w:rPr>
                <w:rFonts w:ascii="Calibri" w:eastAsia="Calibri" w:hAnsi="Calibri" w:cs="Times New Roman"/>
                <w:i/>
                <w:sz w:val="16"/>
                <w:szCs w:val="16"/>
              </w:rPr>
              <w:t>BRCProcure.it</w:t>
            </w:r>
            <w:r w:rsidRPr="00F06E45">
              <w:rPr>
                <w:rFonts w:ascii="Calibri" w:eastAsia="Calibri" w:hAnsi="Calibri" w:cs="Times New Roman"/>
                <w:sz w:val="16"/>
                <w:szCs w:val="16"/>
              </w:rPr>
              <w:t>, which by early 2016 will further increase the percentage of spend under contract.</w:t>
            </w:r>
          </w:p>
        </w:tc>
      </w:tr>
      <w:tr w:rsidR="007371C6" w:rsidRPr="00F06E45" w14:paraId="7519E896" w14:textId="77777777" w:rsidTr="00063500">
        <w:trPr>
          <w:gridAfter w:val="1"/>
          <w:wAfter w:w="236" w:type="dxa"/>
          <w:trHeight w:val="399"/>
        </w:trPr>
        <w:tc>
          <w:tcPr>
            <w:tcW w:w="1276" w:type="dxa"/>
            <w:shd w:val="clear" w:color="auto" w:fill="auto"/>
          </w:tcPr>
          <w:p w14:paraId="1D80647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Roads and Drainage</w:t>
            </w:r>
          </w:p>
        </w:tc>
        <w:tc>
          <w:tcPr>
            <w:tcW w:w="2410" w:type="dxa"/>
            <w:shd w:val="clear" w:color="auto" w:fill="auto"/>
          </w:tcPr>
          <w:p w14:paraId="619B4CF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Planning: Adoption of our rolling 3 Year Capex Program </w:t>
            </w:r>
          </w:p>
        </w:tc>
        <w:tc>
          <w:tcPr>
            <w:tcW w:w="3827" w:type="dxa"/>
            <w:shd w:val="clear" w:color="auto" w:fill="auto"/>
          </w:tcPr>
          <w:p w14:paraId="1DE3DBB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the program has been developed and is ready for adoption by Council.</w:t>
            </w:r>
          </w:p>
        </w:tc>
        <w:tc>
          <w:tcPr>
            <w:tcW w:w="851" w:type="dxa"/>
            <w:shd w:val="clear" w:color="auto" w:fill="auto"/>
          </w:tcPr>
          <w:p w14:paraId="4970183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Annually </w:t>
            </w:r>
          </w:p>
          <w:p w14:paraId="6C5D42E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8" w:type="dxa"/>
            <w:shd w:val="clear" w:color="auto" w:fill="auto"/>
          </w:tcPr>
          <w:p w14:paraId="50DB9039"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YTD</w:t>
            </w:r>
          </w:p>
          <w:p w14:paraId="1238B67F"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20%</w:t>
            </w:r>
          </w:p>
        </w:tc>
        <w:tc>
          <w:tcPr>
            <w:tcW w:w="851" w:type="dxa"/>
            <w:shd w:val="clear" w:color="auto" w:fill="auto"/>
          </w:tcPr>
          <w:p w14:paraId="24BDED2C"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4800" behindDoc="1" locked="0" layoutInCell="1" allowOverlap="1" wp14:anchorId="19B5CF81" wp14:editId="6EE6381D">
                  <wp:simplePos x="0" y="0"/>
                  <wp:positionH relativeFrom="column">
                    <wp:posOffset>2540</wp:posOffset>
                  </wp:positionH>
                  <wp:positionV relativeFrom="paragraph">
                    <wp:posOffset>130810</wp:posOffset>
                  </wp:positionV>
                  <wp:extent cx="221615" cy="158115"/>
                  <wp:effectExtent l="0" t="0" r="6985" b="0"/>
                  <wp:wrapTight wrapText="bothSides">
                    <wp:wrapPolygon edited="0">
                      <wp:start x="0" y="0"/>
                      <wp:lineTo x="0" y="18217"/>
                      <wp:lineTo x="20424" y="18217"/>
                      <wp:lineTo x="20424"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25406BF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Some initial planning has been undertaken, however, the 3 Year CAPEX programme for Roads and Drainage will be developed and finalised in accordance with Council's budget timetable framework.</w:t>
            </w:r>
          </w:p>
          <w:p w14:paraId="337A479C" w14:textId="77777777" w:rsidR="007371C6" w:rsidRPr="00F06E45" w:rsidRDefault="007371C6" w:rsidP="00F06E45">
            <w:pPr>
              <w:rPr>
                <w:rFonts w:ascii="Calibri" w:eastAsia="Calibri" w:hAnsi="Calibri" w:cs="Times New Roman"/>
                <w:color w:val="808080" w:themeColor="background1" w:themeShade="80"/>
                <w:sz w:val="16"/>
                <w:szCs w:val="16"/>
              </w:rPr>
            </w:pPr>
          </w:p>
        </w:tc>
      </w:tr>
      <w:tr w:rsidR="007371C6" w:rsidRPr="00F06E45" w14:paraId="0175CDBA" w14:textId="77777777" w:rsidTr="00063500">
        <w:trPr>
          <w:gridAfter w:val="1"/>
          <w:wAfter w:w="236" w:type="dxa"/>
          <w:trHeight w:val="399"/>
        </w:trPr>
        <w:tc>
          <w:tcPr>
            <w:tcW w:w="1276" w:type="dxa"/>
            <w:shd w:val="clear" w:color="auto" w:fill="auto"/>
          </w:tcPr>
          <w:p w14:paraId="7DFCB62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Support Services</w:t>
            </w:r>
          </w:p>
          <w:p w14:paraId="62E5EDEE"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29E5C0F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Asset Management: Strategic Implementation: Review Corporate Asset Management Framework</w:t>
            </w:r>
          </w:p>
        </w:tc>
        <w:tc>
          <w:tcPr>
            <w:tcW w:w="3827" w:type="dxa"/>
            <w:shd w:val="clear" w:color="auto" w:fill="auto"/>
          </w:tcPr>
          <w:p w14:paraId="6E28A71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the review of Asset Management documents has been completed. </w:t>
            </w:r>
          </w:p>
          <w:p w14:paraId="289ECB4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i/>
                <w:sz w:val="18"/>
                <w:szCs w:val="18"/>
              </w:rPr>
              <w:t>Notes:</w:t>
            </w:r>
            <w:r w:rsidRPr="00F06E45">
              <w:rPr>
                <w:rFonts w:ascii="Calibri" w:eastAsia="Calibri" w:hAnsi="Calibri" w:cs="Times New Roman"/>
                <w:sz w:val="18"/>
                <w:szCs w:val="18"/>
              </w:rPr>
              <w:t xml:space="preserve"> Documents include Council’s Asset Management Policy and Asset Management Strategy, as well as Council’s multiple Asset Management Plans.  </w:t>
            </w:r>
          </w:p>
        </w:tc>
        <w:tc>
          <w:tcPr>
            <w:tcW w:w="851" w:type="dxa"/>
            <w:shd w:val="clear" w:color="auto" w:fill="auto"/>
          </w:tcPr>
          <w:p w14:paraId="6EE996B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w:t>
            </w:r>
          </w:p>
          <w:p w14:paraId="1247091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 100%</w:t>
            </w:r>
          </w:p>
        </w:tc>
        <w:tc>
          <w:tcPr>
            <w:tcW w:w="708" w:type="dxa"/>
            <w:shd w:val="clear" w:color="auto" w:fill="auto"/>
          </w:tcPr>
          <w:p w14:paraId="4A33F2A5"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YTD</w:t>
            </w:r>
          </w:p>
          <w:p w14:paraId="45F08E7D"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30%</w:t>
            </w:r>
          </w:p>
        </w:tc>
        <w:tc>
          <w:tcPr>
            <w:tcW w:w="851" w:type="dxa"/>
            <w:shd w:val="clear" w:color="auto" w:fill="auto"/>
          </w:tcPr>
          <w:p w14:paraId="3897367D"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2032" behindDoc="1" locked="0" layoutInCell="1" allowOverlap="1" wp14:anchorId="1103AFD7" wp14:editId="557D95F5">
                  <wp:simplePos x="0" y="0"/>
                  <wp:positionH relativeFrom="column">
                    <wp:posOffset>2540</wp:posOffset>
                  </wp:positionH>
                  <wp:positionV relativeFrom="paragraph">
                    <wp:posOffset>145415</wp:posOffset>
                  </wp:positionV>
                  <wp:extent cx="221615" cy="158115"/>
                  <wp:effectExtent l="0" t="0" r="6985" b="0"/>
                  <wp:wrapTight wrapText="bothSides">
                    <wp:wrapPolygon edited="0">
                      <wp:start x="0" y="0"/>
                      <wp:lineTo x="0" y="18217"/>
                      <wp:lineTo x="20424" y="18217"/>
                      <wp:lineTo x="2042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1C123487"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The Asset Management Policy and Asset Management Strategy have been revised for review by the Executive Team, and the Water, Wastewater and Footpath Asset Management Plans revisions are being finalised for Group Manager review. Transport, Stormwater and Buildings &amp; Structures Asset Management Plans are to be revised. The target date for adoption by Council of the complete Framework of Asset Management documents is June 2016.</w:t>
            </w:r>
          </w:p>
        </w:tc>
      </w:tr>
      <w:tr w:rsidR="007371C6" w:rsidRPr="00F06E45" w14:paraId="174DA551" w14:textId="77777777" w:rsidTr="00063500">
        <w:trPr>
          <w:gridAfter w:val="1"/>
          <w:wAfter w:w="236" w:type="dxa"/>
          <w:trHeight w:val="399"/>
        </w:trPr>
        <w:tc>
          <w:tcPr>
            <w:tcW w:w="1276" w:type="dxa"/>
            <w:shd w:val="clear" w:color="auto" w:fill="auto"/>
          </w:tcPr>
          <w:p w14:paraId="1F62124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Support Services</w:t>
            </w:r>
          </w:p>
          <w:p w14:paraId="10638F4D"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567D3EB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Asset Management: Sustainable Management: Reconciliation of assets and infrastructure against long-term sustainability </w:t>
            </w:r>
          </w:p>
        </w:tc>
        <w:tc>
          <w:tcPr>
            <w:tcW w:w="3827" w:type="dxa"/>
            <w:shd w:val="clear" w:color="auto" w:fill="auto"/>
          </w:tcPr>
          <w:p w14:paraId="1DDC14D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the reconciliation process has been completed.</w:t>
            </w:r>
          </w:p>
        </w:tc>
        <w:tc>
          <w:tcPr>
            <w:tcW w:w="851" w:type="dxa"/>
            <w:shd w:val="clear" w:color="auto" w:fill="auto"/>
          </w:tcPr>
          <w:p w14:paraId="1F174A6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5B8D246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8" w:type="dxa"/>
            <w:shd w:val="clear" w:color="auto" w:fill="auto"/>
          </w:tcPr>
          <w:p w14:paraId="50BA9A53"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YTD</w:t>
            </w:r>
          </w:p>
          <w:p w14:paraId="21BF3540"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25%</w:t>
            </w:r>
          </w:p>
        </w:tc>
        <w:tc>
          <w:tcPr>
            <w:tcW w:w="851" w:type="dxa"/>
            <w:shd w:val="clear" w:color="auto" w:fill="auto"/>
          </w:tcPr>
          <w:p w14:paraId="3F6A9C9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691008" behindDoc="1" locked="0" layoutInCell="1" allowOverlap="1" wp14:anchorId="4DEEC373" wp14:editId="5BCCFEBF">
                  <wp:simplePos x="0" y="0"/>
                  <wp:positionH relativeFrom="column">
                    <wp:posOffset>2540</wp:posOffset>
                  </wp:positionH>
                  <wp:positionV relativeFrom="paragraph">
                    <wp:posOffset>133985</wp:posOffset>
                  </wp:positionV>
                  <wp:extent cx="221615" cy="158115"/>
                  <wp:effectExtent l="0" t="0" r="6985" b="0"/>
                  <wp:wrapTight wrapText="bothSides">
                    <wp:wrapPolygon edited="0">
                      <wp:start x="0" y="0"/>
                      <wp:lineTo x="0" y="18217"/>
                      <wp:lineTo x="20424" y="18217"/>
                      <wp:lineTo x="2042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7805F32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Capital recognition processes are formally undertaken after the periods ending October, February, April and May. This quarter asset data maintenance and validation processes have been undertaken.</w:t>
            </w:r>
          </w:p>
        </w:tc>
      </w:tr>
      <w:tr w:rsidR="007371C6" w:rsidRPr="00F06E45" w14:paraId="3DC83787" w14:textId="77777777" w:rsidTr="00063500">
        <w:trPr>
          <w:gridAfter w:val="1"/>
          <w:wAfter w:w="236" w:type="dxa"/>
          <w:trHeight w:val="399"/>
        </w:trPr>
        <w:tc>
          <w:tcPr>
            <w:tcW w:w="1276" w:type="dxa"/>
            <w:shd w:val="clear" w:color="auto" w:fill="auto"/>
          </w:tcPr>
          <w:p w14:paraId="18CBC40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Support Services</w:t>
            </w:r>
          </w:p>
          <w:p w14:paraId="5C2B4150"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027589E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Design: Delivery of Civil Design Program </w:t>
            </w:r>
          </w:p>
        </w:tc>
        <w:tc>
          <w:tcPr>
            <w:tcW w:w="3827" w:type="dxa"/>
            <w:shd w:val="clear" w:color="auto" w:fill="auto"/>
          </w:tcPr>
          <w:p w14:paraId="72395091"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Design Projects delivered against the revised capital budget. (Goal is to increase the implementation Civil Design Programs across Council i.e. Department utilisation of Design support in Capital Works projects).</w:t>
            </w:r>
          </w:p>
        </w:tc>
        <w:tc>
          <w:tcPr>
            <w:tcW w:w="851" w:type="dxa"/>
            <w:shd w:val="clear" w:color="auto" w:fill="auto"/>
          </w:tcPr>
          <w:p w14:paraId="1BD4B41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Bi- annually</w:t>
            </w:r>
          </w:p>
          <w:p w14:paraId="4A0E29B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708" w:type="dxa"/>
            <w:shd w:val="clear" w:color="auto" w:fill="auto"/>
          </w:tcPr>
          <w:p w14:paraId="1C63AE12" w14:textId="77777777" w:rsidR="007371C6" w:rsidRPr="00F06E45" w:rsidRDefault="007371C6" w:rsidP="00F06E45">
            <w:pPr>
              <w:jc w:val="both"/>
              <w:rPr>
                <w:rFonts w:ascii="Calibri" w:eastAsia="Calibri" w:hAnsi="Calibri" w:cs="Times New Roman"/>
                <w:sz w:val="16"/>
                <w:szCs w:val="16"/>
              </w:rPr>
            </w:pPr>
          </w:p>
          <w:p w14:paraId="3719B8CA"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n/a</w:t>
            </w:r>
          </w:p>
        </w:tc>
        <w:tc>
          <w:tcPr>
            <w:tcW w:w="851" w:type="dxa"/>
            <w:shd w:val="clear" w:color="auto" w:fill="auto"/>
          </w:tcPr>
          <w:p w14:paraId="70D2E57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8656" behindDoc="1" locked="0" layoutInCell="1" allowOverlap="1" wp14:anchorId="6255DBC6" wp14:editId="12DD1479">
                  <wp:simplePos x="0" y="0"/>
                  <wp:positionH relativeFrom="column">
                    <wp:posOffset>2540</wp:posOffset>
                  </wp:positionH>
                  <wp:positionV relativeFrom="paragraph">
                    <wp:posOffset>127000</wp:posOffset>
                  </wp:positionV>
                  <wp:extent cx="221615" cy="158115"/>
                  <wp:effectExtent l="0" t="0" r="6985" b="0"/>
                  <wp:wrapTight wrapText="bothSides">
                    <wp:wrapPolygon edited="0">
                      <wp:start x="0" y="0"/>
                      <wp:lineTo x="0" y="18217"/>
                      <wp:lineTo x="20424" y="18217"/>
                      <wp:lineTo x="2042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65B9D607" w14:textId="77777777" w:rsidR="007371C6" w:rsidRPr="00F06E45" w:rsidRDefault="007371C6" w:rsidP="00F06E45">
            <w:pPr>
              <w:rPr>
                <w:rFonts w:ascii="Calibri" w:eastAsia="Calibri" w:hAnsi="Calibri" w:cs="Times New Roman"/>
                <w:sz w:val="16"/>
                <w:szCs w:val="16"/>
              </w:rPr>
            </w:pPr>
          </w:p>
          <w:p w14:paraId="2554B59E"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This KPI will be reported on in the 2</w:t>
            </w:r>
            <w:r w:rsidRPr="00F06E45">
              <w:rPr>
                <w:rFonts w:ascii="Calibri" w:eastAsia="Calibri" w:hAnsi="Calibri" w:cs="Times New Roman"/>
                <w:sz w:val="16"/>
                <w:szCs w:val="16"/>
                <w:vertAlign w:val="superscript"/>
              </w:rPr>
              <w:t>nd</w:t>
            </w:r>
            <w:r w:rsidRPr="00F06E45">
              <w:rPr>
                <w:rFonts w:ascii="Calibri" w:eastAsia="Calibri" w:hAnsi="Calibri" w:cs="Times New Roman"/>
                <w:sz w:val="16"/>
                <w:szCs w:val="16"/>
              </w:rPr>
              <w:t xml:space="preserve"> and 4</w:t>
            </w:r>
            <w:r w:rsidRPr="00F06E45">
              <w:rPr>
                <w:rFonts w:ascii="Calibri" w:eastAsia="Calibri" w:hAnsi="Calibri" w:cs="Times New Roman"/>
                <w:sz w:val="16"/>
                <w:szCs w:val="16"/>
                <w:vertAlign w:val="superscript"/>
              </w:rPr>
              <w:t>th</w:t>
            </w:r>
            <w:r w:rsidRPr="00F06E45">
              <w:rPr>
                <w:rFonts w:ascii="Calibri" w:eastAsia="Calibri" w:hAnsi="Calibri" w:cs="Times New Roman"/>
                <w:sz w:val="16"/>
                <w:szCs w:val="16"/>
              </w:rPr>
              <w:t xml:space="preserve"> quarters.</w:t>
            </w:r>
          </w:p>
        </w:tc>
      </w:tr>
      <w:tr w:rsidR="007371C6" w:rsidRPr="00F06E45" w14:paraId="627582B3" w14:textId="77777777" w:rsidTr="00063500">
        <w:trPr>
          <w:gridAfter w:val="1"/>
          <w:wAfter w:w="236" w:type="dxa"/>
          <w:trHeight w:val="399"/>
        </w:trPr>
        <w:tc>
          <w:tcPr>
            <w:tcW w:w="1276" w:type="dxa"/>
            <w:shd w:val="clear" w:color="auto" w:fill="auto"/>
          </w:tcPr>
          <w:p w14:paraId="45071AA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Support Services</w:t>
            </w:r>
          </w:p>
          <w:p w14:paraId="3C97102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 </w:t>
            </w:r>
          </w:p>
        </w:tc>
        <w:tc>
          <w:tcPr>
            <w:tcW w:w="2410" w:type="dxa"/>
            <w:shd w:val="clear" w:color="auto" w:fill="auto"/>
          </w:tcPr>
          <w:p w14:paraId="0A536F9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Fleet: Acquisition and Disposal</w:t>
            </w:r>
          </w:p>
        </w:tc>
        <w:tc>
          <w:tcPr>
            <w:tcW w:w="3827" w:type="dxa"/>
            <w:shd w:val="clear" w:color="auto" w:fill="auto"/>
          </w:tcPr>
          <w:p w14:paraId="3DEC383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the annual plant replacement program has been committed by the end of the third Quarter.</w:t>
            </w:r>
          </w:p>
        </w:tc>
        <w:tc>
          <w:tcPr>
            <w:tcW w:w="851" w:type="dxa"/>
            <w:shd w:val="clear" w:color="auto" w:fill="auto"/>
          </w:tcPr>
          <w:p w14:paraId="2A35595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5BB143C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95%</w:t>
            </w:r>
          </w:p>
        </w:tc>
        <w:tc>
          <w:tcPr>
            <w:tcW w:w="708" w:type="dxa"/>
            <w:shd w:val="clear" w:color="auto" w:fill="auto"/>
          </w:tcPr>
          <w:p w14:paraId="3A814B8F"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YTD</w:t>
            </w:r>
          </w:p>
          <w:p w14:paraId="0D3C7DE0"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37%</w:t>
            </w:r>
          </w:p>
        </w:tc>
        <w:tc>
          <w:tcPr>
            <w:tcW w:w="851" w:type="dxa"/>
            <w:shd w:val="clear" w:color="auto" w:fill="auto"/>
          </w:tcPr>
          <w:p w14:paraId="64B5B471"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78048" behindDoc="1" locked="0" layoutInCell="1" allowOverlap="1" wp14:anchorId="46671BC1" wp14:editId="7CA0A4FC">
                  <wp:simplePos x="0" y="0"/>
                  <wp:positionH relativeFrom="column">
                    <wp:posOffset>1905</wp:posOffset>
                  </wp:positionH>
                  <wp:positionV relativeFrom="paragraph">
                    <wp:posOffset>121285</wp:posOffset>
                  </wp:positionV>
                  <wp:extent cx="221615" cy="158115"/>
                  <wp:effectExtent l="0" t="0" r="6985" b="0"/>
                  <wp:wrapTight wrapText="bothSides">
                    <wp:wrapPolygon edited="0">
                      <wp:start x="0" y="0"/>
                      <wp:lineTo x="0" y="18217"/>
                      <wp:lineTo x="20424" y="18217"/>
                      <wp:lineTo x="20424"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auto"/>
          </w:tcPr>
          <w:p w14:paraId="29D84A7D" w14:textId="77777777" w:rsidR="007371C6" w:rsidRPr="00F06E45" w:rsidRDefault="007371C6" w:rsidP="00F06E45">
            <w:pPr>
              <w:rPr>
                <w:rFonts w:ascii="Calibri" w:eastAsia="Calibri" w:hAnsi="Calibri" w:cs="Times New Roman"/>
                <w:sz w:val="16"/>
                <w:szCs w:val="16"/>
              </w:rPr>
            </w:pPr>
          </w:p>
          <w:p w14:paraId="69AE656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37% of the annual plant replacement program has been delivered &amp; committed. </w:t>
            </w:r>
          </w:p>
        </w:tc>
      </w:tr>
      <w:tr w:rsidR="007371C6" w:rsidRPr="00F06E45" w14:paraId="08F59444" w14:textId="77777777" w:rsidTr="00063500">
        <w:trPr>
          <w:gridAfter w:val="1"/>
          <w:wAfter w:w="236" w:type="dxa"/>
          <w:trHeight w:val="399"/>
        </w:trPr>
        <w:tc>
          <w:tcPr>
            <w:tcW w:w="1276" w:type="dxa"/>
            <w:tcBorders>
              <w:bottom w:val="single" w:sz="18" w:space="0" w:color="1F4E79" w:themeColor="accent1" w:themeShade="80"/>
            </w:tcBorders>
            <w:shd w:val="clear" w:color="auto" w:fill="auto"/>
          </w:tcPr>
          <w:p w14:paraId="5123FC2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Sustainable Finance</w:t>
            </w:r>
          </w:p>
          <w:p w14:paraId="6C8CFF9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 </w:t>
            </w:r>
          </w:p>
        </w:tc>
        <w:tc>
          <w:tcPr>
            <w:tcW w:w="2410" w:type="dxa"/>
            <w:tcBorders>
              <w:bottom w:val="single" w:sz="18" w:space="0" w:color="1F4E79" w:themeColor="accent1" w:themeShade="80"/>
            </w:tcBorders>
            <w:shd w:val="clear" w:color="auto" w:fill="auto"/>
          </w:tcPr>
          <w:p w14:paraId="7836302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Budget: Loan indebtedness </w:t>
            </w:r>
          </w:p>
        </w:tc>
        <w:tc>
          <w:tcPr>
            <w:tcW w:w="3827" w:type="dxa"/>
            <w:tcBorders>
              <w:bottom w:val="single" w:sz="18" w:space="0" w:color="1F4E79" w:themeColor="accent1" w:themeShade="80"/>
            </w:tcBorders>
            <w:shd w:val="clear" w:color="auto" w:fill="auto"/>
          </w:tcPr>
          <w:p w14:paraId="51E1279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Loan indebtedness does not exceed 60% of Gross Operating Expenses.</w:t>
            </w:r>
          </w:p>
        </w:tc>
        <w:tc>
          <w:tcPr>
            <w:tcW w:w="851" w:type="dxa"/>
            <w:tcBorders>
              <w:bottom w:val="single" w:sz="18" w:space="0" w:color="1F4E79" w:themeColor="accent1" w:themeShade="80"/>
            </w:tcBorders>
            <w:shd w:val="clear" w:color="auto" w:fill="auto"/>
          </w:tcPr>
          <w:p w14:paraId="45B8E8A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61C33BB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w:t>
            </w:r>
          </w:p>
        </w:tc>
        <w:tc>
          <w:tcPr>
            <w:tcW w:w="708" w:type="dxa"/>
            <w:tcBorders>
              <w:bottom w:val="single" w:sz="18" w:space="0" w:color="1F4E79" w:themeColor="accent1" w:themeShade="80"/>
            </w:tcBorders>
            <w:shd w:val="clear" w:color="auto" w:fill="auto"/>
          </w:tcPr>
          <w:p w14:paraId="19D6D9E3" w14:textId="77777777" w:rsidR="007371C6" w:rsidRPr="00F06E45" w:rsidRDefault="007371C6" w:rsidP="00F06E45">
            <w:pPr>
              <w:jc w:val="both"/>
              <w:rPr>
                <w:rFonts w:ascii="Calibri" w:eastAsia="Calibri" w:hAnsi="Calibri" w:cs="Times New Roman"/>
                <w:sz w:val="16"/>
                <w:szCs w:val="16"/>
              </w:rPr>
            </w:pPr>
            <w:r w:rsidRPr="00F06E45">
              <w:rPr>
                <w:rFonts w:ascii="Calibri" w:eastAsia="Calibri" w:hAnsi="Calibri" w:cs="Times New Roman"/>
                <w:sz w:val="16"/>
                <w:szCs w:val="16"/>
              </w:rPr>
              <w:t xml:space="preserve">n/a </w:t>
            </w:r>
          </w:p>
        </w:tc>
        <w:tc>
          <w:tcPr>
            <w:tcW w:w="851" w:type="dxa"/>
            <w:tcBorders>
              <w:bottom w:val="single" w:sz="18" w:space="0" w:color="1F4E79" w:themeColor="accent1" w:themeShade="80"/>
            </w:tcBorders>
            <w:shd w:val="clear" w:color="auto" w:fill="auto"/>
          </w:tcPr>
          <w:p w14:paraId="62719D5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19680" behindDoc="1" locked="0" layoutInCell="1" allowOverlap="1" wp14:anchorId="39E64AA3" wp14:editId="52CA290E">
                  <wp:simplePos x="0" y="0"/>
                  <wp:positionH relativeFrom="column">
                    <wp:posOffset>2540</wp:posOffset>
                  </wp:positionH>
                  <wp:positionV relativeFrom="paragraph">
                    <wp:posOffset>125730</wp:posOffset>
                  </wp:positionV>
                  <wp:extent cx="221615" cy="158115"/>
                  <wp:effectExtent l="0" t="0" r="6985" b="0"/>
                  <wp:wrapTight wrapText="bothSides">
                    <wp:wrapPolygon edited="0">
                      <wp:start x="0" y="0"/>
                      <wp:lineTo x="0" y="18217"/>
                      <wp:lineTo x="20424" y="18217"/>
                      <wp:lineTo x="20424"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Borders>
              <w:bottom w:val="single" w:sz="18" w:space="0" w:color="1F4E79" w:themeColor="accent1" w:themeShade="80"/>
            </w:tcBorders>
            <w:shd w:val="clear" w:color="auto" w:fill="auto"/>
          </w:tcPr>
          <w:p w14:paraId="3BAE4EE7" w14:textId="77777777" w:rsidR="007371C6" w:rsidRPr="00F06E45" w:rsidRDefault="007371C6" w:rsidP="00F06E45">
            <w:pPr>
              <w:rPr>
                <w:rFonts w:ascii="Calibri" w:eastAsia="Calibri" w:hAnsi="Calibri" w:cs="Times New Roman"/>
                <w:sz w:val="16"/>
                <w:szCs w:val="16"/>
              </w:rPr>
            </w:pPr>
          </w:p>
          <w:p w14:paraId="2915B927" w14:textId="77777777" w:rsidR="00063500"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KPI will be reported on in the 4</w:t>
            </w:r>
            <w:r w:rsidRPr="00F06E45">
              <w:rPr>
                <w:rFonts w:ascii="Calibri" w:eastAsia="Calibri" w:hAnsi="Calibri" w:cs="Times New Roman"/>
                <w:sz w:val="16"/>
                <w:szCs w:val="16"/>
                <w:vertAlign w:val="superscript"/>
              </w:rPr>
              <w:t>th</w:t>
            </w:r>
            <w:r w:rsidRPr="00F06E45">
              <w:rPr>
                <w:rFonts w:ascii="Calibri" w:eastAsia="Calibri" w:hAnsi="Calibri" w:cs="Times New Roman"/>
                <w:sz w:val="16"/>
                <w:szCs w:val="16"/>
              </w:rPr>
              <w:t xml:space="preserve"> quarter.</w:t>
            </w:r>
            <w:r w:rsidR="00063500" w:rsidRPr="00F06E45">
              <w:rPr>
                <w:rFonts w:ascii="Calibri" w:eastAsia="Calibri" w:hAnsi="Calibri" w:cs="Times New Roman"/>
                <w:sz w:val="16"/>
                <w:szCs w:val="16"/>
              </w:rPr>
              <w:t xml:space="preserve"> (The 2014-2015 result was </w:t>
            </w:r>
          </w:p>
          <w:p w14:paraId="416CE0B7" w14:textId="77777777" w:rsidR="007371C6" w:rsidRPr="00F06E45" w:rsidRDefault="00063500"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14.7 %)</w:t>
            </w:r>
          </w:p>
        </w:tc>
      </w:tr>
    </w:tbl>
    <w:p w14:paraId="5045A8A1" w14:textId="77777777" w:rsidR="007371C6" w:rsidRPr="00F06E45" w:rsidRDefault="007371C6" w:rsidP="00F06E45">
      <w:pPr>
        <w:spacing w:after="200" w:line="276" w:lineRule="auto"/>
        <w:rPr>
          <w:rFonts w:ascii="Calibri" w:eastAsia="Calibri" w:hAnsi="Calibri" w:cs="Times New Roman"/>
        </w:rPr>
        <w:sectPr w:rsidR="007371C6" w:rsidRPr="00F06E45" w:rsidSect="000F71F5">
          <w:pgSz w:w="16838" w:h="11906" w:orient="landscape"/>
          <w:pgMar w:top="0" w:right="678" w:bottom="709" w:left="567" w:header="708" w:footer="173" w:gutter="0"/>
          <w:cols w:space="708"/>
          <w:titlePg/>
          <w:docGrid w:linePitch="360"/>
        </w:sectPr>
      </w:pPr>
    </w:p>
    <w:p w14:paraId="1B62FD9C" w14:textId="77777777" w:rsidR="007371C6" w:rsidRPr="00F06E45" w:rsidRDefault="007371C6" w:rsidP="00F06E45">
      <w:pPr>
        <w:spacing w:after="200" w:line="276" w:lineRule="auto"/>
        <w:rPr>
          <w:rFonts w:ascii="Calibri" w:eastAsia="Calibri" w:hAnsi="Calibri" w:cs="Times New Roman"/>
        </w:rPr>
      </w:pPr>
    </w:p>
    <w:p w14:paraId="3FA80A56" w14:textId="77777777" w:rsidR="007371C6" w:rsidRPr="00F06E45" w:rsidRDefault="007371C6" w:rsidP="00F06E45">
      <w:pPr>
        <w:rPr>
          <w:rFonts w:ascii="Calibri" w:eastAsia="Calibri" w:hAnsi="Calibri" w:cs="Times New Roman"/>
        </w:rPr>
      </w:pPr>
    </w:p>
    <w:tbl>
      <w:tblPr>
        <w:tblStyle w:val="TableGrid1"/>
        <w:tblpPr w:leftFromText="180" w:rightFromText="180" w:vertAnchor="text" w:horzAnchor="margin" w:tblpY="578"/>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80"/>
        <w:gridCol w:w="2030"/>
        <w:gridCol w:w="896"/>
        <w:gridCol w:w="2789"/>
        <w:gridCol w:w="851"/>
        <w:gridCol w:w="850"/>
        <w:gridCol w:w="851"/>
        <w:gridCol w:w="2299"/>
        <w:gridCol w:w="3371"/>
      </w:tblGrid>
      <w:tr w:rsidR="007371C6" w:rsidRPr="00F06E45" w14:paraId="44622A77" w14:textId="77777777" w:rsidTr="00063500">
        <w:trPr>
          <w:trHeight w:val="258"/>
        </w:trPr>
        <w:tc>
          <w:tcPr>
            <w:tcW w:w="15593" w:type="dxa"/>
            <w:gridSpan w:val="10"/>
            <w:tcBorders>
              <w:top w:val="single" w:sz="18" w:space="0" w:color="365F91"/>
              <w:bottom w:val="single" w:sz="18" w:space="0" w:color="365F91"/>
            </w:tcBorders>
            <w:shd w:val="clear" w:color="auto" w:fill="548DD4"/>
          </w:tcPr>
          <w:p w14:paraId="2CA155B7"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4.5 Responsible financial management and efficient operations</w:t>
            </w:r>
          </w:p>
        </w:tc>
      </w:tr>
      <w:tr w:rsidR="007371C6" w:rsidRPr="00F06E45" w14:paraId="05A855AB" w14:textId="77777777" w:rsidTr="00063500">
        <w:trPr>
          <w:trHeight w:val="258"/>
        </w:trPr>
        <w:tc>
          <w:tcPr>
            <w:tcW w:w="15593" w:type="dxa"/>
            <w:gridSpan w:val="10"/>
            <w:tcBorders>
              <w:top w:val="single" w:sz="18" w:space="0" w:color="365F91"/>
              <w:bottom w:val="single" w:sz="18" w:space="0" w:color="365F91"/>
            </w:tcBorders>
          </w:tcPr>
          <w:p w14:paraId="0504010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4.5.3 Apply effective knowledge management practices in our service delivery to our community</w:t>
            </w:r>
          </w:p>
        </w:tc>
      </w:tr>
      <w:tr w:rsidR="007371C6" w:rsidRPr="00F06E45" w14:paraId="7954DBB9" w14:textId="77777777" w:rsidTr="00063500">
        <w:trPr>
          <w:trHeight w:val="258"/>
        </w:trPr>
        <w:tc>
          <w:tcPr>
            <w:tcW w:w="1276" w:type="dxa"/>
            <w:tcBorders>
              <w:top w:val="single" w:sz="18" w:space="0" w:color="365F91"/>
            </w:tcBorders>
            <w:shd w:val="clear" w:color="auto" w:fill="auto"/>
          </w:tcPr>
          <w:p w14:paraId="25EB38B8"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gridSpan w:val="2"/>
            <w:tcBorders>
              <w:top w:val="single" w:sz="18" w:space="0" w:color="365F91"/>
            </w:tcBorders>
            <w:shd w:val="clear" w:color="auto" w:fill="auto"/>
          </w:tcPr>
          <w:p w14:paraId="4BEBBC24"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gridSpan w:val="2"/>
            <w:tcBorders>
              <w:top w:val="single" w:sz="18" w:space="0" w:color="365F91"/>
            </w:tcBorders>
            <w:shd w:val="clear" w:color="auto" w:fill="auto"/>
          </w:tcPr>
          <w:p w14:paraId="2D9D8DF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365F91"/>
            </w:tcBorders>
            <w:shd w:val="clear" w:color="auto" w:fill="auto"/>
          </w:tcPr>
          <w:p w14:paraId="105D05BE"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tcBorders>
              <w:top w:val="single" w:sz="18" w:space="0" w:color="365F91"/>
            </w:tcBorders>
            <w:shd w:val="clear" w:color="auto" w:fill="auto"/>
          </w:tcPr>
          <w:p w14:paraId="5BB213E7"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tcBorders>
              <w:top w:val="single" w:sz="18" w:space="0" w:color="365F91"/>
            </w:tcBorders>
          </w:tcPr>
          <w:p w14:paraId="59B2628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shd w:val="clear" w:color="auto" w:fill="auto"/>
          </w:tcPr>
          <w:p w14:paraId="2B79C3A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339048D" w14:textId="77777777" w:rsidTr="00063500">
        <w:trPr>
          <w:trHeight w:val="258"/>
        </w:trPr>
        <w:tc>
          <w:tcPr>
            <w:tcW w:w="1276" w:type="dxa"/>
            <w:shd w:val="clear" w:color="auto" w:fill="auto"/>
          </w:tcPr>
          <w:p w14:paraId="477E4F8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p w14:paraId="53BDC9A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 </w:t>
            </w:r>
          </w:p>
        </w:tc>
        <w:tc>
          <w:tcPr>
            <w:tcW w:w="2410" w:type="dxa"/>
            <w:gridSpan w:val="2"/>
            <w:shd w:val="clear" w:color="auto" w:fill="auto"/>
          </w:tcPr>
          <w:p w14:paraId="32EEF7A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Accounts Payable: Creditor Invoices: Process all creditor invoices, credit notes &amp; payments within payment terms</w:t>
            </w:r>
          </w:p>
        </w:tc>
        <w:tc>
          <w:tcPr>
            <w:tcW w:w="3685" w:type="dxa"/>
            <w:gridSpan w:val="2"/>
            <w:shd w:val="clear" w:color="auto" w:fill="auto"/>
          </w:tcPr>
          <w:p w14:paraId="14A044B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payments outside of terms. </w:t>
            </w:r>
          </w:p>
        </w:tc>
        <w:tc>
          <w:tcPr>
            <w:tcW w:w="851" w:type="dxa"/>
            <w:shd w:val="clear" w:color="auto" w:fill="auto"/>
          </w:tcPr>
          <w:p w14:paraId="637837E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16049D1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 90</w:t>
            </w:r>
          </w:p>
        </w:tc>
        <w:tc>
          <w:tcPr>
            <w:tcW w:w="850" w:type="dxa"/>
            <w:shd w:val="clear" w:color="auto" w:fill="auto"/>
          </w:tcPr>
          <w:p w14:paraId="4A0A3EFC" w14:textId="77777777" w:rsidR="007371C6" w:rsidRPr="00F06E45" w:rsidRDefault="007371C6" w:rsidP="00F06E45">
            <w:pPr>
              <w:rPr>
                <w:rFonts w:ascii="Calibri" w:eastAsia="Calibri" w:hAnsi="Calibri" w:cs="Times New Roman"/>
                <w:sz w:val="16"/>
                <w:szCs w:val="16"/>
              </w:rPr>
            </w:pPr>
          </w:p>
          <w:p w14:paraId="061F310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36</w:t>
            </w:r>
          </w:p>
        </w:tc>
        <w:tc>
          <w:tcPr>
            <w:tcW w:w="851" w:type="dxa"/>
            <w:shd w:val="clear" w:color="auto" w:fill="auto"/>
          </w:tcPr>
          <w:p w14:paraId="75A8871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5824" behindDoc="1" locked="0" layoutInCell="1" allowOverlap="1" wp14:anchorId="3095CFC2" wp14:editId="7E501EDD">
                  <wp:simplePos x="0" y="0"/>
                  <wp:positionH relativeFrom="column">
                    <wp:posOffset>2540</wp:posOffset>
                  </wp:positionH>
                  <wp:positionV relativeFrom="paragraph">
                    <wp:posOffset>125730</wp:posOffset>
                  </wp:positionV>
                  <wp:extent cx="221615" cy="158115"/>
                  <wp:effectExtent l="0" t="0" r="6985" b="0"/>
                  <wp:wrapTight wrapText="bothSides">
                    <wp:wrapPolygon edited="0">
                      <wp:start x="0" y="0"/>
                      <wp:lineTo x="0" y="18217"/>
                      <wp:lineTo x="20424" y="18217"/>
                      <wp:lineTo x="2042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5D53B4B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The number of invoices outstanding this quarter was well below the accepted tolerance. The number of outstanding invoices is dependent upon council staff returning invoices to Accounts to effect payment. All endeavours are made by Accounts’ staff to chase up missing paperwork by the end of each month. Follow up processes are also in place for ensuring these short paid invoices are paid within the ensuing month.</w:t>
            </w:r>
          </w:p>
          <w:p w14:paraId="6F484982" w14:textId="77777777" w:rsidR="007371C6" w:rsidRPr="00F06E45" w:rsidRDefault="007371C6" w:rsidP="00F06E45">
            <w:pPr>
              <w:rPr>
                <w:rFonts w:ascii="Calibri" w:eastAsia="Calibri" w:hAnsi="Calibri" w:cs="Times New Roman"/>
                <w:sz w:val="16"/>
                <w:szCs w:val="16"/>
              </w:rPr>
            </w:pPr>
          </w:p>
        </w:tc>
      </w:tr>
      <w:tr w:rsidR="007371C6" w:rsidRPr="00F06E45" w14:paraId="2B9C901B" w14:textId="77777777" w:rsidTr="00063500">
        <w:trPr>
          <w:trHeight w:val="258"/>
        </w:trPr>
        <w:tc>
          <w:tcPr>
            <w:tcW w:w="1276" w:type="dxa"/>
            <w:shd w:val="clear" w:color="auto" w:fill="auto"/>
          </w:tcPr>
          <w:p w14:paraId="7D7066A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gridSpan w:val="2"/>
            <w:shd w:val="clear" w:color="auto" w:fill="auto"/>
          </w:tcPr>
          <w:p w14:paraId="5C1F98F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Audits </w:t>
            </w:r>
          </w:p>
        </w:tc>
        <w:tc>
          <w:tcPr>
            <w:tcW w:w="3685" w:type="dxa"/>
            <w:gridSpan w:val="2"/>
            <w:shd w:val="clear" w:color="auto" w:fill="auto"/>
          </w:tcPr>
          <w:p w14:paraId="433C3CD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Prepare unaudited Annual Financial Statements in accordance with the applicable accounting standards and forward to the external auditors within legislative timeframe.</w:t>
            </w:r>
          </w:p>
        </w:tc>
        <w:tc>
          <w:tcPr>
            <w:tcW w:w="851" w:type="dxa"/>
            <w:shd w:val="clear" w:color="auto" w:fill="auto"/>
          </w:tcPr>
          <w:p w14:paraId="78F68FF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25FD0537"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100% </w:t>
            </w:r>
            <w:r w:rsidRPr="00F06E45">
              <w:rPr>
                <w:rFonts w:ascii="Calibri" w:eastAsia="Calibri" w:hAnsi="Calibri" w:cs="Times New Roman"/>
                <w:sz w:val="14"/>
                <w:szCs w:val="14"/>
              </w:rPr>
              <w:t>by the end of 2nd Quarter</w:t>
            </w:r>
            <w:r w:rsidRPr="00F06E45">
              <w:rPr>
                <w:rFonts w:ascii="Calibri" w:eastAsia="Calibri" w:hAnsi="Calibri" w:cs="Times New Roman"/>
                <w:sz w:val="16"/>
                <w:szCs w:val="16"/>
              </w:rPr>
              <w:t xml:space="preserve"> </w:t>
            </w:r>
          </w:p>
          <w:p w14:paraId="76BDE1C6" w14:textId="77777777" w:rsidR="007371C6" w:rsidRPr="00F06E45" w:rsidRDefault="007371C6" w:rsidP="00F06E45">
            <w:pPr>
              <w:rPr>
                <w:rFonts w:ascii="Calibri" w:eastAsia="Calibri" w:hAnsi="Calibri" w:cs="Times New Roman"/>
                <w:sz w:val="16"/>
                <w:szCs w:val="16"/>
              </w:rPr>
            </w:pPr>
          </w:p>
        </w:tc>
        <w:tc>
          <w:tcPr>
            <w:tcW w:w="850" w:type="dxa"/>
            <w:shd w:val="clear" w:color="auto" w:fill="auto"/>
          </w:tcPr>
          <w:p w14:paraId="6D8B5E1D" w14:textId="77777777" w:rsidR="007371C6" w:rsidRPr="00F06E45" w:rsidRDefault="007371C6" w:rsidP="00F06E45">
            <w:pPr>
              <w:rPr>
                <w:rFonts w:ascii="Calibri" w:eastAsia="Calibri" w:hAnsi="Calibri" w:cs="Times New Roman"/>
                <w:sz w:val="16"/>
                <w:szCs w:val="16"/>
              </w:rPr>
            </w:pPr>
          </w:p>
          <w:p w14:paraId="16A6820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75%</w:t>
            </w:r>
          </w:p>
        </w:tc>
        <w:tc>
          <w:tcPr>
            <w:tcW w:w="851" w:type="dxa"/>
            <w:shd w:val="clear" w:color="auto" w:fill="auto"/>
          </w:tcPr>
          <w:p w14:paraId="0CD764B8"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6848" behindDoc="1" locked="0" layoutInCell="1" allowOverlap="1" wp14:anchorId="62BCF8DF" wp14:editId="06A47522">
                  <wp:simplePos x="0" y="0"/>
                  <wp:positionH relativeFrom="column">
                    <wp:posOffset>2540</wp:posOffset>
                  </wp:positionH>
                  <wp:positionV relativeFrom="paragraph">
                    <wp:posOffset>130810</wp:posOffset>
                  </wp:positionV>
                  <wp:extent cx="221615" cy="158115"/>
                  <wp:effectExtent l="0" t="0" r="6985" b="0"/>
                  <wp:wrapTight wrapText="bothSides">
                    <wp:wrapPolygon edited="0">
                      <wp:start x="0" y="0"/>
                      <wp:lineTo x="0" y="18217"/>
                      <wp:lineTo x="20424" y="18217"/>
                      <wp:lineTo x="2042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3E3FAB54"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The audit of Council's Financial Statements by the Queensland Audit Office commenced on Monday 28th September and will continue for 2 weeks until Friday 9th October 2015. No significant audit issues have been identified at this stage.</w:t>
            </w:r>
          </w:p>
        </w:tc>
      </w:tr>
      <w:tr w:rsidR="007371C6" w:rsidRPr="00F06E45" w14:paraId="279653F9" w14:textId="77777777" w:rsidTr="00063500">
        <w:trPr>
          <w:trHeight w:val="258"/>
        </w:trPr>
        <w:tc>
          <w:tcPr>
            <w:tcW w:w="1276" w:type="dxa"/>
            <w:shd w:val="clear" w:color="auto" w:fill="auto"/>
          </w:tcPr>
          <w:p w14:paraId="3051267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gridSpan w:val="2"/>
            <w:shd w:val="clear" w:color="auto" w:fill="auto"/>
          </w:tcPr>
          <w:p w14:paraId="343C6D3B"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Assets:  Overall Condition</w:t>
            </w:r>
          </w:p>
        </w:tc>
        <w:tc>
          <w:tcPr>
            <w:tcW w:w="3685" w:type="dxa"/>
            <w:gridSpan w:val="2"/>
            <w:shd w:val="clear" w:color="auto" w:fill="auto"/>
          </w:tcPr>
          <w:p w14:paraId="0D37426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assets with an overall condition index of 7 (very poor condition) or worse, unless asset is to be decommissioned.</w:t>
            </w:r>
          </w:p>
        </w:tc>
        <w:tc>
          <w:tcPr>
            <w:tcW w:w="851" w:type="dxa"/>
            <w:shd w:val="clear" w:color="auto" w:fill="auto"/>
          </w:tcPr>
          <w:p w14:paraId="1BFB5EA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56C1D5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&lt;250</w:t>
            </w:r>
          </w:p>
        </w:tc>
        <w:tc>
          <w:tcPr>
            <w:tcW w:w="850" w:type="dxa"/>
            <w:shd w:val="clear" w:color="auto" w:fill="auto"/>
          </w:tcPr>
          <w:p w14:paraId="6FAD79AD" w14:textId="77777777" w:rsidR="007371C6" w:rsidRPr="00F06E45" w:rsidRDefault="007371C6" w:rsidP="00F06E45">
            <w:pPr>
              <w:rPr>
                <w:rFonts w:ascii="Calibri" w:eastAsia="Calibri" w:hAnsi="Calibri" w:cs="Times New Roman"/>
                <w:sz w:val="16"/>
                <w:szCs w:val="16"/>
              </w:rPr>
            </w:pPr>
          </w:p>
          <w:p w14:paraId="6D21C61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2509</w:t>
            </w:r>
          </w:p>
        </w:tc>
        <w:tc>
          <w:tcPr>
            <w:tcW w:w="851" w:type="dxa"/>
            <w:shd w:val="clear" w:color="auto" w:fill="auto"/>
          </w:tcPr>
          <w:p w14:paraId="43B9AEC8"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36064" behindDoc="1" locked="0" layoutInCell="1" allowOverlap="1" wp14:anchorId="6E2E3EF7" wp14:editId="7F326A9C">
                  <wp:simplePos x="0" y="0"/>
                  <wp:positionH relativeFrom="column">
                    <wp:posOffset>1905</wp:posOffset>
                  </wp:positionH>
                  <wp:positionV relativeFrom="paragraph">
                    <wp:posOffset>123190</wp:posOffset>
                  </wp:positionV>
                  <wp:extent cx="142875" cy="142875"/>
                  <wp:effectExtent l="0" t="0" r="9525" b="9525"/>
                  <wp:wrapTight wrapText="bothSides">
                    <wp:wrapPolygon edited="0">
                      <wp:start x="0" y="0"/>
                      <wp:lineTo x="0" y="20160"/>
                      <wp:lineTo x="20160" y="20160"/>
                      <wp:lineTo x="2016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Cro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457318AE" w14:textId="77777777" w:rsidR="007371C6" w:rsidRPr="00F06E45" w:rsidRDefault="007371C6" w:rsidP="00F06E45">
            <w:pPr>
              <w:pStyle w:val="NormalWeb"/>
              <w:rPr>
                <w:rFonts w:asciiTheme="minorHAnsi" w:hAnsiTheme="minorHAnsi" w:cs="Tahoma"/>
                <w:sz w:val="16"/>
                <w:szCs w:val="16"/>
              </w:rPr>
            </w:pPr>
            <w:r w:rsidRPr="00F06E45">
              <w:rPr>
                <w:rFonts w:asciiTheme="minorHAnsi" w:hAnsiTheme="minorHAnsi" w:cs="Tahoma"/>
                <w:sz w:val="16"/>
                <w:szCs w:val="16"/>
              </w:rPr>
              <w:t>The number of assets in condition 7 or greater has improved by approximately 20% compared to last quarter. This is due to NDRRA capital work orders being completed and the conditions of Roads being updated.</w:t>
            </w:r>
          </w:p>
          <w:p w14:paraId="6B86A5DF" w14:textId="77777777" w:rsidR="007371C6" w:rsidRPr="00F06E45" w:rsidRDefault="007371C6" w:rsidP="00F06E45">
            <w:pPr>
              <w:rPr>
                <w:rFonts w:ascii="Calibri" w:eastAsia="Calibri" w:hAnsi="Calibri" w:cs="Times New Roman"/>
                <w:sz w:val="16"/>
                <w:szCs w:val="16"/>
              </w:rPr>
            </w:pPr>
          </w:p>
        </w:tc>
      </w:tr>
      <w:tr w:rsidR="007371C6" w:rsidRPr="00F06E45" w14:paraId="4387B468" w14:textId="77777777" w:rsidTr="00063500">
        <w:trPr>
          <w:trHeight w:val="258"/>
        </w:trPr>
        <w:tc>
          <w:tcPr>
            <w:tcW w:w="1276" w:type="dxa"/>
            <w:shd w:val="clear" w:color="auto" w:fill="auto"/>
          </w:tcPr>
          <w:p w14:paraId="4D2049F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gridSpan w:val="2"/>
            <w:shd w:val="clear" w:color="auto" w:fill="auto"/>
          </w:tcPr>
          <w:p w14:paraId="6AC1EEF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Investments</w:t>
            </w:r>
          </w:p>
        </w:tc>
        <w:tc>
          <w:tcPr>
            <w:tcW w:w="3685" w:type="dxa"/>
            <w:gridSpan w:val="2"/>
            <w:shd w:val="clear" w:color="auto" w:fill="auto"/>
          </w:tcPr>
          <w:p w14:paraId="2CF8F44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Minimum return on investments is 1% (Percentage is calculated above the target cash rate).</w:t>
            </w:r>
          </w:p>
        </w:tc>
        <w:tc>
          <w:tcPr>
            <w:tcW w:w="851" w:type="dxa"/>
            <w:shd w:val="clear" w:color="auto" w:fill="auto"/>
          </w:tcPr>
          <w:p w14:paraId="65BF7E3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7E59CF94" w14:textId="77777777" w:rsidR="007371C6" w:rsidRPr="00F06E45" w:rsidRDefault="008C45F3" w:rsidP="00F06E45">
            <w:pPr>
              <w:rPr>
                <w:rFonts w:ascii="Calibri" w:eastAsia="Calibri" w:hAnsi="Calibri" w:cs="Times New Roman"/>
                <w:sz w:val="16"/>
                <w:szCs w:val="16"/>
              </w:rPr>
            </w:pPr>
            <w:r w:rsidRPr="00F06E45">
              <w:rPr>
                <w:rFonts w:ascii="Calibri" w:eastAsia="Calibri" w:hAnsi="Calibri" w:cs="Times New Roman"/>
                <w:sz w:val="16"/>
                <w:szCs w:val="16"/>
              </w:rPr>
              <w:t>&gt; 0.5%</w:t>
            </w:r>
          </w:p>
        </w:tc>
        <w:tc>
          <w:tcPr>
            <w:tcW w:w="850" w:type="dxa"/>
            <w:shd w:val="clear" w:color="auto" w:fill="auto"/>
          </w:tcPr>
          <w:p w14:paraId="567D6B88" w14:textId="77777777" w:rsidR="007371C6" w:rsidRPr="00F06E45" w:rsidRDefault="008C45F3" w:rsidP="00F06E45">
            <w:pPr>
              <w:rPr>
                <w:rFonts w:ascii="Calibri" w:eastAsia="Calibri" w:hAnsi="Calibri" w:cs="Times New Roman"/>
                <w:sz w:val="16"/>
                <w:szCs w:val="16"/>
              </w:rPr>
            </w:pPr>
            <w:r w:rsidRPr="00F06E45">
              <w:rPr>
                <w:rFonts w:ascii="Calibri" w:eastAsia="Calibri" w:hAnsi="Calibri" w:cs="Times New Roman"/>
                <w:sz w:val="16"/>
                <w:szCs w:val="16"/>
              </w:rPr>
              <w:t xml:space="preserve">This quarter </w:t>
            </w:r>
          </w:p>
          <w:p w14:paraId="2493298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0.86%</w:t>
            </w:r>
          </w:p>
        </w:tc>
        <w:tc>
          <w:tcPr>
            <w:tcW w:w="851" w:type="dxa"/>
            <w:shd w:val="clear" w:color="auto" w:fill="auto"/>
          </w:tcPr>
          <w:p w14:paraId="3CAD1A2D"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7872" behindDoc="1" locked="0" layoutInCell="1" allowOverlap="1" wp14:anchorId="4C30DDA1" wp14:editId="09B3462E">
                  <wp:simplePos x="0" y="0"/>
                  <wp:positionH relativeFrom="column">
                    <wp:posOffset>2540</wp:posOffset>
                  </wp:positionH>
                  <wp:positionV relativeFrom="paragraph">
                    <wp:posOffset>125095</wp:posOffset>
                  </wp:positionV>
                  <wp:extent cx="221615" cy="158115"/>
                  <wp:effectExtent l="0" t="0" r="6985" b="0"/>
                  <wp:wrapTight wrapText="bothSides">
                    <wp:wrapPolygon edited="0">
                      <wp:start x="0" y="0"/>
                      <wp:lineTo x="0" y="18217"/>
                      <wp:lineTo x="20424" y="18217"/>
                      <wp:lineTo x="2042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57D20D0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Banks are continuing to offer reduced interest rates due to the current economic conditions and the banking rules related to liquidity. The possibility of another rate cut by the Reserve Bank Australia (RBA) is also being factored into the interest rates quoted. As the Queensland Treasury Corporation (QTC) is offering rates comparable to the banks, more funds are being held with them in their Capital Guaranteed Cash Fund.</w:t>
            </w:r>
          </w:p>
          <w:p w14:paraId="304AE032" w14:textId="77777777" w:rsidR="007371C6" w:rsidRPr="00F06E45" w:rsidRDefault="007371C6" w:rsidP="00F06E45">
            <w:pPr>
              <w:rPr>
                <w:rFonts w:ascii="Calibri" w:eastAsia="Calibri" w:hAnsi="Calibri" w:cs="Times New Roman"/>
                <w:sz w:val="16"/>
                <w:szCs w:val="16"/>
              </w:rPr>
            </w:pPr>
          </w:p>
        </w:tc>
      </w:tr>
      <w:tr w:rsidR="007371C6" w:rsidRPr="00F06E45" w14:paraId="5C19F837" w14:textId="77777777" w:rsidTr="00063500">
        <w:trPr>
          <w:trHeight w:val="258"/>
        </w:trPr>
        <w:tc>
          <w:tcPr>
            <w:tcW w:w="1276" w:type="dxa"/>
            <w:shd w:val="clear" w:color="auto" w:fill="auto"/>
          </w:tcPr>
          <w:p w14:paraId="4820D63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Financial Services </w:t>
            </w:r>
          </w:p>
        </w:tc>
        <w:tc>
          <w:tcPr>
            <w:tcW w:w="2410" w:type="dxa"/>
            <w:gridSpan w:val="2"/>
            <w:shd w:val="clear" w:color="auto" w:fill="auto"/>
          </w:tcPr>
          <w:p w14:paraId="2EC7E7E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Taxation: Compliance with Taxation legislation</w:t>
            </w:r>
          </w:p>
        </w:tc>
        <w:tc>
          <w:tcPr>
            <w:tcW w:w="3685" w:type="dxa"/>
            <w:gridSpan w:val="2"/>
            <w:shd w:val="clear" w:color="auto" w:fill="auto"/>
          </w:tcPr>
          <w:p w14:paraId="461891E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taxation requirements have been completed (includes GST, BAS &amp; Payroll).</w:t>
            </w:r>
          </w:p>
          <w:p w14:paraId="37A18CCE" w14:textId="77777777" w:rsidR="007371C6" w:rsidRPr="00F06E45" w:rsidRDefault="007371C6" w:rsidP="00F06E45">
            <w:pPr>
              <w:ind w:left="-108"/>
              <w:rPr>
                <w:rFonts w:ascii="Calibri" w:eastAsia="Calibri" w:hAnsi="Calibri" w:cs="Times New Roman"/>
                <w:sz w:val="18"/>
                <w:szCs w:val="18"/>
              </w:rPr>
            </w:pPr>
          </w:p>
        </w:tc>
        <w:tc>
          <w:tcPr>
            <w:tcW w:w="851" w:type="dxa"/>
            <w:shd w:val="clear" w:color="auto" w:fill="auto"/>
          </w:tcPr>
          <w:p w14:paraId="4BA37E6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5A35C8E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850" w:type="dxa"/>
            <w:shd w:val="clear" w:color="auto" w:fill="auto"/>
          </w:tcPr>
          <w:p w14:paraId="5C6A282D" w14:textId="77777777" w:rsidR="007371C6" w:rsidRPr="00F06E45" w:rsidRDefault="007371C6" w:rsidP="00F06E45">
            <w:pPr>
              <w:rPr>
                <w:rFonts w:ascii="Calibri" w:eastAsia="Calibri" w:hAnsi="Calibri" w:cs="Times New Roman"/>
                <w:sz w:val="16"/>
                <w:szCs w:val="16"/>
              </w:rPr>
            </w:pPr>
          </w:p>
          <w:p w14:paraId="6F943EC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851" w:type="dxa"/>
            <w:shd w:val="clear" w:color="auto" w:fill="auto"/>
          </w:tcPr>
          <w:p w14:paraId="25386E5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28896" behindDoc="1" locked="0" layoutInCell="1" allowOverlap="1" wp14:anchorId="3D97FA46" wp14:editId="0A6925AD">
                  <wp:simplePos x="0" y="0"/>
                  <wp:positionH relativeFrom="column">
                    <wp:posOffset>2540</wp:posOffset>
                  </wp:positionH>
                  <wp:positionV relativeFrom="paragraph">
                    <wp:posOffset>129540</wp:posOffset>
                  </wp:positionV>
                  <wp:extent cx="221615" cy="158115"/>
                  <wp:effectExtent l="0" t="0" r="6985" b="0"/>
                  <wp:wrapTight wrapText="bothSides">
                    <wp:wrapPolygon edited="0">
                      <wp:start x="0" y="0"/>
                      <wp:lineTo x="0" y="18217"/>
                      <wp:lineTo x="20424" y="18217"/>
                      <wp:lineTo x="20424"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00EE061B"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6"/>
                <w:szCs w:val="16"/>
              </w:rPr>
              <w:t>All taxation requirements are currently being met for this stage of the year with normal monthly BAS and Payroll Tax returns being submitted. The Annual Fringe Benefits Tax return has also been submitted</w:t>
            </w:r>
            <w:r w:rsidRPr="00F06E45">
              <w:rPr>
                <w:rFonts w:ascii="Calibri" w:eastAsia="Calibri" w:hAnsi="Calibri" w:cs="Times New Roman"/>
                <w:sz w:val="18"/>
                <w:szCs w:val="18"/>
              </w:rPr>
              <w:t>.</w:t>
            </w:r>
          </w:p>
          <w:p w14:paraId="466CEF02" w14:textId="77777777" w:rsidR="007371C6" w:rsidRPr="00F06E45" w:rsidRDefault="007371C6" w:rsidP="00F06E45">
            <w:pPr>
              <w:rPr>
                <w:rFonts w:ascii="Calibri" w:eastAsia="Calibri" w:hAnsi="Calibri" w:cs="Times New Roman"/>
                <w:sz w:val="18"/>
                <w:szCs w:val="18"/>
              </w:rPr>
            </w:pPr>
          </w:p>
        </w:tc>
      </w:tr>
      <w:tr w:rsidR="007371C6" w:rsidRPr="00F06E45" w14:paraId="4D083CF0" w14:textId="77777777" w:rsidTr="00063500">
        <w:trPr>
          <w:trHeight w:val="258"/>
        </w:trPr>
        <w:tc>
          <w:tcPr>
            <w:tcW w:w="1276" w:type="dxa"/>
            <w:shd w:val="clear" w:color="auto" w:fill="auto"/>
          </w:tcPr>
          <w:p w14:paraId="6B544F2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Information Systems</w:t>
            </w:r>
          </w:p>
        </w:tc>
        <w:tc>
          <w:tcPr>
            <w:tcW w:w="2410" w:type="dxa"/>
            <w:gridSpan w:val="2"/>
            <w:shd w:val="clear" w:color="auto" w:fill="auto"/>
          </w:tcPr>
          <w:p w14:paraId="1C6CE6E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Projects </w:t>
            </w:r>
          </w:p>
        </w:tc>
        <w:tc>
          <w:tcPr>
            <w:tcW w:w="3685" w:type="dxa"/>
            <w:gridSpan w:val="2"/>
            <w:shd w:val="clear" w:color="auto" w:fill="auto"/>
          </w:tcPr>
          <w:p w14:paraId="18E3090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projects on schedule and on budget. </w:t>
            </w:r>
          </w:p>
        </w:tc>
        <w:tc>
          <w:tcPr>
            <w:tcW w:w="851" w:type="dxa"/>
            <w:shd w:val="clear" w:color="auto" w:fill="auto"/>
          </w:tcPr>
          <w:p w14:paraId="58DF2F7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Annually </w:t>
            </w:r>
          </w:p>
          <w:p w14:paraId="052C7F63" w14:textId="77777777" w:rsidR="007371C6" w:rsidRPr="00F06E45" w:rsidRDefault="007371C6" w:rsidP="00F06E45">
            <w:pPr>
              <w:rPr>
                <w:rFonts w:ascii="Calibri" w:eastAsia="Calibri" w:hAnsi="Calibri" w:cs="Times New Roman"/>
                <w:sz w:val="20"/>
                <w:szCs w:val="20"/>
              </w:rPr>
            </w:pPr>
            <w:r w:rsidRPr="00F06E45">
              <w:rPr>
                <w:rFonts w:ascii="Calibri" w:eastAsia="Calibri" w:hAnsi="Calibri" w:cs="Times New Roman"/>
                <w:sz w:val="16"/>
                <w:szCs w:val="16"/>
              </w:rPr>
              <w:t>100%</w:t>
            </w:r>
          </w:p>
        </w:tc>
        <w:tc>
          <w:tcPr>
            <w:tcW w:w="850" w:type="dxa"/>
            <w:shd w:val="clear" w:color="auto" w:fill="auto"/>
          </w:tcPr>
          <w:p w14:paraId="171FB150" w14:textId="77777777" w:rsidR="007371C6" w:rsidRPr="00F06E45" w:rsidRDefault="007371C6" w:rsidP="00F06E45">
            <w:pPr>
              <w:ind w:left="-3"/>
              <w:rPr>
                <w:rFonts w:ascii="Calibri" w:eastAsia="Calibri" w:hAnsi="Calibri" w:cs="Times New Roman"/>
                <w:sz w:val="16"/>
                <w:szCs w:val="16"/>
              </w:rPr>
            </w:pPr>
            <w:r w:rsidRPr="00F06E45">
              <w:rPr>
                <w:rFonts w:ascii="Calibri" w:eastAsia="Calibri" w:hAnsi="Calibri" w:cs="Times New Roman"/>
                <w:sz w:val="16"/>
                <w:szCs w:val="16"/>
              </w:rPr>
              <w:t xml:space="preserve"> YTD</w:t>
            </w:r>
          </w:p>
          <w:p w14:paraId="35E2145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27%</w:t>
            </w:r>
          </w:p>
        </w:tc>
        <w:tc>
          <w:tcPr>
            <w:tcW w:w="851" w:type="dxa"/>
            <w:shd w:val="clear" w:color="auto" w:fill="auto"/>
          </w:tcPr>
          <w:p w14:paraId="3D32417D"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1664" behindDoc="1" locked="0" layoutInCell="1" allowOverlap="1" wp14:anchorId="7ED713F1" wp14:editId="1C250A4D">
                  <wp:simplePos x="0" y="0"/>
                  <wp:positionH relativeFrom="column">
                    <wp:posOffset>1905</wp:posOffset>
                  </wp:positionH>
                  <wp:positionV relativeFrom="paragraph">
                    <wp:posOffset>121285</wp:posOffset>
                  </wp:positionV>
                  <wp:extent cx="221615" cy="158115"/>
                  <wp:effectExtent l="0" t="0" r="6985" b="0"/>
                  <wp:wrapTight wrapText="bothSides">
                    <wp:wrapPolygon edited="0">
                      <wp:start x="0" y="0"/>
                      <wp:lineTo x="0" y="18217"/>
                      <wp:lineTo x="20424" y="18217"/>
                      <wp:lineTo x="20424"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4C073EFD" w14:textId="77777777" w:rsidR="007371C6" w:rsidRPr="00F06E45" w:rsidRDefault="007371C6" w:rsidP="00F06E45">
            <w:pPr>
              <w:rPr>
                <w:rFonts w:ascii="Calibri" w:eastAsia="Calibri" w:hAnsi="Calibri" w:cs="Times New Roman"/>
                <w:color w:val="808080" w:themeColor="background1" w:themeShade="80"/>
                <w:sz w:val="16"/>
                <w:szCs w:val="16"/>
              </w:rPr>
            </w:pPr>
            <w:r w:rsidRPr="00F06E45">
              <w:rPr>
                <w:rFonts w:ascii="Calibri" w:eastAsia="Calibri" w:hAnsi="Calibri" w:cs="Times New Roman"/>
                <w:sz w:val="16"/>
                <w:szCs w:val="16"/>
              </w:rPr>
              <w:t xml:space="preserve">There are a total of 51 Information Systems Projects scheduled to take place this financial year - Infrastructure Operations x 20, Corporate Applications x 12, GIS x 16 and Records x 3. Major projects within these categories include Core Systems Replacement, the E-Tendering Porthole, Mobilisation -Workforce Management &amp; eForms and CCTV upgrade &amp; maintenance. </w:t>
            </w:r>
          </w:p>
        </w:tc>
      </w:tr>
      <w:tr w:rsidR="007371C6" w:rsidRPr="00F06E45" w14:paraId="7A0D8ACA" w14:textId="77777777" w:rsidTr="00063500">
        <w:trPr>
          <w:trHeight w:val="258"/>
        </w:trPr>
        <w:tc>
          <w:tcPr>
            <w:tcW w:w="1276" w:type="dxa"/>
            <w:shd w:val="clear" w:color="auto" w:fill="auto"/>
          </w:tcPr>
          <w:p w14:paraId="5016928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Information Systems</w:t>
            </w:r>
          </w:p>
        </w:tc>
        <w:tc>
          <w:tcPr>
            <w:tcW w:w="2410" w:type="dxa"/>
            <w:gridSpan w:val="2"/>
            <w:shd w:val="clear" w:color="auto" w:fill="auto"/>
          </w:tcPr>
          <w:p w14:paraId="0D00795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Efficient Operations: Systems Availability </w:t>
            </w:r>
          </w:p>
        </w:tc>
        <w:tc>
          <w:tcPr>
            <w:tcW w:w="3685" w:type="dxa"/>
            <w:gridSpan w:val="2"/>
            <w:shd w:val="clear" w:color="auto" w:fill="auto"/>
          </w:tcPr>
          <w:p w14:paraId="663B19A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Information and Technology systems are available (availability indicates there is no interruption to business operations).</w:t>
            </w:r>
          </w:p>
        </w:tc>
        <w:tc>
          <w:tcPr>
            <w:tcW w:w="851" w:type="dxa"/>
            <w:shd w:val="clear" w:color="auto" w:fill="auto"/>
          </w:tcPr>
          <w:p w14:paraId="0454E85B" w14:textId="77777777" w:rsidR="007371C6" w:rsidRPr="00F06E45" w:rsidRDefault="007371C6" w:rsidP="00F06E45">
            <w:pPr>
              <w:rPr>
                <w:sz w:val="16"/>
                <w:szCs w:val="16"/>
              </w:rPr>
            </w:pPr>
            <w:r w:rsidRPr="00F06E45">
              <w:rPr>
                <w:sz w:val="16"/>
                <w:szCs w:val="16"/>
              </w:rPr>
              <w:t>Quarterly</w:t>
            </w:r>
          </w:p>
          <w:p w14:paraId="48628AC1" w14:textId="77777777" w:rsidR="007371C6" w:rsidRPr="00F06E45" w:rsidRDefault="007371C6" w:rsidP="00F06E45">
            <w:pPr>
              <w:rPr>
                <w:sz w:val="16"/>
                <w:szCs w:val="16"/>
              </w:rPr>
            </w:pPr>
            <w:r w:rsidRPr="00F06E45">
              <w:rPr>
                <w:sz w:val="16"/>
                <w:szCs w:val="16"/>
              </w:rPr>
              <w:t>98%</w:t>
            </w:r>
          </w:p>
        </w:tc>
        <w:tc>
          <w:tcPr>
            <w:tcW w:w="850" w:type="dxa"/>
            <w:shd w:val="clear" w:color="auto" w:fill="auto"/>
          </w:tcPr>
          <w:p w14:paraId="0771E196" w14:textId="77777777" w:rsidR="007371C6" w:rsidRPr="00F06E45" w:rsidRDefault="007371C6" w:rsidP="00F06E45">
            <w:pPr>
              <w:rPr>
                <w:sz w:val="16"/>
                <w:szCs w:val="16"/>
              </w:rPr>
            </w:pPr>
          </w:p>
          <w:p w14:paraId="36E7F84E" w14:textId="77777777" w:rsidR="007371C6" w:rsidRPr="00F06E45" w:rsidRDefault="007371C6" w:rsidP="00F06E45">
            <w:pPr>
              <w:rPr>
                <w:sz w:val="16"/>
                <w:szCs w:val="16"/>
              </w:rPr>
            </w:pPr>
            <w:r w:rsidRPr="00F06E45">
              <w:rPr>
                <w:sz w:val="16"/>
                <w:szCs w:val="16"/>
              </w:rPr>
              <w:t>94%</w:t>
            </w:r>
          </w:p>
        </w:tc>
        <w:tc>
          <w:tcPr>
            <w:tcW w:w="851" w:type="dxa"/>
            <w:shd w:val="clear" w:color="auto" w:fill="auto"/>
          </w:tcPr>
          <w:p w14:paraId="7C2DA6BE" w14:textId="77777777" w:rsidR="007371C6" w:rsidRPr="00F06E45" w:rsidRDefault="007371C6" w:rsidP="00F06E45">
            <w:pPr>
              <w:rPr>
                <w:sz w:val="16"/>
                <w:szCs w:val="16"/>
              </w:rPr>
            </w:pPr>
            <w:r w:rsidRPr="00F06E45">
              <w:rPr>
                <w:rFonts w:cs="Aharoni"/>
                <w:noProof/>
                <w:color w:val="1F4E79" w:themeColor="accent1" w:themeShade="80"/>
                <w:sz w:val="20"/>
                <w:szCs w:val="20"/>
                <w:lang w:eastAsia="en-AU"/>
              </w:rPr>
              <w:drawing>
                <wp:anchor distT="0" distB="0" distL="114300" distR="114300" simplePos="0" relativeHeight="251773952" behindDoc="1" locked="0" layoutInCell="1" allowOverlap="1" wp14:anchorId="5408E84A" wp14:editId="74C44130">
                  <wp:simplePos x="0" y="0"/>
                  <wp:positionH relativeFrom="column">
                    <wp:posOffset>1905</wp:posOffset>
                  </wp:positionH>
                  <wp:positionV relativeFrom="paragraph">
                    <wp:posOffset>126365</wp:posOffset>
                  </wp:positionV>
                  <wp:extent cx="142875" cy="142875"/>
                  <wp:effectExtent l="0" t="0" r="9525" b="9525"/>
                  <wp:wrapTight wrapText="bothSides">
                    <wp:wrapPolygon edited="0">
                      <wp:start x="0" y="0"/>
                      <wp:lineTo x="0" y="20160"/>
                      <wp:lineTo x="20160" y="20160"/>
                      <wp:lineTo x="2016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Cro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7E62C221" w14:textId="77777777" w:rsidR="007371C6" w:rsidRPr="00F06E45" w:rsidRDefault="007371C6" w:rsidP="00F06E45">
            <w:pPr>
              <w:pStyle w:val="NormalWeb"/>
              <w:rPr>
                <w:rFonts w:asciiTheme="minorHAnsi" w:hAnsiTheme="minorHAnsi" w:cs="Tahoma"/>
                <w:sz w:val="16"/>
                <w:szCs w:val="16"/>
              </w:rPr>
            </w:pPr>
            <w:r w:rsidRPr="00F06E45">
              <w:rPr>
                <w:rFonts w:asciiTheme="minorHAnsi" w:hAnsiTheme="minorHAnsi" w:cs="Tahoma"/>
                <w:sz w:val="16"/>
                <w:szCs w:val="16"/>
              </w:rPr>
              <w:t xml:space="preserve">Average systems availability for the quarter was 94%. This figure includes downtime for both unscheduled and scheduled maintenance. </w:t>
            </w:r>
          </w:p>
          <w:p w14:paraId="2DBE569D" w14:textId="77777777" w:rsidR="007371C6" w:rsidRPr="00F06E45" w:rsidRDefault="007371C6" w:rsidP="00F06E45">
            <w:pPr>
              <w:rPr>
                <w:color w:val="808080" w:themeColor="background1" w:themeShade="80"/>
                <w:sz w:val="16"/>
                <w:szCs w:val="16"/>
              </w:rPr>
            </w:pPr>
            <w:r w:rsidRPr="00F06E45">
              <w:rPr>
                <w:color w:val="808080" w:themeColor="background1" w:themeShade="80"/>
                <w:sz w:val="16"/>
                <w:szCs w:val="16"/>
              </w:rPr>
              <w:t xml:space="preserve"> </w:t>
            </w:r>
          </w:p>
        </w:tc>
      </w:tr>
      <w:tr w:rsidR="007371C6" w:rsidRPr="00F06E45" w14:paraId="361E4A97" w14:textId="77777777" w:rsidTr="00063500">
        <w:trPr>
          <w:trHeight w:val="258"/>
        </w:trPr>
        <w:tc>
          <w:tcPr>
            <w:tcW w:w="1656" w:type="dxa"/>
            <w:gridSpan w:val="2"/>
            <w:tcBorders>
              <w:bottom w:val="single" w:sz="18" w:space="0" w:color="1F4E79" w:themeColor="accent1" w:themeShade="80"/>
            </w:tcBorders>
            <w:shd w:val="clear" w:color="auto" w:fill="auto"/>
          </w:tcPr>
          <w:p w14:paraId="74926BB4" w14:textId="77777777" w:rsidR="007371C6" w:rsidRPr="00F06E45" w:rsidRDefault="007371C6" w:rsidP="00F06E45">
            <w:pPr>
              <w:rPr>
                <w:sz w:val="18"/>
                <w:szCs w:val="18"/>
              </w:rPr>
            </w:pPr>
            <w:r w:rsidRPr="00F06E45">
              <w:rPr>
                <w:sz w:val="18"/>
                <w:szCs w:val="18"/>
              </w:rPr>
              <w:t xml:space="preserve"> </w:t>
            </w:r>
          </w:p>
        </w:tc>
        <w:tc>
          <w:tcPr>
            <w:tcW w:w="2926" w:type="dxa"/>
            <w:gridSpan w:val="2"/>
            <w:tcBorders>
              <w:bottom w:val="single" w:sz="18" w:space="0" w:color="1F4E79" w:themeColor="accent1" w:themeShade="80"/>
            </w:tcBorders>
            <w:shd w:val="clear" w:color="auto" w:fill="auto"/>
          </w:tcPr>
          <w:p w14:paraId="303AD034" w14:textId="77777777" w:rsidR="007371C6" w:rsidRPr="00F06E45" w:rsidRDefault="007371C6" w:rsidP="00F06E45">
            <w:pPr>
              <w:rPr>
                <w:sz w:val="18"/>
                <w:szCs w:val="18"/>
              </w:rPr>
            </w:pPr>
          </w:p>
        </w:tc>
        <w:tc>
          <w:tcPr>
            <w:tcW w:w="2789" w:type="dxa"/>
            <w:tcBorders>
              <w:bottom w:val="single" w:sz="18" w:space="0" w:color="1F4E79" w:themeColor="accent1" w:themeShade="80"/>
            </w:tcBorders>
            <w:shd w:val="clear" w:color="auto" w:fill="auto"/>
          </w:tcPr>
          <w:p w14:paraId="5B521F73" w14:textId="77777777" w:rsidR="007371C6" w:rsidRPr="00F06E45" w:rsidRDefault="007371C6" w:rsidP="00F06E45">
            <w:pPr>
              <w:rPr>
                <w:sz w:val="18"/>
                <w:szCs w:val="18"/>
              </w:rPr>
            </w:pPr>
          </w:p>
        </w:tc>
        <w:tc>
          <w:tcPr>
            <w:tcW w:w="851" w:type="dxa"/>
            <w:tcBorders>
              <w:bottom w:val="single" w:sz="18" w:space="0" w:color="1F4E79" w:themeColor="accent1" w:themeShade="80"/>
            </w:tcBorders>
            <w:shd w:val="clear" w:color="auto" w:fill="auto"/>
          </w:tcPr>
          <w:p w14:paraId="788D6055" w14:textId="77777777" w:rsidR="007371C6" w:rsidRPr="00F06E45" w:rsidRDefault="007371C6" w:rsidP="00F06E45">
            <w:pPr>
              <w:rPr>
                <w:sz w:val="16"/>
                <w:szCs w:val="16"/>
              </w:rPr>
            </w:pPr>
          </w:p>
        </w:tc>
        <w:tc>
          <w:tcPr>
            <w:tcW w:w="850" w:type="dxa"/>
            <w:tcBorders>
              <w:bottom w:val="single" w:sz="18" w:space="0" w:color="1F4E79" w:themeColor="accent1" w:themeShade="80"/>
            </w:tcBorders>
            <w:shd w:val="clear" w:color="auto" w:fill="auto"/>
          </w:tcPr>
          <w:p w14:paraId="62B589BF" w14:textId="77777777" w:rsidR="007371C6" w:rsidRPr="00F06E45" w:rsidRDefault="007371C6" w:rsidP="00F06E45">
            <w:pPr>
              <w:rPr>
                <w:sz w:val="16"/>
                <w:szCs w:val="16"/>
              </w:rPr>
            </w:pPr>
          </w:p>
        </w:tc>
        <w:tc>
          <w:tcPr>
            <w:tcW w:w="3150" w:type="dxa"/>
            <w:gridSpan w:val="2"/>
            <w:tcBorders>
              <w:bottom w:val="single" w:sz="18" w:space="0" w:color="1F4E79" w:themeColor="accent1" w:themeShade="80"/>
            </w:tcBorders>
          </w:tcPr>
          <w:p w14:paraId="697261BD" w14:textId="77777777" w:rsidR="007371C6" w:rsidRPr="00F06E45" w:rsidRDefault="007371C6" w:rsidP="00F06E45">
            <w:pPr>
              <w:rPr>
                <w:sz w:val="16"/>
                <w:szCs w:val="16"/>
              </w:rPr>
            </w:pPr>
          </w:p>
        </w:tc>
        <w:tc>
          <w:tcPr>
            <w:tcW w:w="3371" w:type="dxa"/>
            <w:tcBorders>
              <w:bottom w:val="single" w:sz="18" w:space="0" w:color="1F4E79" w:themeColor="accent1" w:themeShade="80"/>
            </w:tcBorders>
            <w:shd w:val="clear" w:color="auto" w:fill="auto"/>
          </w:tcPr>
          <w:p w14:paraId="641C8B71" w14:textId="77777777" w:rsidR="007371C6" w:rsidRPr="00F06E45" w:rsidRDefault="007371C6" w:rsidP="00F06E45">
            <w:pPr>
              <w:rPr>
                <w:sz w:val="16"/>
                <w:szCs w:val="16"/>
              </w:rPr>
            </w:pPr>
          </w:p>
        </w:tc>
      </w:tr>
    </w:tbl>
    <w:p w14:paraId="432042D8" w14:textId="77777777" w:rsidR="007371C6" w:rsidRPr="00F06E45" w:rsidRDefault="007371C6" w:rsidP="00F06E45">
      <w:pPr>
        <w:spacing w:after="200" w:line="276" w:lineRule="auto"/>
        <w:rPr>
          <w:rFonts w:ascii="Calibri" w:eastAsia="Calibri" w:hAnsi="Calibri" w:cs="Times New Roman"/>
          <w:sz w:val="44"/>
          <w:szCs w:val="44"/>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rPr>
        <w:t>responsive, cohesive, sustainable, ethical and accountable</w:t>
      </w:r>
    </w:p>
    <w:p w14:paraId="47B136F4" w14:textId="77777777" w:rsidR="00786AE8" w:rsidRDefault="007371C6" w:rsidP="00F06E45">
      <w:pPr>
        <w:spacing w:after="200" w:line="276" w:lineRule="auto"/>
        <w:rPr>
          <w:rFonts w:ascii="Times New Roman" w:eastAsia="Calibri" w:hAnsi="Times New Roman" w:cs="Times New Roman"/>
          <w:b/>
          <w:i/>
          <w:color w:val="215868"/>
          <w:sz w:val="32"/>
          <w:szCs w:val="32"/>
        </w:rPr>
        <w:sectPr w:rsidR="00786AE8"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b/>
          <w:i/>
          <w:color w:val="215868"/>
          <w:sz w:val="32"/>
          <w:szCs w:val="32"/>
        </w:rPr>
        <w:t xml:space="preserve"> </w:t>
      </w:r>
    </w:p>
    <w:p w14:paraId="74960A5A"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p>
    <w:p w14:paraId="3B18051F"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p>
    <w:tbl>
      <w:tblPr>
        <w:tblStyle w:val="TableGrid1"/>
        <w:tblpPr w:leftFromText="180" w:rightFromText="180" w:vertAnchor="text" w:horzAnchor="margin" w:tblpY="791"/>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410"/>
        <w:gridCol w:w="933"/>
        <w:gridCol w:w="2752"/>
        <w:gridCol w:w="851"/>
        <w:gridCol w:w="850"/>
        <w:gridCol w:w="851"/>
        <w:gridCol w:w="2287"/>
        <w:gridCol w:w="3383"/>
      </w:tblGrid>
      <w:tr w:rsidR="007371C6" w:rsidRPr="00F06E45" w14:paraId="679332F1" w14:textId="77777777" w:rsidTr="00063500">
        <w:trPr>
          <w:trHeight w:val="26"/>
        </w:trPr>
        <w:tc>
          <w:tcPr>
            <w:tcW w:w="15593" w:type="dxa"/>
            <w:gridSpan w:val="9"/>
            <w:tcBorders>
              <w:top w:val="single" w:sz="18" w:space="0" w:color="365F91"/>
              <w:bottom w:val="single" w:sz="18" w:space="0" w:color="365F91"/>
            </w:tcBorders>
            <w:shd w:val="clear" w:color="auto" w:fill="4489C8"/>
          </w:tcPr>
          <w:p w14:paraId="23895BCB"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4.6 A common sense approach to planning, coordination and consultation</w:t>
            </w:r>
          </w:p>
        </w:tc>
      </w:tr>
      <w:tr w:rsidR="007371C6" w:rsidRPr="00F06E45" w14:paraId="0E5EFBBE" w14:textId="77777777" w:rsidTr="00063500">
        <w:trPr>
          <w:trHeight w:val="184"/>
        </w:trPr>
        <w:tc>
          <w:tcPr>
            <w:tcW w:w="15593" w:type="dxa"/>
            <w:gridSpan w:val="9"/>
            <w:tcBorders>
              <w:top w:val="single" w:sz="18" w:space="0" w:color="365F91"/>
              <w:bottom w:val="single" w:sz="18" w:space="0" w:color="365F91"/>
            </w:tcBorders>
          </w:tcPr>
          <w:p w14:paraId="15162A3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 xml:space="preserve">Strategy 4.6.2 Provide strong governance and leadership that includes open, timely and transparent communication and responsible decision making  </w:t>
            </w:r>
          </w:p>
        </w:tc>
      </w:tr>
      <w:tr w:rsidR="007371C6" w:rsidRPr="00F06E45" w14:paraId="7428C86A" w14:textId="77777777" w:rsidTr="00063500">
        <w:trPr>
          <w:trHeight w:val="184"/>
        </w:trPr>
        <w:tc>
          <w:tcPr>
            <w:tcW w:w="1276" w:type="dxa"/>
            <w:tcBorders>
              <w:top w:val="single" w:sz="18" w:space="0" w:color="365F91"/>
            </w:tcBorders>
            <w:shd w:val="clear" w:color="auto" w:fill="auto"/>
          </w:tcPr>
          <w:p w14:paraId="6CEC677C"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r w:rsidRPr="00F06E45">
              <w:rPr>
                <w:rFonts w:ascii="Calibri" w:eastAsia="Calibri" w:hAnsi="Calibri" w:cs="Times New Roman"/>
                <w:b/>
                <w:sz w:val="18"/>
                <w:szCs w:val="18"/>
              </w:rPr>
              <w:tab/>
            </w:r>
          </w:p>
        </w:tc>
        <w:tc>
          <w:tcPr>
            <w:tcW w:w="2410" w:type="dxa"/>
            <w:tcBorders>
              <w:top w:val="single" w:sz="18" w:space="0" w:color="365F91"/>
            </w:tcBorders>
            <w:shd w:val="clear" w:color="auto" w:fill="auto"/>
          </w:tcPr>
          <w:p w14:paraId="444AFA7B"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gridSpan w:val="2"/>
            <w:tcBorders>
              <w:top w:val="single" w:sz="18" w:space="0" w:color="365F91"/>
            </w:tcBorders>
            <w:shd w:val="clear" w:color="auto" w:fill="auto"/>
          </w:tcPr>
          <w:p w14:paraId="0B781309"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365F91"/>
            </w:tcBorders>
            <w:shd w:val="clear" w:color="auto" w:fill="auto"/>
          </w:tcPr>
          <w:p w14:paraId="187EE549"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tcBorders>
              <w:top w:val="single" w:sz="18" w:space="0" w:color="365F91"/>
            </w:tcBorders>
            <w:shd w:val="clear" w:color="auto" w:fill="auto"/>
          </w:tcPr>
          <w:p w14:paraId="572EF10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tcBorders>
              <w:top w:val="single" w:sz="18" w:space="0" w:color="365F91"/>
            </w:tcBorders>
          </w:tcPr>
          <w:p w14:paraId="3EE11BF1"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365F91"/>
            </w:tcBorders>
            <w:shd w:val="clear" w:color="auto" w:fill="auto"/>
          </w:tcPr>
          <w:p w14:paraId="5CF9BF32"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6BB6134B" w14:textId="77777777" w:rsidTr="00063500">
        <w:trPr>
          <w:trHeight w:val="637"/>
        </w:trPr>
        <w:tc>
          <w:tcPr>
            <w:tcW w:w="1276" w:type="dxa"/>
            <w:shd w:val="clear" w:color="auto" w:fill="auto"/>
          </w:tcPr>
          <w:p w14:paraId="5B9D6FE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Financial Services</w:t>
            </w:r>
          </w:p>
        </w:tc>
        <w:tc>
          <w:tcPr>
            <w:tcW w:w="2410" w:type="dxa"/>
            <w:shd w:val="clear" w:color="auto" w:fill="auto"/>
          </w:tcPr>
          <w:p w14:paraId="41DA282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Revenue: Rates  </w:t>
            </w:r>
          </w:p>
        </w:tc>
        <w:tc>
          <w:tcPr>
            <w:tcW w:w="3685" w:type="dxa"/>
            <w:gridSpan w:val="2"/>
            <w:shd w:val="clear" w:color="auto" w:fill="auto"/>
          </w:tcPr>
          <w:p w14:paraId="69439EC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Outstanding Rates as a percentage of rates levied  </w:t>
            </w:r>
          </w:p>
        </w:tc>
        <w:tc>
          <w:tcPr>
            <w:tcW w:w="851" w:type="dxa"/>
            <w:shd w:val="clear" w:color="auto" w:fill="auto"/>
          </w:tcPr>
          <w:p w14:paraId="622F6274" w14:textId="77777777" w:rsidR="007371C6" w:rsidRPr="00F06E45" w:rsidRDefault="00185D56" w:rsidP="00F06E45">
            <w:pPr>
              <w:rPr>
                <w:rFonts w:ascii="Calibri" w:eastAsia="Calibri" w:hAnsi="Calibri" w:cs="Times New Roman"/>
                <w:sz w:val="16"/>
                <w:szCs w:val="16"/>
              </w:rPr>
            </w:pPr>
            <w:r w:rsidRPr="00F06E45">
              <w:rPr>
                <w:rFonts w:ascii="Calibri" w:eastAsia="Calibri" w:hAnsi="Calibri" w:cs="Times New Roman"/>
                <w:sz w:val="16"/>
                <w:szCs w:val="16"/>
              </w:rPr>
              <w:t>Bi-a</w:t>
            </w:r>
            <w:r w:rsidR="007371C6" w:rsidRPr="00F06E45">
              <w:rPr>
                <w:rFonts w:ascii="Calibri" w:eastAsia="Calibri" w:hAnsi="Calibri" w:cs="Times New Roman"/>
                <w:sz w:val="16"/>
                <w:szCs w:val="16"/>
              </w:rPr>
              <w:t>nnually</w:t>
            </w:r>
          </w:p>
          <w:p w14:paraId="4EE0E96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&lt;5%</w:t>
            </w:r>
          </w:p>
        </w:tc>
        <w:tc>
          <w:tcPr>
            <w:tcW w:w="850" w:type="dxa"/>
            <w:shd w:val="clear" w:color="auto" w:fill="auto"/>
          </w:tcPr>
          <w:p w14:paraId="25664E5D" w14:textId="77777777" w:rsidR="007371C6" w:rsidRPr="00F06E45" w:rsidRDefault="007371C6" w:rsidP="00F06E45">
            <w:pPr>
              <w:rPr>
                <w:rFonts w:ascii="Calibri" w:eastAsia="Calibri" w:hAnsi="Calibri" w:cs="Times New Roman"/>
                <w:sz w:val="16"/>
                <w:szCs w:val="16"/>
              </w:rPr>
            </w:pPr>
          </w:p>
          <w:p w14:paraId="60D8FFA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4.15%</w:t>
            </w:r>
          </w:p>
        </w:tc>
        <w:tc>
          <w:tcPr>
            <w:tcW w:w="851" w:type="dxa"/>
            <w:shd w:val="clear" w:color="auto" w:fill="auto"/>
          </w:tcPr>
          <w:p w14:paraId="7FD3A604"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62688" behindDoc="1" locked="0" layoutInCell="1" allowOverlap="1" wp14:anchorId="2805B444" wp14:editId="7DE168D8">
                  <wp:simplePos x="0" y="0"/>
                  <wp:positionH relativeFrom="column">
                    <wp:posOffset>1905</wp:posOffset>
                  </wp:positionH>
                  <wp:positionV relativeFrom="paragraph">
                    <wp:posOffset>122555</wp:posOffset>
                  </wp:positionV>
                  <wp:extent cx="203835" cy="145415"/>
                  <wp:effectExtent l="0" t="0" r="5715" b="6985"/>
                  <wp:wrapTight wrapText="bothSides">
                    <wp:wrapPolygon edited="0">
                      <wp:start x="0" y="0"/>
                      <wp:lineTo x="0" y="19808"/>
                      <wp:lineTo x="20187" y="19808"/>
                      <wp:lineTo x="20187"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7594E22F" w14:textId="77777777" w:rsidR="007371C6" w:rsidRPr="00F06E45" w:rsidRDefault="007371C6" w:rsidP="00F06E45">
            <w:pPr>
              <w:rPr>
                <w:sz w:val="16"/>
                <w:szCs w:val="16"/>
              </w:rPr>
            </w:pPr>
            <w:r w:rsidRPr="00F06E45">
              <w:rPr>
                <w:sz w:val="16"/>
                <w:szCs w:val="16"/>
              </w:rPr>
              <w:t>Rates debt owing before Half-Yearly Rates Billing on 31 July 2015 was $5,780,977 which is 4.15% of levy of $139,245,911. Last year was $7,164,400 which was 5.5% of levy $130,356,254.</w:t>
            </w:r>
          </w:p>
        </w:tc>
      </w:tr>
      <w:tr w:rsidR="007371C6" w:rsidRPr="00F06E45" w14:paraId="3AABEB44" w14:textId="77777777" w:rsidTr="00063500">
        <w:trPr>
          <w:trHeight w:val="705"/>
        </w:trPr>
        <w:tc>
          <w:tcPr>
            <w:tcW w:w="1276" w:type="dxa"/>
            <w:shd w:val="clear" w:color="auto" w:fill="auto"/>
          </w:tcPr>
          <w:p w14:paraId="430F0594" w14:textId="77777777" w:rsidR="007371C6" w:rsidRPr="00F06E45" w:rsidRDefault="007371C6" w:rsidP="00F06E45">
            <w:pPr>
              <w:ind w:left="-108"/>
              <w:rPr>
                <w:rFonts w:ascii="Calibri" w:eastAsia="Calibri" w:hAnsi="Calibri" w:cs="Times New Roman"/>
                <w:sz w:val="18"/>
                <w:szCs w:val="18"/>
              </w:rPr>
            </w:pPr>
            <w:r w:rsidRPr="00F06E45">
              <w:rPr>
                <w:sz w:val="18"/>
                <w:szCs w:val="18"/>
              </w:rPr>
              <w:t>Internal Ombudsman</w:t>
            </w:r>
          </w:p>
        </w:tc>
        <w:tc>
          <w:tcPr>
            <w:tcW w:w="2410" w:type="dxa"/>
            <w:shd w:val="clear" w:color="auto" w:fill="auto"/>
          </w:tcPr>
          <w:p w14:paraId="3255D6CF" w14:textId="77777777" w:rsidR="007371C6" w:rsidRPr="00F06E45" w:rsidRDefault="007371C6" w:rsidP="00F06E45">
            <w:pPr>
              <w:ind w:left="-108"/>
              <w:rPr>
                <w:rFonts w:ascii="Calibri" w:eastAsia="Calibri" w:hAnsi="Calibri" w:cs="Times New Roman"/>
                <w:sz w:val="18"/>
                <w:szCs w:val="18"/>
              </w:rPr>
            </w:pPr>
            <w:r w:rsidRPr="00F06E45">
              <w:rPr>
                <w:sz w:val="18"/>
                <w:szCs w:val="18"/>
              </w:rPr>
              <w:t>Risk Management</w:t>
            </w:r>
          </w:p>
        </w:tc>
        <w:tc>
          <w:tcPr>
            <w:tcW w:w="3685" w:type="dxa"/>
            <w:gridSpan w:val="2"/>
            <w:shd w:val="clear" w:color="auto" w:fill="auto"/>
          </w:tcPr>
          <w:p w14:paraId="221E8716" w14:textId="77777777" w:rsidR="007371C6" w:rsidRPr="00F06E45" w:rsidRDefault="007371C6" w:rsidP="00F06E45">
            <w:pPr>
              <w:ind w:left="-108"/>
              <w:rPr>
                <w:sz w:val="18"/>
                <w:szCs w:val="18"/>
              </w:rPr>
            </w:pPr>
            <w:r w:rsidRPr="00F06E45">
              <w:rPr>
                <w:rFonts w:ascii="Calibri" w:eastAsia="Calibri" w:hAnsi="Calibri" w:cs="Times New Roman"/>
                <w:sz w:val="18"/>
                <w:szCs w:val="18"/>
              </w:rPr>
              <w:t>Percentage of open risk compared to total risk each quarter (the number of open risks compared to closed risks, shown as a percentage)</w:t>
            </w:r>
          </w:p>
        </w:tc>
        <w:tc>
          <w:tcPr>
            <w:tcW w:w="851" w:type="dxa"/>
            <w:shd w:val="clear" w:color="auto" w:fill="auto"/>
          </w:tcPr>
          <w:p w14:paraId="08312033" w14:textId="77777777" w:rsidR="007371C6" w:rsidRPr="00F06E45" w:rsidRDefault="007371C6" w:rsidP="00F06E45">
            <w:pPr>
              <w:rPr>
                <w:sz w:val="16"/>
                <w:szCs w:val="16"/>
              </w:rPr>
            </w:pPr>
            <w:r w:rsidRPr="00F06E45">
              <w:rPr>
                <w:sz w:val="16"/>
                <w:szCs w:val="16"/>
              </w:rPr>
              <w:t>Quarterly &lt;10%</w:t>
            </w:r>
          </w:p>
        </w:tc>
        <w:tc>
          <w:tcPr>
            <w:tcW w:w="850" w:type="dxa"/>
            <w:shd w:val="clear" w:color="auto" w:fill="auto"/>
          </w:tcPr>
          <w:p w14:paraId="5FAD09C2" w14:textId="77777777" w:rsidR="007371C6" w:rsidRPr="00F06E45" w:rsidRDefault="007371C6" w:rsidP="00F06E45">
            <w:pPr>
              <w:rPr>
                <w:sz w:val="16"/>
                <w:szCs w:val="16"/>
              </w:rPr>
            </w:pPr>
          </w:p>
          <w:p w14:paraId="0C5C5163" w14:textId="77777777" w:rsidR="007371C6" w:rsidRPr="00F06E45" w:rsidRDefault="007371C6" w:rsidP="00F06E45">
            <w:pPr>
              <w:rPr>
                <w:sz w:val="16"/>
                <w:szCs w:val="16"/>
              </w:rPr>
            </w:pPr>
            <w:r w:rsidRPr="00F06E45">
              <w:rPr>
                <w:sz w:val="16"/>
                <w:szCs w:val="16"/>
              </w:rPr>
              <w:t>4.09%</w:t>
            </w:r>
          </w:p>
        </w:tc>
        <w:tc>
          <w:tcPr>
            <w:tcW w:w="851" w:type="dxa"/>
            <w:shd w:val="clear" w:color="auto" w:fill="auto"/>
          </w:tcPr>
          <w:p w14:paraId="4CAB0ABF" w14:textId="77777777" w:rsidR="007371C6" w:rsidRPr="00F06E45" w:rsidRDefault="007371C6" w:rsidP="00F06E45">
            <w:pPr>
              <w:rPr>
                <w:sz w:val="16"/>
                <w:szCs w:val="16"/>
              </w:rPr>
            </w:pPr>
            <w:r w:rsidRPr="00F06E45">
              <w:rPr>
                <w:rFonts w:cs="Aharoni"/>
                <w:noProof/>
                <w:color w:val="1F4E79" w:themeColor="accent1" w:themeShade="80"/>
                <w:sz w:val="20"/>
                <w:szCs w:val="20"/>
                <w:lang w:eastAsia="en-AU"/>
              </w:rPr>
              <w:drawing>
                <wp:anchor distT="0" distB="0" distL="114300" distR="114300" simplePos="0" relativeHeight="251763712" behindDoc="1" locked="0" layoutInCell="1" allowOverlap="1" wp14:anchorId="4B8025FF" wp14:editId="0E3E8779">
                  <wp:simplePos x="0" y="0"/>
                  <wp:positionH relativeFrom="column">
                    <wp:posOffset>1905</wp:posOffset>
                  </wp:positionH>
                  <wp:positionV relativeFrom="paragraph">
                    <wp:posOffset>127000</wp:posOffset>
                  </wp:positionV>
                  <wp:extent cx="203835" cy="145415"/>
                  <wp:effectExtent l="0" t="0" r="5715" b="6985"/>
                  <wp:wrapTight wrapText="bothSides">
                    <wp:wrapPolygon edited="0">
                      <wp:start x="0" y="0"/>
                      <wp:lineTo x="0" y="19808"/>
                      <wp:lineTo x="20187" y="19808"/>
                      <wp:lineTo x="2018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58C81BAD" w14:textId="77777777" w:rsidR="007371C6" w:rsidRPr="00F06E45" w:rsidRDefault="007371C6" w:rsidP="00F06E45">
            <w:pPr>
              <w:rPr>
                <w:sz w:val="16"/>
                <w:szCs w:val="16"/>
              </w:rPr>
            </w:pPr>
            <w:r w:rsidRPr="00F06E45">
              <w:rPr>
                <w:sz w:val="16"/>
                <w:szCs w:val="16"/>
              </w:rPr>
              <w:t>A total of 1171 risks have been identified across council. 1,113 have been closed. 58 risks remain open this quarter, equating to 5%.</w:t>
            </w:r>
          </w:p>
          <w:p w14:paraId="0FDA90F8" w14:textId="77777777" w:rsidR="007371C6" w:rsidRPr="00F06E45" w:rsidRDefault="007371C6" w:rsidP="00F06E45">
            <w:pPr>
              <w:rPr>
                <w:sz w:val="16"/>
                <w:szCs w:val="16"/>
              </w:rPr>
            </w:pPr>
          </w:p>
          <w:p w14:paraId="4EF83AC2" w14:textId="77777777" w:rsidR="007371C6" w:rsidRPr="00F06E45" w:rsidRDefault="007371C6" w:rsidP="00F06E45">
            <w:pPr>
              <w:rPr>
                <w:sz w:val="16"/>
                <w:szCs w:val="16"/>
              </w:rPr>
            </w:pPr>
          </w:p>
          <w:p w14:paraId="23F2F4F4" w14:textId="77777777" w:rsidR="007371C6" w:rsidRPr="00F06E45" w:rsidRDefault="007371C6" w:rsidP="00F06E45">
            <w:pPr>
              <w:rPr>
                <w:sz w:val="16"/>
                <w:szCs w:val="16"/>
              </w:rPr>
            </w:pPr>
          </w:p>
        </w:tc>
      </w:tr>
      <w:tr w:rsidR="007371C6" w:rsidRPr="00F06E45" w14:paraId="17CC0024" w14:textId="77777777" w:rsidTr="00063500">
        <w:trPr>
          <w:trHeight w:val="705"/>
        </w:trPr>
        <w:tc>
          <w:tcPr>
            <w:tcW w:w="1276" w:type="dxa"/>
            <w:shd w:val="clear" w:color="auto" w:fill="auto"/>
          </w:tcPr>
          <w:p w14:paraId="706D5323" w14:textId="77777777" w:rsidR="007371C6" w:rsidRPr="00730991" w:rsidRDefault="007371C6" w:rsidP="00F06E45">
            <w:pPr>
              <w:ind w:left="-108"/>
              <w:rPr>
                <w:rFonts w:ascii="Calibri" w:eastAsia="Calibri" w:hAnsi="Calibri" w:cs="Times New Roman"/>
                <w:sz w:val="18"/>
                <w:szCs w:val="18"/>
              </w:rPr>
            </w:pPr>
            <w:r w:rsidRPr="00730991">
              <w:rPr>
                <w:rFonts w:ascii="Calibri" w:eastAsia="Calibri" w:hAnsi="Calibri" w:cs="Times New Roman"/>
                <w:sz w:val="18"/>
                <w:szCs w:val="18"/>
              </w:rPr>
              <w:t>Regulatory Services</w:t>
            </w:r>
          </w:p>
        </w:tc>
        <w:tc>
          <w:tcPr>
            <w:tcW w:w="2410" w:type="dxa"/>
            <w:shd w:val="clear" w:color="auto" w:fill="auto"/>
          </w:tcPr>
          <w:p w14:paraId="2D1B51D6" w14:textId="77777777" w:rsidR="007371C6" w:rsidRPr="00730991" w:rsidRDefault="007371C6" w:rsidP="00F06E45">
            <w:pPr>
              <w:ind w:left="-108"/>
              <w:rPr>
                <w:rFonts w:ascii="Calibri" w:eastAsia="Calibri" w:hAnsi="Calibri" w:cs="Times New Roman"/>
                <w:sz w:val="18"/>
                <w:szCs w:val="18"/>
              </w:rPr>
            </w:pPr>
            <w:r w:rsidRPr="00730991">
              <w:rPr>
                <w:rFonts w:ascii="Calibri" w:eastAsia="Calibri" w:hAnsi="Calibri" w:cs="Times New Roman"/>
                <w:sz w:val="18"/>
                <w:szCs w:val="18"/>
              </w:rPr>
              <w:t>Regulated Parking: Debt Recovery: SPER</w:t>
            </w:r>
          </w:p>
        </w:tc>
        <w:tc>
          <w:tcPr>
            <w:tcW w:w="3685" w:type="dxa"/>
            <w:gridSpan w:val="2"/>
            <w:shd w:val="clear" w:color="auto" w:fill="auto"/>
          </w:tcPr>
          <w:p w14:paraId="0C1F5CC8" w14:textId="77777777" w:rsidR="007371C6" w:rsidRPr="00730991" w:rsidRDefault="007371C6" w:rsidP="00F06E45">
            <w:pPr>
              <w:ind w:left="-108"/>
              <w:rPr>
                <w:rFonts w:ascii="Calibri" w:eastAsia="Calibri" w:hAnsi="Calibri" w:cs="Times New Roman"/>
                <w:sz w:val="18"/>
                <w:szCs w:val="18"/>
              </w:rPr>
            </w:pPr>
            <w:r w:rsidRPr="00730991">
              <w:rPr>
                <w:rFonts w:ascii="Calibri" w:eastAsia="Calibri" w:hAnsi="Calibri" w:cs="Times New Roman"/>
                <w:sz w:val="18"/>
                <w:szCs w:val="18"/>
              </w:rPr>
              <w:t xml:space="preserve">Number of parking infringement notices forwarded to SPER for debt recovery (SPER – Penalties Enforcement Agency). </w:t>
            </w:r>
          </w:p>
        </w:tc>
        <w:tc>
          <w:tcPr>
            <w:tcW w:w="851" w:type="dxa"/>
            <w:shd w:val="clear" w:color="auto" w:fill="auto"/>
          </w:tcPr>
          <w:p w14:paraId="2A37168F" w14:textId="77777777" w:rsidR="007371C6" w:rsidRPr="00730991" w:rsidRDefault="007371C6" w:rsidP="00F06E45">
            <w:pPr>
              <w:rPr>
                <w:rFonts w:ascii="Calibri" w:eastAsia="Calibri" w:hAnsi="Calibri" w:cs="Times New Roman"/>
                <w:sz w:val="16"/>
                <w:szCs w:val="16"/>
              </w:rPr>
            </w:pPr>
            <w:r w:rsidRPr="00730991">
              <w:rPr>
                <w:rFonts w:ascii="Calibri" w:eastAsia="Calibri" w:hAnsi="Calibri" w:cs="Times New Roman"/>
                <w:sz w:val="16"/>
                <w:szCs w:val="16"/>
              </w:rPr>
              <w:t>Quarterly</w:t>
            </w:r>
          </w:p>
          <w:p w14:paraId="1E6944BE" w14:textId="77777777" w:rsidR="007371C6" w:rsidRPr="00730991" w:rsidRDefault="007371C6" w:rsidP="00F06E45">
            <w:pPr>
              <w:rPr>
                <w:rFonts w:ascii="Calibri" w:eastAsia="Calibri" w:hAnsi="Calibri" w:cs="Times New Roman"/>
                <w:sz w:val="16"/>
                <w:szCs w:val="16"/>
              </w:rPr>
            </w:pPr>
            <w:r w:rsidRPr="00730991">
              <w:rPr>
                <w:rFonts w:ascii="Calibri" w:eastAsia="Calibri" w:hAnsi="Calibri" w:cs="Times New Roman"/>
                <w:sz w:val="16"/>
                <w:szCs w:val="16"/>
              </w:rPr>
              <w:t>Trend</w:t>
            </w:r>
          </w:p>
        </w:tc>
        <w:tc>
          <w:tcPr>
            <w:tcW w:w="850" w:type="dxa"/>
            <w:shd w:val="clear" w:color="auto" w:fill="auto"/>
          </w:tcPr>
          <w:p w14:paraId="477EE9DD" w14:textId="77777777" w:rsidR="007371C6" w:rsidRPr="00730991" w:rsidRDefault="007371C6" w:rsidP="00F06E45">
            <w:pPr>
              <w:rPr>
                <w:rFonts w:ascii="Calibri" w:eastAsia="Calibri" w:hAnsi="Calibri" w:cs="Times New Roman"/>
                <w:sz w:val="16"/>
                <w:szCs w:val="16"/>
              </w:rPr>
            </w:pPr>
            <w:r w:rsidRPr="00730991">
              <w:rPr>
                <w:rFonts w:ascii="Calibri" w:eastAsia="Calibri" w:hAnsi="Calibri" w:cs="Times New Roman"/>
                <w:sz w:val="16"/>
                <w:szCs w:val="16"/>
              </w:rPr>
              <w:t>557</w:t>
            </w:r>
          </w:p>
        </w:tc>
        <w:tc>
          <w:tcPr>
            <w:tcW w:w="851" w:type="dxa"/>
            <w:shd w:val="clear" w:color="auto" w:fill="auto"/>
          </w:tcPr>
          <w:p w14:paraId="6ADEB001" w14:textId="77777777" w:rsidR="007371C6" w:rsidRPr="00730991" w:rsidRDefault="007371C6" w:rsidP="00F06E45">
            <w:pPr>
              <w:rPr>
                <w:rFonts w:ascii="Calibri" w:eastAsia="Calibri" w:hAnsi="Calibri" w:cs="Times New Roman"/>
                <w:sz w:val="16"/>
                <w:szCs w:val="16"/>
              </w:rPr>
            </w:pPr>
            <w:r w:rsidRPr="00730991">
              <w:rPr>
                <w:rFonts w:cs="Aharoni"/>
                <w:noProof/>
                <w:color w:val="1F4E79" w:themeColor="accent1" w:themeShade="80"/>
                <w:sz w:val="20"/>
                <w:szCs w:val="20"/>
                <w:lang w:eastAsia="en-AU"/>
              </w:rPr>
              <w:drawing>
                <wp:anchor distT="0" distB="0" distL="114300" distR="114300" simplePos="0" relativeHeight="251729920" behindDoc="1" locked="0" layoutInCell="1" allowOverlap="1" wp14:anchorId="0FDFECA6" wp14:editId="1C865EEB">
                  <wp:simplePos x="0" y="0"/>
                  <wp:positionH relativeFrom="column">
                    <wp:posOffset>-12281</wp:posOffset>
                  </wp:positionH>
                  <wp:positionV relativeFrom="paragraph">
                    <wp:posOffset>36</wp:posOffset>
                  </wp:positionV>
                  <wp:extent cx="221941" cy="221941"/>
                  <wp:effectExtent l="0" t="0" r="6985" b="6985"/>
                  <wp:wrapTight wrapText="bothSides">
                    <wp:wrapPolygon edited="0">
                      <wp:start x="0" y="0"/>
                      <wp:lineTo x="0" y="20424"/>
                      <wp:lineTo x="20424" y="20424"/>
                      <wp:lineTo x="2042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5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41" cy="221941"/>
                          </a:xfrm>
                          <a:prstGeom prst="rect">
                            <a:avLst/>
                          </a:prstGeom>
                        </pic:spPr>
                      </pic:pic>
                    </a:graphicData>
                  </a:graphic>
                </wp:anchor>
              </w:drawing>
            </w:r>
          </w:p>
        </w:tc>
        <w:tc>
          <w:tcPr>
            <w:tcW w:w="5670" w:type="dxa"/>
            <w:gridSpan w:val="2"/>
            <w:shd w:val="clear" w:color="auto" w:fill="auto"/>
          </w:tcPr>
          <w:p w14:paraId="7C1305B4" w14:textId="77777777" w:rsidR="007371C6" w:rsidRPr="00730991" w:rsidRDefault="007371C6" w:rsidP="00F06E45">
            <w:pPr>
              <w:rPr>
                <w:rFonts w:ascii="Calibri" w:eastAsia="Calibri" w:hAnsi="Calibri" w:cs="Times New Roman"/>
                <w:sz w:val="16"/>
                <w:szCs w:val="16"/>
              </w:rPr>
            </w:pPr>
            <w:r w:rsidRPr="00730991">
              <w:rPr>
                <w:rFonts w:ascii="Calibri" w:eastAsia="Calibri" w:hAnsi="Calibri" w:cs="Times New Roman"/>
                <w:sz w:val="16"/>
                <w:szCs w:val="16"/>
              </w:rPr>
              <w:t>557 infringements were referred to the State Penalties Enforcement Registry (SPER) during the quarter</w:t>
            </w:r>
            <w:r w:rsidRPr="00730991">
              <w:rPr>
                <w:rFonts w:ascii="Calibri" w:eastAsia="Calibri" w:hAnsi="Calibri" w:cs="Times New Roman"/>
                <w:color w:val="FF0000"/>
                <w:sz w:val="16"/>
                <w:szCs w:val="16"/>
              </w:rPr>
              <w:t xml:space="preserve">. </w:t>
            </w:r>
          </w:p>
          <w:p w14:paraId="00CEC79A" w14:textId="77777777" w:rsidR="007371C6" w:rsidRPr="00730991" w:rsidRDefault="007371C6" w:rsidP="00F06E45">
            <w:pPr>
              <w:rPr>
                <w:rFonts w:ascii="Calibri" w:eastAsia="Calibri" w:hAnsi="Calibri" w:cs="Times New Roman"/>
                <w:sz w:val="16"/>
                <w:szCs w:val="16"/>
              </w:rPr>
            </w:pPr>
          </w:p>
        </w:tc>
      </w:tr>
      <w:tr w:rsidR="007371C6" w:rsidRPr="00F06E45" w14:paraId="2832F6F1" w14:textId="77777777" w:rsidTr="00063500">
        <w:trPr>
          <w:trHeight w:val="199"/>
        </w:trPr>
        <w:tc>
          <w:tcPr>
            <w:tcW w:w="1276" w:type="dxa"/>
            <w:tcBorders>
              <w:bottom w:val="single" w:sz="18" w:space="0" w:color="1F4E79" w:themeColor="accent1" w:themeShade="80"/>
            </w:tcBorders>
            <w:shd w:val="clear" w:color="auto" w:fill="auto"/>
          </w:tcPr>
          <w:p w14:paraId="082E2A77" w14:textId="77777777" w:rsidR="007371C6" w:rsidRPr="00F06E45" w:rsidRDefault="007371C6" w:rsidP="00F06E45">
            <w:pPr>
              <w:rPr>
                <w:rFonts w:ascii="Calibri" w:eastAsia="Calibri" w:hAnsi="Calibri" w:cs="Times New Roman"/>
                <w:sz w:val="18"/>
                <w:szCs w:val="18"/>
              </w:rPr>
            </w:pPr>
            <w:r w:rsidRPr="00F06E45">
              <w:rPr>
                <w:rFonts w:ascii="Calibri" w:eastAsia="Calibri" w:hAnsi="Calibri" w:cs="Times New Roman"/>
                <w:sz w:val="18"/>
                <w:szCs w:val="18"/>
              </w:rPr>
              <w:t xml:space="preserve"> </w:t>
            </w:r>
          </w:p>
        </w:tc>
        <w:tc>
          <w:tcPr>
            <w:tcW w:w="2410" w:type="dxa"/>
            <w:tcBorders>
              <w:bottom w:val="single" w:sz="18" w:space="0" w:color="1F4E79" w:themeColor="accent1" w:themeShade="80"/>
            </w:tcBorders>
            <w:shd w:val="clear" w:color="auto" w:fill="auto"/>
          </w:tcPr>
          <w:p w14:paraId="6E1FDDD9" w14:textId="77777777" w:rsidR="007371C6" w:rsidRPr="00F06E45" w:rsidRDefault="007371C6" w:rsidP="00F06E45">
            <w:pPr>
              <w:rPr>
                <w:rFonts w:ascii="Calibri" w:eastAsia="Calibri" w:hAnsi="Calibri" w:cs="Times New Roman"/>
                <w:sz w:val="18"/>
                <w:szCs w:val="18"/>
              </w:rPr>
            </w:pPr>
          </w:p>
        </w:tc>
        <w:tc>
          <w:tcPr>
            <w:tcW w:w="3685" w:type="dxa"/>
            <w:gridSpan w:val="2"/>
            <w:tcBorders>
              <w:bottom w:val="single" w:sz="18" w:space="0" w:color="1F4E79" w:themeColor="accent1" w:themeShade="80"/>
            </w:tcBorders>
            <w:shd w:val="clear" w:color="auto" w:fill="auto"/>
          </w:tcPr>
          <w:p w14:paraId="578EC262" w14:textId="77777777" w:rsidR="007371C6" w:rsidRPr="00F06E45" w:rsidRDefault="007371C6" w:rsidP="00F06E45">
            <w:pPr>
              <w:rPr>
                <w:rFonts w:ascii="Calibri" w:eastAsia="Calibri" w:hAnsi="Calibri" w:cs="Times New Roman"/>
                <w:b/>
                <w:sz w:val="18"/>
                <w:szCs w:val="18"/>
              </w:rPr>
            </w:pPr>
          </w:p>
        </w:tc>
        <w:tc>
          <w:tcPr>
            <w:tcW w:w="851" w:type="dxa"/>
            <w:tcBorders>
              <w:bottom w:val="single" w:sz="18" w:space="0" w:color="1F4E79" w:themeColor="accent1" w:themeShade="80"/>
            </w:tcBorders>
            <w:shd w:val="clear" w:color="auto" w:fill="auto"/>
          </w:tcPr>
          <w:p w14:paraId="1AC40517" w14:textId="77777777" w:rsidR="007371C6" w:rsidRPr="00F06E45" w:rsidRDefault="007371C6" w:rsidP="00F06E45">
            <w:pPr>
              <w:rPr>
                <w:rFonts w:ascii="Calibri" w:eastAsia="Calibri" w:hAnsi="Calibri" w:cs="Times New Roman"/>
                <w:sz w:val="16"/>
                <w:szCs w:val="16"/>
              </w:rPr>
            </w:pPr>
          </w:p>
        </w:tc>
        <w:tc>
          <w:tcPr>
            <w:tcW w:w="850" w:type="dxa"/>
            <w:tcBorders>
              <w:bottom w:val="single" w:sz="18" w:space="0" w:color="1F4E79" w:themeColor="accent1" w:themeShade="80"/>
            </w:tcBorders>
            <w:shd w:val="clear" w:color="auto" w:fill="auto"/>
          </w:tcPr>
          <w:p w14:paraId="6D0414E0" w14:textId="77777777" w:rsidR="007371C6" w:rsidRPr="00F06E45" w:rsidRDefault="007371C6" w:rsidP="00F06E45">
            <w:pPr>
              <w:rPr>
                <w:rFonts w:ascii="Calibri" w:eastAsia="Calibri" w:hAnsi="Calibri" w:cs="Times New Roman"/>
                <w:sz w:val="16"/>
                <w:szCs w:val="16"/>
              </w:rPr>
            </w:pPr>
          </w:p>
        </w:tc>
        <w:tc>
          <w:tcPr>
            <w:tcW w:w="851" w:type="dxa"/>
            <w:tcBorders>
              <w:bottom w:val="single" w:sz="18" w:space="0" w:color="1F4E79" w:themeColor="accent1" w:themeShade="80"/>
            </w:tcBorders>
          </w:tcPr>
          <w:p w14:paraId="50A1C731" w14:textId="77777777" w:rsidR="007371C6" w:rsidRPr="00F06E45" w:rsidRDefault="007371C6" w:rsidP="00F06E45">
            <w:pPr>
              <w:rPr>
                <w:rFonts w:ascii="Calibri" w:eastAsia="Calibri" w:hAnsi="Calibri" w:cs="Times New Roman"/>
                <w:sz w:val="16"/>
                <w:szCs w:val="16"/>
              </w:rPr>
            </w:pPr>
          </w:p>
        </w:tc>
        <w:tc>
          <w:tcPr>
            <w:tcW w:w="5670" w:type="dxa"/>
            <w:gridSpan w:val="2"/>
            <w:tcBorders>
              <w:bottom w:val="single" w:sz="18" w:space="0" w:color="1F4E79" w:themeColor="accent1" w:themeShade="80"/>
            </w:tcBorders>
            <w:shd w:val="clear" w:color="auto" w:fill="auto"/>
          </w:tcPr>
          <w:p w14:paraId="69637957" w14:textId="77777777" w:rsidR="007371C6" w:rsidRPr="00F06E45" w:rsidRDefault="007371C6" w:rsidP="00F06E45">
            <w:pPr>
              <w:rPr>
                <w:rFonts w:ascii="Calibri" w:eastAsia="Calibri" w:hAnsi="Calibri" w:cs="Times New Roman"/>
                <w:sz w:val="16"/>
                <w:szCs w:val="16"/>
              </w:rPr>
            </w:pPr>
          </w:p>
        </w:tc>
      </w:tr>
      <w:tr w:rsidR="007371C6" w:rsidRPr="00F06E45" w14:paraId="788D01E1" w14:textId="77777777" w:rsidTr="00063500">
        <w:trPr>
          <w:trHeight w:val="214"/>
        </w:trPr>
        <w:tc>
          <w:tcPr>
            <w:tcW w:w="15593" w:type="dxa"/>
            <w:gridSpan w:val="9"/>
            <w:tcBorders>
              <w:top w:val="single" w:sz="18" w:space="0" w:color="1F4E79" w:themeColor="accent1" w:themeShade="80"/>
              <w:bottom w:val="single" w:sz="18" w:space="0" w:color="1F4E79" w:themeColor="accent1" w:themeShade="80"/>
            </w:tcBorders>
            <w:shd w:val="clear" w:color="auto" w:fill="4489C8"/>
          </w:tcPr>
          <w:p w14:paraId="46384A73"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rPr>
              <w:t>Outcome 4.7 A valued workforce  committed to the region delivering quality services</w:t>
            </w:r>
          </w:p>
        </w:tc>
      </w:tr>
      <w:tr w:rsidR="007371C6" w:rsidRPr="00F06E45" w14:paraId="67E34906" w14:textId="77777777" w:rsidTr="00063500">
        <w:trPr>
          <w:trHeight w:val="184"/>
        </w:trPr>
        <w:tc>
          <w:tcPr>
            <w:tcW w:w="15593" w:type="dxa"/>
            <w:gridSpan w:val="9"/>
            <w:tcBorders>
              <w:top w:val="single" w:sz="18" w:space="0" w:color="1F4E79" w:themeColor="accent1" w:themeShade="80"/>
              <w:bottom w:val="single" w:sz="18" w:space="0" w:color="1F4E79" w:themeColor="accent1" w:themeShade="80"/>
            </w:tcBorders>
          </w:tcPr>
          <w:p w14:paraId="548E085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4.7.2 Facilitate the development and maintenance of a workforce that embraces innovation and improved service delivery</w:t>
            </w:r>
          </w:p>
        </w:tc>
      </w:tr>
      <w:tr w:rsidR="007371C6" w:rsidRPr="00F06E45" w14:paraId="04B43037" w14:textId="77777777" w:rsidTr="00063500">
        <w:trPr>
          <w:trHeight w:val="199"/>
        </w:trPr>
        <w:tc>
          <w:tcPr>
            <w:tcW w:w="1276" w:type="dxa"/>
            <w:tcBorders>
              <w:top w:val="single" w:sz="18" w:space="0" w:color="1F4E79" w:themeColor="accent1" w:themeShade="80"/>
            </w:tcBorders>
            <w:shd w:val="clear" w:color="auto" w:fill="auto"/>
          </w:tcPr>
          <w:p w14:paraId="15754D57"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2410" w:type="dxa"/>
            <w:tcBorders>
              <w:top w:val="single" w:sz="18" w:space="0" w:color="1F4E79" w:themeColor="accent1" w:themeShade="80"/>
            </w:tcBorders>
            <w:shd w:val="clear" w:color="auto" w:fill="auto"/>
          </w:tcPr>
          <w:p w14:paraId="5024B422"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3685" w:type="dxa"/>
            <w:gridSpan w:val="2"/>
            <w:tcBorders>
              <w:top w:val="single" w:sz="18" w:space="0" w:color="1F4E79" w:themeColor="accent1" w:themeShade="80"/>
            </w:tcBorders>
            <w:shd w:val="clear" w:color="auto" w:fill="auto"/>
          </w:tcPr>
          <w:p w14:paraId="2B1F58AA"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1F4E79" w:themeColor="accent1" w:themeShade="80"/>
            </w:tcBorders>
            <w:shd w:val="clear" w:color="auto" w:fill="auto"/>
          </w:tcPr>
          <w:p w14:paraId="6C994334"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tcBorders>
              <w:top w:val="single" w:sz="18" w:space="0" w:color="1F4E79" w:themeColor="accent1" w:themeShade="80"/>
            </w:tcBorders>
            <w:shd w:val="clear" w:color="auto" w:fill="auto"/>
          </w:tcPr>
          <w:p w14:paraId="4EB40CB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tcBorders>
              <w:top w:val="single" w:sz="18" w:space="0" w:color="1F4E79" w:themeColor="accent1" w:themeShade="80"/>
            </w:tcBorders>
            <w:shd w:val="clear" w:color="auto" w:fill="auto"/>
          </w:tcPr>
          <w:p w14:paraId="6C598965"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1F4E79" w:themeColor="accent1" w:themeShade="80"/>
            </w:tcBorders>
            <w:shd w:val="clear" w:color="auto" w:fill="auto"/>
          </w:tcPr>
          <w:p w14:paraId="41F8E69F"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73BFF662" w14:textId="77777777" w:rsidTr="00063500">
        <w:trPr>
          <w:trHeight w:val="801"/>
        </w:trPr>
        <w:tc>
          <w:tcPr>
            <w:tcW w:w="1276" w:type="dxa"/>
            <w:shd w:val="clear" w:color="auto" w:fill="auto"/>
          </w:tcPr>
          <w:p w14:paraId="0FAA684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p w14:paraId="176F2B69"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1EE116C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Human Resources: Training and Development: Staff satisfaction</w:t>
            </w:r>
          </w:p>
        </w:tc>
        <w:tc>
          <w:tcPr>
            <w:tcW w:w="3685" w:type="dxa"/>
            <w:gridSpan w:val="2"/>
            <w:shd w:val="clear" w:color="auto" w:fill="auto"/>
          </w:tcPr>
          <w:p w14:paraId="3C340D56"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Percentage of staff satisfaction with training.  </w:t>
            </w:r>
          </w:p>
        </w:tc>
        <w:tc>
          <w:tcPr>
            <w:tcW w:w="851" w:type="dxa"/>
            <w:shd w:val="clear" w:color="auto" w:fill="auto"/>
          </w:tcPr>
          <w:p w14:paraId="33F080C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Quarterly</w:t>
            </w:r>
          </w:p>
          <w:p w14:paraId="2C89E2CF"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80%</w:t>
            </w:r>
          </w:p>
        </w:tc>
        <w:tc>
          <w:tcPr>
            <w:tcW w:w="850" w:type="dxa"/>
            <w:shd w:val="clear" w:color="auto" w:fill="auto"/>
          </w:tcPr>
          <w:p w14:paraId="40CEEABA" w14:textId="77777777" w:rsidR="007371C6" w:rsidRPr="00F06E45" w:rsidRDefault="007371C6" w:rsidP="00F06E45">
            <w:pPr>
              <w:rPr>
                <w:rFonts w:ascii="Calibri" w:eastAsia="Calibri" w:hAnsi="Calibri" w:cs="Times New Roman"/>
                <w:sz w:val="16"/>
                <w:szCs w:val="16"/>
              </w:rPr>
            </w:pPr>
          </w:p>
          <w:p w14:paraId="5D0FBF0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90%</w:t>
            </w:r>
          </w:p>
        </w:tc>
        <w:tc>
          <w:tcPr>
            <w:tcW w:w="851" w:type="dxa"/>
            <w:shd w:val="clear" w:color="auto" w:fill="auto"/>
          </w:tcPr>
          <w:p w14:paraId="401F769C"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72928" behindDoc="1" locked="0" layoutInCell="1" allowOverlap="1" wp14:anchorId="69F42334" wp14:editId="55F766D1">
                  <wp:simplePos x="0" y="0"/>
                  <wp:positionH relativeFrom="column">
                    <wp:posOffset>1905</wp:posOffset>
                  </wp:positionH>
                  <wp:positionV relativeFrom="paragraph">
                    <wp:posOffset>125730</wp:posOffset>
                  </wp:positionV>
                  <wp:extent cx="203835" cy="145415"/>
                  <wp:effectExtent l="0" t="0" r="5715" b="6985"/>
                  <wp:wrapTight wrapText="bothSides">
                    <wp:wrapPolygon edited="0">
                      <wp:start x="0" y="0"/>
                      <wp:lineTo x="0" y="19808"/>
                      <wp:lineTo x="20187" y="19808"/>
                      <wp:lineTo x="20187"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1216121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16 employees attended </w:t>
            </w:r>
            <w:r w:rsidRPr="00F06E45">
              <w:rPr>
                <w:rFonts w:ascii="Calibri" w:eastAsia="Calibri" w:hAnsi="Calibri" w:cs="Times New Roman"/>
                <w:i/>
                <w:sz w:val="16"/>
                <w:szCs w:val="16"/>
              </w:rPr>
              <w:t>Employment At Council</w:t>
            </w:r>
            <w:r w:rsidRPr="00F06E45">
              <w:rPr>
                <w:rFonts w:ascii="Calibri" w:eastAsia="Calibri" w:hAnsi="Calibri" w:cs="Times New Roman"/>
                <w:sz w:val="16"/>
                <w:szCs w:val="16"/>
              </w:rPr>
              <w:t xml:space="preserve">, </w:t>
            </w:r>
            <w:r w:rsidRPr="00F06E45">
              <w:rPr>
                <w:rFonts w:ascii="Calibri" w:eastAsia="Calibri" w:hAnsi="Calibri" w:cs="Times New Roman"/>
                <w:i/>
                <w:sz w:val="16"/>
                <w:szCs w:val="16"/>
              </w:rPr>
              <w:t>Recruitment &amp; Selection</w:t>
            </w:r>
            <w:r w:rsidRPr="00F06E45">
              <w:rPr>
                <w:rFonts w:ascii="Calibri" w:eastAsia="Calibri" w:hAnsi="Calibri" w:cs="Times New Roman"/>
                <w:sz w:val="16"/>
                <w:szCs w:val="16"/>
              </w:rPr>
              <w:t xml:space="preserve"> and </w:t>
            </w:r>
            <w:r w:rsidRPr="00F06E45">
              <w:rPr>
                <w:rFonts w:ascii="Calibri" w:eastAsia="Calibri" w:hAnsi="Calibri" w:cs="Times New Roman"/>
                <w:i/>
                <w:sz w:val="16"/>
                <w:szCs w:val="16"/>
              </w:rPr>
              <w:t>Performance Appraisal</w:t>
            </w:r>
            <w:r w:rsidRPr="00F06E45">
              <w:rPr>
                <w:rFonts w:ascii="Calibri" w:eastAsia="Calibri" w:hAnsi="Calibri" w:cs="Times New Roman"/>
                <w:sz w:val="16"/>
                <w:szCs w:val="16"/>
              </w:rPr>
              <w:t xml:space="preserve"> training during the quarter. Induction was not held during the quarter due to the very low number of new employees.</w:t>
            </w:r>
          </w:p>
        </w:tc>
      </w:tr>
      <w:tr w:rsidR="007371C6" w:rsidRPr="00F06E45" w14:paraId="5C840643" w14:textId="77777777" w:rsidTr="00063500">
        <w:trPr>
          <w:trHeight w:val="1073"/>
        </w:trPr>
        <w:tc>
          <w:tcPr>
            <w:tcW w:w="1276" w:type="dxa"/>
            <w:shd w:val="clear" w:color="auto" w:fill="auto"/>
          </w:tcPr>
          <w:p w14:paraId="265BF02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p w14:paraId="30181CCC"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28158CC9"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Workplace Health and Safety: Hazard Inspections: Timeliness of hazard inspections</w:t>
            </w:r>
          </w:p>
        </w:tc>
        <w:tc>
          <w:tcPr>
            <w:tcW w:w="3685" w:type="dxa"/>
            <w:gridSpan w:val="2"/>
            <w:shd w:val="clear" w:color="auto" w:fill="auto"/>
          </w:tcPr>
          <w:p w14:paraId="5DC6CA3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inspections carried out on time.</w:t>
            </w:r>
          </w:p>
        </w:tc>
        <w:tc>
          <w:tcPr>
            <w:tcW w:w="851" w:type="dxa"/>
            <w:shd w:val="clear" w:color="auto" w:fill="auto"/>
          </w:tcPr>
          <w:p w14:paraId="2E489FF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Quarterly </w:t>
            </w:r>
          </w:p>
          <w:p w14:paraId="332D5D23"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850" w:type="dxa"/>
            <w:shd w:val="clear" w:color="auto" w:fill="auto"/>
          </w:tcPr>
          <w:p w14:paraId="6E5AC71A" w14:textId="77777777" w:rsidR="007371C6" w:rsidRPr="00F06E45" w:rsidRDefault="007371C6" w:rsidP="00F06E45">
            <w:pPr>
              <w:rPr>
                <w:rFonts w:ascii="Calibri" w:eastAsia="Calibri" w:hAnsi="Calibri" w:cs="Times New Roman"/>
                <w:sz w:val="16"/>
                <w:szCs w:val="16"/>
              </w:rPr>
            </w:pPr>
          </w:p>
          <w:p w14:paraId="2B9523E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100%</w:t>
            </w:r>
          </w:p>
        </w:tc>
        <w:tc>
          <w:tcPr>
            <w:tcW w:w="851" w:type="dxa"/>
            <w:shd w:val="clear" w:color="auto" w:fill="auto"/>
          </w:tcPr>
          <w:p w14:paraId="138F780A"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79072" behindDoc="1" locked="0" layoutInCell="1" allowOverlap="1" wp14:anchorId="0F305378" wp14:editId="4BFED984">
                  <wp:simplePos x="0" y="0"/>
                  <wp:positionH relativeFrom="column">
                    <wp:posOffset>1905</wp:posOffset>
                  </wp:positionH>
                  <wp:positionV relativeFrom="paragraph">
                    <wp:posOffset>127635</wp:posOffset>
                  </wp:positionV>
                  <wp:extent cx="203835" cy="145415"/>
                  <wp:effectExtent l="0" t="0" r="5715" b="6985"/>
                  <wp:wrapTight wrapText="bothSides">
                    <wp:wrapPolygon edited="0">
                      <wp:start x="0" y="0"/>
                      <wp:lineTo x="0" y="19808"/>
                      <wp:lineTo x="20187" y="19808"/>
                      <wp:lineTo x="20187"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 cy="1454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01FCDBAC" w14:textId="77777777" w:rsidR="007371C6" w:rsidRPr="00F06E45" w:rsidRDefault="007371C6" w:rsidP="00F06E45">
            <w:pPr>
              <w:pStyle w:val="NormalWeb"/>
              <w:rPr>
                <w:rFonts w:ascii="Calibri" w:eastAsia="Calibri" w:hAnsi="Calibri"/>
                <w:sz w:val="16"/>
                <w:szCs w:val="16"/>
              </w:rPr>
            </w:pPr>
            <w:r w:rsidRPr="00F06E45">
              <w:rPr>
                <w:rFonts w:asciiTheme="minorHAnsi" w:hAnsiTheme="minorHAnsi" w:cs="Tahoma"/>
                <w:sz w:val="16"/>
                <w:szCs w:val="16"/>
              </w:rPr>
              <w:t>All inspections due by 30/09/15 have been completed. We continue to work closely with all staff who have inspection responsibilities to ensure WHS standards are met and maintained.</w:t>
            </w:r>
          </w:p>
        </w:tc>
      </w:tr>
      <w:tr w:rsidR="007371C6" w:rsidRPr="00F06E45" w14:paraId="1F9CED34" w14:textId="77777777" w:rsidTr="00063500">
        <w:trPr>
          <w:trHeight w:val="199"/>
        </w:trPr>
        <w:tc>
          <w:tcPr>
            <w:tcW w:w="1276" w:type="dxa"/>
            <w:tcBorders>
              <w:bottom w:val="single" w:sz="18" w:space="0" w:color="1F4E79" w:themeColor="accent1" w:themeShade="80"/>
            </w:tcBorders>
            <w:shd w:val="clear" w:color="auto" w:fill="auto"/>
          </w:tcPr>
          <w:p w14:paraId="4FF11BB2" w14:textId="77777777" w:rsidR="007371C6" w:rsidRPr="00F06E45" w:rsidRDefault="007371C6" w:rsidP="00F06E45">
            <w:pPr>
              <w:rPr>
                <w:rFonts w:ascii="Calibri" w:eastAsia="Calibri" w:hAnsi="Calibri" w:cs="Times New Roman"/>
                <w:sz w:val="18"/>
                <w:szCs w:val="18"/>
              </w:rPr>
            </w:pPr>
          </w:p>
        </w:tc>
        <w:tc>
          <w:tcPr>
            <w:tcW w:w="3343" w:type="dxa"/>
            <w:gridSpan w:val="2"/>
            <w:tcBorders>
              <w:bottom w:val="single" w:sz="18" w:space="0" w:color="1F4E79" w:themeColor="accent1" w:themeShade="80"/>
            </w:tcBorders>
            <w:shd w:val="clear" w:color="auto" w:fill="auto"/>
          </w:tcPr>
          <w:p w14:paraId="6FC066F5" w14:textId="77777777" w:rsidR="007371C6" w:rsidRPr="00F06E45" w:rsidRDefault="007371C6" w:rsidP="00F06E45">
            <w:pPr>
              <w:rPr>
                <w:rFonts w:ascii="Calibri" w:eastAsia="Calibri" w:hAnsi="Calibri" w:cs="Times New Roman"/>
                <w:sz w:val="18"/>
                <w:szCs w:val="18"/>
              </w:rPr>
            </w:pPr>
          </w:p>
        </w:tc>
        <w:tc>
          <w:tcPr>
            <w:tcW w:w="2752" w:type="dxa"/>
            <w:tcBorders>
              <w:bottom w:val="single" w:sz="18" w:space="0" w:color="1F4E79" w:themeColor="accent1" w:themeShade="80"/>
            </w:tcBorders>
            <w:shd w:val="clear" w:color="auto" w:fill="auto"/>
          </w:tcPr>
          <w:p w14:paraId="433AC967" w14:textId="77777777" w:rsidR="007371C6" w:rsidRPr="00F06E45" w:rsidRDefault="007371C6" w:rsidP="00F06E45">
            <w:pPr>
              <w:rPr>
                <w:rFonts w:ascii="Calibri" w:eastAsia="Calibri" w:hAnsi="Calibri" w:cs="Times New Roman"/>
                <w:sz w:val="18"/>
                <w:szCs w:val="18"/>
              </w:rPr>
            </w:pPr>
          </w:p>
        </w:tc>
        <w:tc>
          <w:tcPr>
            <w:tcW w:w="851" w:type="dxa"/>
            <w:tcBorders>
              <w:bottom w:val="single" w:sz="18" w:space="0" w:color="1F4E79" w:themeColor="accent1" w:themeShade="80"/>
            </w:tcBorders>
            <w:shd w:val="clear" w:color="auto" w:fill="auto"/>
          </w:tcPr>
          <w:p w14:paraId="414D4CC2" w14:textId="77777777" w:rsidR="007371C6" w:rsidRPr="00F06E45" w:rsidRDefault="007371C6" w:rsidP="00F06E45">
            <w:pPr>
              <w:rPr>
                <w:rFonts w:ascii="Calibri" w:eastAsia="Calibri" w:hAnsi="Calibri" w:cs="Times New Roman"/>
                <w:sz w:val="16"/>
                <w:szCs w:val="16"/>
              </w:rPr>
            </w:pPr>
          </w:p>
        </w:tc>
        <w:tc>
          <w:tcPr>
            <w:tcW w:w="850" w:type="dxa"/>
            <w:tcBorders>
              <w:bottom w:val="single" w:sz="18" w:space="0" w:color="1F4E79" w:themeColor="accent1" w:themeShade="80"/>
            </w:tcBorders>
            <w:shd w:val="clear" w:color="auto" w:fill="auto"/>
          </w:tcPr>
          <w:p w14:paraId="4D868E3C" w14:textId="77777777" w:rsidR="007371C6" w:rsidRPr="00F06E45" w:rsidRDefault="007371C6" w:rsidP="00F06E45">
            <w:pPr>
              <w:rPr>
                <w:rFonts w:ascii="Calibri" w:eastAsia="Calibri" w:hAnsi="Calibri" w:cs="Times New Roman"/>
                <w:sz w:val="16"/>
                <w:szCs w:val="16"/>
              </w:rPr>
            </w:pPr>
          </w:p>
        </w:tc>
        <w:tc>
          <w:tcPr>
            <w:tcW w:w="3138" w:type="dxa"/>
            <w:gridSpan w:val="2"/>
            <w:tcBorders>
              <w:bottom w:val="single" w:sz="18" w:space="0" w:color="1F4E79" w:themeColor="accent1" w:themeShade="80"/>
            </w:tcBorders>
          </w:tcPr>
          <w:p w14:paraId="3E0B72E2" w14:textId="77777777" w:rsidR="007371C6" w:rsidRPr="00F06E45" w:rsidRDefault="007371C6" w:rsidP="00F06E45">
            <w:pPr>
              <w:rPr>
                <w:rFonts w:ascii="Calibri" w:eastAsia="Calibri" w:hAnsi="Calibri" w:cs="Times New Roman"/>
                <w:sz w:val="16"/>
                <w:szCs w:val="16"/>
              </w:rPr>
            </w:pPr>
          </w:p>
        </w:tc>
        <w:tc>
          <w:tcPr>
            <w:tcW w:w="3383" w:type="dxa"/>
            <w:tcBorders>
              <w:bottom w:val="single" w:sz="18" w:space="0" w:color="1F4E79" w:themeColor="accent1" w:themeShade="80"/>
            </w:tcBorders>
            <w:shd w:val="clear" w:color="auto" w:fill="auto"/>
          </w:tcPr>
          <w:p w14:paraId="58430ED5" w14:textId="77777777" w:rsidR="007371C6" w:rsidRPr="00F06E45" w:rsidRDefault="007371C6" w:rsidP="00F06E45">
            <w:pPr>
              <w:rPr>
                <w:rFonts w:ascii="Calibri" w:eastAsia="Calibri" w:hAnsi="Calibri" w:cs="Times New Roman"/>
                <w:sz w:val="16"/>
                <w:szCs w:val="16"/>
              </w:rPr>
            </w:pPr>
          </w:p>
        </w:tc>
      </w:tr>
    </w:tbl>
    <w:p w14:paraId="6244A5FA" w14:textId="77777777" w:rsidR="007371C6" w:rsidRPr="00F06E45" w:rsidRDefault="007371C6" w:rsidP="00F06E45">
      <w:pPr>
        <w:spacing w:after="200" w:line="276" w:lineRule="auto"/>
        <w:rPr>
          <w:rFonts w:ascii="Calibri" w:eastAsia="Calibri" w:hAnsi="Calibri" w:cs="Times New Roman"/>
          <w:sz w:val="44"/>
          <w:szCs w:val="44"/>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rPr>
        <w:t>responsive, cohesive, sustainable, ethical and accountable</w:t>
      </w:r>
    </w:p>
    <w:p w14:paraId="7EA04999" w14:textId="77777777" w:rsidR="007371C6" w:rsidRPr="00F06E45" w:rsidRDefault="007371C6" w:rsidP="00F06E45">
      <w:pPr>
        <w:spacing w:after="200" w:line="276" w:lineRule="auto"/>
        <w:rPr>
          <w:rFonts w:ascii="Times New Roman" w:eastAsia="Calibri" w:hAnsi="Times New Roman" w:cs="Times New Roman"/>
          <w:b/>
          <w:i/>
          <w:color w:val="215868"/>
          <w:sz w:val="32"/>
          <w:szCs w:val="32"/>
        </w:rPr>
      </w:pPr>
    </w:p>
    <w:p w14:paraId="6634745B" w14:textId="77777777" w:rsidR="007371C6" w:rsidRPr="00F06E45" w:rsidRDefault="007371C6" w:rsidP="00F06E45">
      <w:pPr>
        <w:spacing w:after="0" w:line="240" w:lineRule="auto"/>
        <w:rPr>
          <w:rFonts w:ascii="Times New Roman" w:eastAsia="Calibri" w:hAnsi="Times New Roman" w:cs="Times New Roman"/>
          <w:b/>
          <w:i/>
          <w:color w:val="215868"/>
          <w:sz w:val="32"/>
          <w:szCs w:val="32"/>
        </w:rPr>
        <w:sectPr w:rsidR="007371C6" w:rsidRPr="00F06E45" w:rsidSect="000F71F5">
          <w:pgSz w:w="16838" w:h="11906" w:orient="landscape"/>
          <w:pgMar w:top="0" w:right="678" w:bottom="709" w:left="567" w:header="708" w:footer="173" w:gutter="0"/>
          <w:cols w:space="708"/>
          <w:titlePg/>
          <w:docGrid w:linePitch="360"/>
        </w:sectPr>
      </w:pPr>
      <w:r w:rsidRPr="00F06E45">
        <w:rPr>
          <w:rFonts w:ascii="Times New Roman" w:eastAsia="Calibri" w:hAnsi="Times New Roman" w:cs="Times New Roman"/>
          <w:b/>
          <w:i/>
          <w:color w:val="215868"/>
          <w:sz w:val="32"/>
          <w:szCs w:val="32"/>
        </w:rPr>
        <w:t xml:space="preserve"> </w:t>
      </w:r>
    </w:p>
    <w:p w14:paraId="0560B7FB" w14:textId="77777777" w:rsidR="007371C6" w:rsidRPr="00F06E45" w:rsidRDefault="007371C6" w:rsidP="00F06E45">
      <w:pPr>
        <w:spacing w:after="200" w:line="276" w:lineRule="auto"/>
        <w:rPr>
          <w:rFonts w:ascii="Calibri" w:eastAsia="Calibri" w:hAnsi="Calibri" w:cs="Times New Roman"/>
        </w:rPr>
      </w:pPr>
    </w:p>
    <w:p w14:paraId="6A7EC164" w14:textId="77777777" w:rsidR="007371C6" w:rsidRPr="00F06E45" w:rsidRDefault="007371C6" w:rsidP="00F06E45">
      <w:pPr>
        <w:spacing w:after="200" w:line="276" w:lineRule="auto"/>
        <w:rPr>
          <w:rFonts w:ascii="Times New Roman" w:eastAsia="Calibri" w:hAnsi="Times New Roman" w:cs="Times New Roman"/>
          <w:b/>
        </w:rPr>
      </w:pPr>
      <w:r w:rsidRPr="00F06E45">
        <w:rPr>
          <w:rFonts w:ascii="Times New Roman" w:eastAsia="Calibri" w:hAnsi="Times New Roman" w:cs="Times New Roman"/>
          <w:b/>
          <w:i/>
          <w:color w:val="215868"/>
          <w:sz w:val="32"/>
          <w:szCs w:val="32"/>
        </w:rPr>
        <w:t xml:space="preserve">Effective and ethical governance </w:t>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r>
      <w:r w:rsidRPr="00F06E45">
        <w:rPr>
          <w:rFonts w:ascii="Times New Roman" w:eastAsia="Calibri" w:hAnsi="Times New Roman" w:cs="Times New Roman"/>
          <w:b/>
          <w:i/>
          <w:color w:val="215868"/>
          <w:sz w:val="32"/>
          <w:szCs w:val="32"/>
        </w:rPr>
        <w:tab/>
        <w:t xml:space="preserve">       </w:t>
      </w:r>
      <w:r w:rsidRPr="00F06E45">
        <w:rPr>
          <w:rFonts w:ascii="Times New Roman" w:eastAsia="Calibri" w:hAnsi="Times New Roman" w:cs="Times New Roman"/>
          <w:b/>
        </w:rPr>
        <w:t>responsive, cohesive, sustainable, ethical and accountable</w:t>
      </w:r>
    </w:p>
    <w:tbl>
      <w:tblPr>
        <w:tblStyle w:val="TableGrid1"/>
        <w:tblpPr w:leftFromText="180" w:rightFromText="180" w:vertAnchor="text" w:horzAnchor="margin" w:tblpY="68"/>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410"/>
        <w:gridCol w:w="761"/>
        <w:gridCol w:w="2924"/>
        <w:gridCol w:w="851"/>
        <w:gridCol w:w="850"/>
        <w:gridCol w:w="851"/>
        <w:gridCol w:w="2392"/>
        <w:gridCol w:w="3278"/>
      </w:tblGrid>
      <w:tr w:rsidR="007371C6" w:rsidRPr="00F06E45" w14:paraId="4C268E8B" w14:textId="77777777" w:rsidTr="00063500">
        <w:trPr>
          <w:trHeight w:val="249"/>
        </w:trPr>
        <w:tc>
          <w:tcPr>
            <w:tcW w:w="15593" w:type="dxa"/>
            <w:gridSpan w:val="9"/>
            <w:tcBorders>
              <w:top w:val="single" w:sz="18" w:space="0" w:color="365F91"/>
              <w:bottom w:val="single" w:sz="18" w:space="0" w:color="365F91"/>
            </w:tcBorders>
            <w:shd w:val="clear" w:color="auto" w:fill="3B87CD"/>
          </w:tcPr>
          <w:p w14:paraId="1BCE15C9" w14:textId="77777777" w:rsidR="007371C6" w:rsidRPr="00F06E45" w:rsidRDefault="007371C6" w:rsidP="00F06E45">
            <w:pPr>
              <w:ind w:left="-108"/>
              <w:rPr>
                <w:rFonts w:ascii="Calibri" w:eastAsia="Calibri" w:hAnsi="Calibri" w:cs="Times New Roman"/>
                <w:b/>
                <w:sz w:val="20"/>
                <w:szCs w:val="20"/>
              </w:rPr>
            </w:pPr>
            <w:r w:rsidRPr="00F06E45">
              <w:rPr>
                <w:rFonts w:ascii="Calibri" w:eastAsia="Calibri" w:hAnsi="Calibri" w:cs="Times New Roman"/>
                <w:b/>
              </w:rPr>
              <w:t>Outcome 4.7 A valued workforce  committed to the region delivering quality services</w:t>
            </w:r>
          </w:p>
        </w:tc>
      </w:tr>
      <w:tr w:rsidR="007371C6" w:rsidRPr="00F06E45" w14:paraId="2B56511F" w14:textId="77777777" w:rsidTr="00063500">
        <w:trPr>
          <w:trHeight w:val="249"/>
        </w:trPr>
        <w:tc>
          <w:tcPr>
            <w:tcW w:w="15593" w:type="dxa"/>
            <w:gridSpan w:val="9"/>
            <w:tcBorders>
              <w:top w:val="single" w:sz="18" w:space="0" w:color="365F91"/>
              <w:bottom w:val="single" w:sz="18" w:space="0" w:color="1F4E79" w:themeColor="accent1" w:themeShade="80"/>
            </w:tcBorders>
          </w:tcPr>
          <w:p w14:paraId="7E37521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Strategy  4.7.3 Ensure our workforce is adequately trained, developed and supported to competently manage themselves and their work</w:t>
            </w:r>
          </w:p>
        </w:tc>
      </w:tr>
      <w:tr w:rsidR="007371C6" w:rsidRPr="00F06E45" w14:paraId="51FFD3BB" w14:textId="77777777" w:rsidTr="00063500">
        <w:trPr>
          <w:trHeight w:val="249"/>
        </w:trPr>
        <w:tc>
          <w:tcPr>
            <w:tcW w:w="1276" w:type="dxa"/>
            <w:tcBorders>
              <w:top w:val="single" w:sz="18" w:space="0" w:color="1F4E79" w:themeColor="accent1" w:themeShade="80"/>
            </w:tcBorders>
            <w:shd w:val="clear" w:color="auto" w:fill="auto"/>
          </w:tcPr>
          <w:p w14:paraId="2972CE6E"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Department</w:t>
            </w:r>
          </w:p>
        </w:tc>
        <w:tc>
          <w:tcPr>
            <w:tcW w:w="3171" w:type="dxa"/>
            <w:gridSpan w:val="2"/>
            <w:tcBorders>
              <w:top w:val="single" w:sz="18" w:space="0" w:color="1F4E79" w:themeColor="accent1" w:themeShade="80"/>
            </w:tcBorders>
            <w:shd w:val="clear" w:color="auto" w:fill="auto"/>
          </w:tcPr>
          <w:p w14:paraId="34662655"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Service Area</w:t>
            </w:r>
          </w:p>
        </w:tc>
        <w:tc>
          <w:tcPr>
            <w:tcW w:w="2924" w:type="dxa"/>
            <w:tcBorders>
              <w:top w:val="single" w:sz="18" w:space="0" w:color="1F4E79" w:themeColor="accent1" w:themeShade="80"/>
            </w:tcBorders>
            <w:shd w:val="clear" w:color="auto" w:fill="auto"/>
          </w:tcPr>
          <w:p w14:paraId="4DD95296" w14:textId="77777777" w:rsidR="007371C6" w:rsidRPr="00F06E45" w:rsidRDefault="007371C6" w:rsidP="00F06E45">
            <w:pPr>
              <w:ind w:left="-108"/>
              <w:rPr>
                <w:rFonts w:ascii="Calibri" w:eastAsia="Calibri" w:hAnsi="Calibri" w:cs="Times New Roman"/>
                <w:b/>
                <w:sz w:val="18"/>
                <w:szCs w:val="18"/>
              </w:rPr>
            </w:pPr>
            <w:r w:rsidRPr="00F06E45">
              <w:rPr>
                <w:rFonts w:ascii="Calibri" w:eastAsia="Calibri" w:hAnsi="Calibri" w:cs="Times New Roman"/>
                <w:b/>
                <w:sz w:val="18"/>
                <w:szCs w:val="18"/>
              </w:rPr>
              <w:t>Performance Indicator</w:t>
            </w:r>
          </w:p>
        </w:tc>
        <w:tc>
          <w:tcPr>
            <w:tcW w:w="851" w:type="dxa"/>
            <w:tcBorders>
              <w:top w:val="single" w:sz="18" w:space="0" w:color="1F4E79" w:themeColor="accent1" w:themeShade="80"/>
            </w:tcBorders>
            <w:shd w:val="clear" w:color="auto" w:fill="auto"/>
          </w:tcPr>
          <w:p w14:paraId="254217D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Target</w:t>
            </w:r>
          </w:p>
        </w:tc>
        <w:tc>
          <w:tcPr>
            <w:tcW w:w="850" w:type="dxa"/>
            <w:tcBorders>
              <w:top w:val="single" w:sz="18" w:space="0" w:color="1F4E79" w:themeColor="accent1" w:themeShade="80"/>
            </w:tcBorders>
            <w:shd w:val="clear" w:color="auto" w:fill="auto"/>
          </w:tcPr>
          <w:p w14:paraId="73985FCD"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Actual</w:t>
            </w:r>
          </w:p>
        </w:tc>
        <w:tc>
          <w:tcPr>
            <w:tcW w:w="851" w:type="dxa"/>
            <w:tcBorders>
              <w:top w:val="single" w:sz="18" w:space="0" w:color="1F4E79" w:themeColor="accent1" w:themeShade="80"/>
            </w:tcBorders>
          </w:tcPr>
          <w:p w14:paraId="37A02220"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Status</w:t>
            </w:r>
          </w:p>
        </w:tc>
        <w:tc>
          <w:tcPr>
            <w:tcW w:w="5670" w:type="dxa"/>
            <w:gridSpan w:val="2"/>
            <w:tcBorders>
              <w:top w:val="single" w:sz="18" w:space="0" w:color="1F4E79" w:themeColor="accent1" w:themeShade="80"/>
            </w:tcBorders>
            <w:shd w:val="clear" w:color="auto" w:fill="auto"/>
          </w:tcPr>
          <w:p w14:paraId="1549F9C6" w14:textId="77777777" w:rsidR="007371C6" w:rsidRPr="00F06E45" w:rsidRDefault="007371C6" w:rsidP="00F06E45">
            <w:pPr>
              <w:rPr>
                <w:rFonts w:ascii="Calibri" w:eastAsia="Calibri" w:hAnsi="Calibri" w:cs="Times New Roman"/>
                <w:b/>
                <w:sz w:val="18"/>
                <w:szCs w:val="18"/>
              </w:rPr>
            </w:pPr>
            <w:r w:rsidRPr="00F06E45">
              <w:rPr>
                <w:rFonts w:ascii="Calibri" w:eastAsia="Calibri" w:hAnsi="Calibri" w:cs="Times New Roman"/>
                <w:b/>
                <w:sz w:val="18"/>
                <w:szCs w:val="18"/>
              </w:rPr>
              <w:t xml:space="preserve">Comment  </w:t>
            </w:r>
          </w:p>
        </w:tc>
      </w:tr>
      <w:tr w:rsidR="007371C6" w:rsidRPr="00F06E45" w14:paraId="46BF2113" w14:textId="77777777" w:rsidTr="00063500">
        <w:trPr>
          <w:trHeight w:val="249"/>
        </w:trPr>
        <w:tc>
          <w:tcPr>
            <w:tcW w:w="1276" w:type="dxa"/>
            <w:shd w:val="clear" w:color="auto" w:fill="auto"/>
          </w:tcPr>
          <w:p w14:paraId="5E6A8C9E"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Internal Ombudsman</w:t>
            </w:r>
          </w:p>
        </w:tc>
        <w:tc>
          <w:tcPr>
            <w:tcW w:w="2410" w:type="dxa"/>
            <w:shd w:val="clear" w:color="auto" w:fill="auto"/>
          </w:tcPr>
          <w:p w14:paraId="38A1618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Governance: Organisational Governance Awareness</w:t>
            </w:r>
          </w:p>
        </w:tc>
        <w:tc>
          <w:tcPr>
            <w:tcW w:w="3685" w:type="dxa"/>
            <w:gridSpan w:val="2"/>
            <w:shd w:val="clear" w:color="auto" w:fill="auto"/>
          </w:tcPr>
          <w:p w14:paraId="2226CFC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of staff trained in Governance Compliance and Risk Management processes and procedures (Right To Information (RTI) and Risk Management (IP) training).</w:t>
            </w:r>
          </w:p>
        </w:tc>
        <w:tc>
          <w:tcPr>
            <w:tcW w:w="851" w:type="dxa"/>
            <w:shd w:val="clear" w:color="auto" w:fill="auto"/>
          </w:tcPr>
          <w:p w14:paraId="45FEFD4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62479F2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90% </w:t>
            </w:r>
          </w:p>
        </w:tc>
        <w:tc>
          <w:tcPr>
            <w:tcW w:w="850" w:type="dxa"/>
            <w:shd w:val="clear" w:color="auto" w:fill="auto"/>
          </w:tcPr>
          <w:p w14:paraId="70B08502" w14:textId="77777777" w:rsidR="007371C6" w:rsidRPr="00F06E45" w:rsidRDefault="007371C6" w:rsidP="00F06E45">
            <w:pPr>
              <w:rPr>
                <w:rFonts w:ascii="Calibri" w:eastAsia="Calibri" w:hAnsi="Calibri" w:cs="Times New Roman"/>
                <w:sz w:val="16"/>
                <w:szCs w:val="16"/>
              </w:rPr>
            </w:pPr>
          </w:p>
          <w:p w14:paraId="3EEB9DA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93%</w:t>
            </w:r>
          </w:p>
        </w:tc>
        <w:tc>
          <w:tcPr>
            <w:tcW w:w="851" w:type="dxa"/>
            <w:shd w:val="clear" w:color="auto" w:fill="auto"/>
          </w:tcPr>
          <w:p w14:paraId="700B05B9"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09440" behindDoc="1" locked="0" layoutInCell="1" allowOverlap="1" wp14:anchorId="0AEB7C44" wp14:editId="070AF1FB">
                  <wp:simplePos x="0" y="0"/>
                  <wp:positionH relativeFrom="column">
                    <wp:posOffset>-635</wp:posOffset>
                  </wp:positionH>
                  <wp:positionV relativeFrom="paragraph">
                    <wp:posOffset>123825</wp:posOffset>
                  </wp:positionV>
                  <wp:extent cx="221615" cy="158115"/>
                  <wp:effectExtent l="0" t="0" r="6985" b="0"/>
                  <wp:wrapTight wrapText="bothSides">
                    <wp:wrapPolygon edited="0">
                      <wp:start x="0" y="0"/>
                      <wp:lineTo x="0" y="18217"/>
                      <wp:lineTo x="20424" y="18217"/>
                      <wp:lineTo x="2042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71E77B0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525 of 563 eligible employees have completed </w:t>
            </w:r>
            <w:r w:rsidRPr="00F06E45">
              <w:rPr>
                <w:rFonts w:ascii="Calibri" w:eastAsia="Calibri" w:hAnsi="Calibri" w:cs="Times New Roman"/>
                <w:i/>
                <w:sz w:val="16"/>
                <w:szCs w:val="16"/>
              </w:rPr>
              <w:t xml:space="preserve">Right to Information </w:t>
            </w:r>
            <w:r w:rsidRPr="00F06E45">
              <w:rPr>
                <w:rFonts w:ascii="Calibri" w:eastAsia="Calibri" w:hAnsi="Calibri" w:cs="Times New Roman"/>
                <w:sz w:val="16"/>
                <w:szCs w:val="16"/>
              </w:rPr>
              <w:t xml:space="preserve">and </w:t>
            </w:r>
            <w:r w:rsidRPr="00F06E45">
              <w:rPr>
                <w:rFonts w:ascii="Calibri" w:eastAsia="Calibri" w:hAnsi="Calibri" w:cs="Times New Roman"/>
                <w:i/>
                <w:sz w:val="16"/>
                <w:szCs w:val="16"/>
              </w:rPr>
              <w:t>Risk</w:t>
            </w:r>
            <w:r w:rsidRPr="00F06E45">
              <w:rPr>
                <w:rFonts w:ascii="Calibri" w:eastAsia="Calibri" w:hAnsi="Calibri" w:cs="Times New Roman"/>
                <w:sz w:val="16"/>
                <w:szCs w:val="16"/>
              </w:rPr>
              <w:t xml:space="preserve"> training.</w:t>
            </w:r>
          </w:p>
          <w:p w14:paraId="58686A7A" w14:textId="77777777" w:rsidR="007371C6" w:rsidRPr="00F06E45" w:rsidRDefault="007371C6" w:rsidP="00F06E45">
            <w:pPr>
              <w:rPr>
                <w:rFonts w:ascii="Calibri" w:eastAsia="Calibri" w:hAnsi="Calibri" w:cs="Times New Roman"/>
                <w:sz w:val="16"/>
                <w:szCs w:val="16"/>
              </w:rPr>
            </w:pPr>
          </w:p>
          <w:p w14:paraId="38C9B28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 </w:t>
            </w:r>
          </w:p>
          <w:p w14:paraId="2CD371BD" w14:textId="77777777" w:rsidR="007371C6" w:rsidRPr="00F06E45" w:rsidRDefault="007371C6" w:rsidP="00F06E45">
            <w:pPr>
              <w:rPr>
                <w:rFonts w:ascii="Calibri" w:eastAsia="Calibri" w:hAnsi="Calibri" w:cs="Times New Roman"/>
                <w:sz w:val="16"/>
                <w:szCs w:val="16"/>
              </w:rPr>
            </w:pPr>
          </w:p>
        </w:tc>
      </w:tr>
      <w:tr w:rsidR="007371C6" w:rsidRPr="00F06E45" w14:paraId="31A82355" w14:textId="77777777" w:rsidTr="00063500">
        <w:trPr>
          <w:trHeight w:val="249"/>
        </w:trPr>
        <w:tc>
          <w:tcPr>
            <w:tcW w:w="1276" w:type="dxa"/>
            <w:shd w:val="clear" w:color="auto" w:fill="auto"/>
          </w:tcPr>
          <w:p w14:paraId="2D649F5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p w14:paraId="08415A05"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4E2738FF"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Workplace Health and Safety: Lost Time Injury Frequency Rate: Industry standard measurement </w:t>
            </w:r>
          </w:p>
        </w:tc>
        <w:tc>
          <w:tcPr>
            <w:tcW w:w="3685" w:type="dxa"/>
            <w:gridSpan w:val="2"/>
            <w:shd w:val="clear" w:color="auto" w:fill="auto"/>
          </w:tcPr>
          <w:p w14:paraId="51C27DE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Number of injuries per number of hours worked (all employees across whole organisation).  </w:t>
            </w:r>
          </w:p>
        </w:tc>
        <w:tc>
          <w:tcPr>
            <w:tcW w:w="851" w:type="dxa"/>
            <w:shd w:val="clear" w:color="auto" w:fill="auto"/>
          </w:tcPr>
          <w:p w14:paraId="2D64FD0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64AF365"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&lt;17.9 </w:t>
            </w:r>
          </w:p>
          <w:p w14:paraId="54682FF9" w14:textId="77777777" w:rsidR="007371C6" w:rsidRPr="00F06E45" w:rsidRDefault="007371C6" w:rsidP="00F06E45">
            <w:pPr>
              <w:rPr>
                <w:rFonts w:ascii="Calibri" w:eastAsia="Calibri" w:hAnsi="Calibri" w:cs="Times New Roman"/>
                <w:sz w:val="16"/>
                <w:szCs w:val="16"/>
              </w:rPr>
            </w:pPr>
          </w:p>
        </w:tc>
        <w:tc>
          <w:tcPr>
            <w:tcW w:w="850" w:type="dxa"/>
            <w:shd w:val="clear" w:color="auto" w:fill="auto"/>
          </w:tcPr>
          <w:p w14:paraId="3C054BD5" w14:textId="77777777" w:rsidR="007371C6" w:rsidRPr="00F06E45" w:rsidRDefault="007371C6" w:rsidP="00F06E45">
            <w:pPr>
              <w:rPr>
                <w:rFonts w:ascii="Calibri" w:eastAsia="Calibri" w:hAnsi="Calibri" w:cs="Times New Roman"/>
                <w:sz w:val="16"/>
                <w:szCs w:val="16"/>
              </w:rPr>
            </w:pPr>
          </w:p>
          <w:p w14:paraId="323B053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20.52</w:t>
            </w:r>
          </w:p>
        </w:tc>
        <w:tc>
          <w:tcPr>
            <w:tcW w:w="851" w:type="dxa"/>
            <w:shd w:val="clear" w:color="auto" w:fill="auto"/>
          </w:tcPr>
          <w:p w14:paraId="1D430856"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80096" behindDoc="1" locked="0" layoutInCell="1" allowOverlap="1" wp14:anchorId="49F1E347" wp14:editId="5FA9045E">
                  <wp:simplePos x="0" y="0"/>
                  <wp:positionH relativeFrom="column">
                    <wp:posOffset>20955</wp:posOffset>
                  </wp:positionH>
                  <wp:positionV relativeFrom="paragraph">
                    <wp:posOffset>122555</wp:posOffset>
                  </wp:positionV>
                  <wp:extent cx="143510" cy="143510"/>
                  <wp:effectExtent l="0" t="0" r="8890" b="8890"/>
                  <wp:wrapTight wrapText="bothSides">
                    <wp:wrapPolygon edited="0">
                      <wp:start x="0" y="0"/>
                      <wp:lineTo x="0" y="20071"/>
                      <wp:lineTo x="20071" y="20071"/>
                      <wp:lineTo x="20071"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nge-circl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3510" cy="143510"/>
                          </a:xfrm>
                          <a:prstGeom prst="rect">
                            <a:avLst/>
                          </a:prstGeom>
                        </pic:spPr>
                      </pic:pic>
                    </a:graphicData>
                  </a:graphic>
                </wp:anchor>
              </w:drawing>
            </w:r>
          </w:p>
        </w:tc>
        <w:tc>
          <w:tcPr>
            <w:tcW w:w="5670" w:type="dxa"/>
            <w:gridSpan w:val="2"/>
            <w:shd w:val="clear" w:color="auto" w:fill="auto"/>
          </w:tcPr>
          <w:p w14:paraId="2FA3956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number of injuries per number of hours worked was slightly less this quarter than last quarter. However, on an industry standard basis this rate of 20.52 is still in excess of what we would like to achieve. </w:t>
            </w:r>
          </w:p>
        </w:tc>
      </w:tr>
      <w:tr w:rsidR="007371C6" w:rsidRPr="00F06E45" w14:paraId="68BD2421" w14:textId="77777777" w:rsidTr="00063500">
        <w:trPr>
          <w:trHeight w:val="632"/>
        </w:trPr>
        <w:tc>
          <w:tcPr>
            <w:tcW w:w="1276" w:type="dxa"/>
            <w:shd w:val="clear" w:color="auto" w:fill="auto"/>
          </w:tcPr>
          <w:p w14:paraId="1A60383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p w14:paraId="785962A1"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1829B3B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 xml:space="preserve">Workplace Health and Safety: Days Lost </w:t>
            </w:r>
          </w:p>
        </w:tc>
        <w:tc>
          <w:tcPr>
            <w:tcW w:w="3685" w:type="dxa"/>
            <w:gridSpan w:val="2"/>
            <w:shd w:val="clear" w:color="auto" w:fill="auto"/>
          </w:tcPr>
          <w:p w14:paraId="12E09627"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days leave taken as a result of injury.</w:t>
            </w:r>
          </w:p>
        </w:tc>
        <w:tc>
          <w:tcPr>
            <w:tcW w:w="851" w:type="dxa"/>
            <w:shd w:val="clear" w:color="auto" w:fill="auto"/>
          </w:tcPr>
          <w:p w14:paraId="4CED16C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3E8ED9F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&lt;588</w:t>
            </w:r>
          </w:p>
        </w:tc>
        <w:tc>
          <w:tcPr>
            <w:tcW w:w="850" w:type="dxa"/>
            <w:shd w:val="clear" w:color="auto" w:fill="auto"/>
          </w:tcPr>
          <w:p w14:paraId="094D534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7681274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146</w:t>
            </w:r>
          </w:p>
        </w:tc>
        <w:tc>
          <w:tcPr>
            <w:tcW w:w="851" w:type="dxa"/>
            <w:shd w:val="clear" w:color="auto" w:fill="auto"/>
          </w:tcPr>
          <w:p w14:paraId="53CDCAFA"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81120" behindDoc="1" locked="0" layoutInCell="1" allowOverlap="1" wp14:anchorId="7219615D" wp14:editId="52B9171C">
                  <wp:simplePos x="0" y="0"/>
                  <wp:positionH relativeFrom="column">
                    <wp:posOffset>10532</wp:posOffset>
                  </wp:positionH>
                  <wp:positionV relativeFrom="paragraph">
                    <wp:posOffset>16761</wp:posOffset>
                  </wp:positionV>
                  <wp:extent cx="221615" cy="158115"/>
                  <wp:effectExtent l="0" t="0" r="6985" b="0"/>
                  <wp:wrapTight wrapText="bothSides">
                    <wp:wrapPolygon edited="0">
                      <wp:start x="0" y="0"/>
                      <wp:lineTo x="0" y="18217"/>
                      <wp:lineTo x="20424" y="18217"/>
                      <wp:lineTo x="20424"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18F0CB8A"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figure is currently within industry standards.</w:t>
            </w:r>
          </w:p>
        </w:tc>
      </w:tr>
      <w:tr w:rsidR="007371C6" w:rsidRPr="00F06E45" w14:paraId="02A4734C" w14:textId="77777777" w:rsidTr="00063500">
        <w:trPr>
          <w:trHeight w:val="542"/>
        </w:trPr>
        <w:tc>
          <w:tcPr>
            <w:tcW w:w="1276" w:type="dxa"/>
            <w:shd w:val="clear" w:color="auto" w:fill="auto"/>
          </w:tcPr>
          <w:p w14:paraId="3B1FEC44"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tc>
        <w:tc>
          <w:tcPr>
            <w:tcW w:w="2410" w:type="dxa"/>
            <w:shd w:val="clear" w:color="auto" w:fill="auto"/>
          </w:tcPr>
          <w:p w14:paraId="52B7C438"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Workplace Health and Safety: Lost Time Injuries</w:t>
            </w:r>
          </w:p>
        </w:tc>
        <w:tc>
          <w:tcPr>
            <w:tcW w:w="3685" w:type="dxa"/>
            <w:gridSpan w:val="2"/>
            <w:shd w:val="clear" w:color="auto" w:fill="auto"/>
          </w:tcPr>
          <w:p w14:paraId="6EEF782D"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people injured requiring leave of duties.</w:t>
            </w:r>
          </w:p>
        </w:tc>
        <w:tc>
          <w:tcPr>
            <w:tcW w:w="851" w:type="dxa"/>
            <w:shd w:val="clear" w:color="auto" w:fill="auto"/>
          </w:tcPr>
          <w:p w14:paraId="73E23C66"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4933FE2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&lt;24</w:t>
            </w:r>
          </w:p>
        </w:tc>
        <w:tc>
          <w:tcPr>
            <w:tcW w:w="850" w:type="dxa"/>
            <w:shd w:val="clear" w:color="auto" w:fill="auto"/>
          </w:tcPr>
          <w:p w14:paraId="6AAAFE8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3CF4713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8</w:t>
            </w:r>
          </w:p>
        </w:tc>
        <w:tc>
          <w:tcPr>
            <w:tcW w:w="851" w:type="dxa"/>
            <w:shd w:val="clear" w:color="auto" w:fill="auto"/>
          </w:tcPr>
          <w:p w14:paraId="08A92155"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82144" behindDoc="1" locked="0" layoutInCell="1" allowOverlap="1" wp14:anchorId="21B85D6C" wp14:editId="38E4C051">
                  <wp:simplePos x="0" y="0"/>
                  <wp:positionH relativeFrom="column">
                    <wp:posOffset>27784</wp:posOffset>
                  </wp:positionH>
                  <wp:positionV relativeFrom="paragraph">
                    <wp:posOffset>9141</wp:posOffset>
                  </wp:positionV>
                  <wp:extent cx="221615" cy="158115"/>
                  <wp:effectExtent l="0" t="0" r="6985" b="0"/>
                  <wp:wrapTight wrapText="bothSides">
                    <wp:wrapPolygon edited="0">
                      <wp:start x="0" y="0"/>
                      <wp:lineTo x="0" y="18217"/>
                      <wp:lineTo x="20424" y="18217"/>
                      <wp:lineTo x="20424"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5B706A2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This figure is currently within industry standards.</w:t>
            </w:r>
          </w:p>
        </w:tc>
      </w:tr>
      <w:tr w:rsidR="007371C6" w:rsidRPr="00F06E45" w14:paraId="1B834BB7" w14:textId="77777777" w:rsidTr="00063500">
        <w:trPr>
          <w:trHeight w:val="249"/>
        </w:trPr>
        <w:tc>
          <w:tcPr>
            <w:tcW w:w="1276" w:type="dxa"/>
            <w:shd w:val="clear" w:color="auto" w:fill="auto"/>
          </w:tcPr>
          <w:p w14:paraId="79E7CF05"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p w14:paraId="4CFDFDA9" w14:textId="77777777" w:rsidR="007371C6" w:rsidRPr="00F06E45" w:rsidRDefault="007371C6" w:rsidP="00F06E45">
            <w:pPr>
              <w:ind w:left="-108"/>
              <w:rPr>
                <w:rFonts w:ascii="Calibri" w:eastAsia="Calibri" w:hAnsi="Calibri" w:cs="Times New Roman"/>
                <w:sz w:val="18"/>
                <w:szCs w:val="18"/>
              </w:rPr>
            </w:pPr>
          </w:p>
        </w:tc>
        <w:tc>
          <w:tcPr>
            <w:tcW w:w="2410" w:type="dxa"/>
            <w:shd w:val="clear" w:color="auto" w:fill="auto"/>
          </w:tcPr>
          <w:p w14:paraId="46F91D20"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Workplace Health and Safety: Notifiable incidents</w:t>
            </w:r>
          </w:p>
        </w:tc>
        <w:tc>
          <w:tcPr>
            <w:tcW w:w="3685" w:type="dxa"/>
            <w:gridSpan w:val="2"/>
            <w:shd w:val="clear" w:color="auto" w:fill="auto"/>
          </w:tcPr>
          <w:p w14:paraId="5DDF4192"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Number of notifiable incidents.</w:t>
            </w:r>
          </w:p>
        </w:tc>
        <w:tc>
          <w:tcPr>
            <w:tcW w:w="851" w:type="dxa"/>
            <w:shd w:val="clear" w:color="auto" w:fill="auto"/>
          </w:tcPr>
          <w:p w14:paraId="58E35BEC"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Annually </w:t>
            </w:r>
          </w:p>
          <w:p w14:paraId="254A5D6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&lt;4</w:t>
            </w:r>
          </w:p>
        </w:tc>
        <w:tc>
          <w:tcPr>
            <w:tcW w:w="850" w:type="dxa"/>
            <w:shd w:val="clear" w:color="auto" w:fill="auto"/>
          </w:tcPr>
          <w:p w14:paraId="30EEFFA2"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5BD1A5F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0</w:t>
            </w:r>
          </w:p>
        </w:tc>
        <w:tc>
          <w:tcPr>
            <w:tcW w:w="851" w:type="dxa"/>
            <w:shd w:val="clear" w:color="auto" w:fill="auto"/>
          </w:tcPr>
          <w:p w14:paraId="14D80251"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83168" behindDoc="1" locked="0" layoutInCell="1" allowOverlap="1" wp14:anchorId="3AB2B33A" wp14:editId="74927CB4">
                  <wp:simplePos x="0" y="0"/>
                  <wp:positionH relativeFrom="column">
                    <wp:posOffset>1905</wp:posOffset>
                  </wp:positionH>
                  <wp:positionV relativeFrom="paragraph">
                    <wp:posOffset>126365</wp:posOffset>
                  </wp:positionV>
                  <wp:extent cx="221615" cy="158115"/>
                  <wp:effectExtent l="0" t="0" r="6985" b="0"/>
                  <wp:wrapTight wrapText="bothSides">
                    <wp:wrapPolygon edited="0">
                      <wp:start x="0" y="0"/>
                      <wp:lineTo x="0" y="18217"/>
                      <wp:lineTo x="20424" y="18217"/>
                      <wp:lineTo x="20424"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tick-3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158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shd w:val="clear" w:color="auto" w:fill="auto"/>
          </w:tcPr>
          <w:p w14:paraId="3DDDA941" w14:textId="77777777" w:rsidR="00876F01" w:rsidRPr="00F06E45" w:rsidRDefault="00876F01" w:rsidP="00F06E45">
            <w:pPr>
              <w:rPr>
                <w:rFonts w:ascii="Calibri" w:eastAsia="Calibri" w:hAnsi="Calibri" w:cs="Times New Roman"/>
                <w:sz w:val="16"/>
                <w:szCs w:val="16"/>
              </w:rPr>
            </w:pPr>
          </w:p>
          <w:p w14:paraId="7BB2F58E"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No notifiable incidents occurred during the 1</w:t>
            </w:r>
            <w:r w:rsidRPr="00F06E45">
              <w:rPr>
                <w:rFonts w:ascii="Calibri" w:eastAsia="Calibri" w:hAnsi="Calibri" w:cs="Times New Roman"/>
                <w:sz w:val="16"/>
                <w:szCs w:val="16"/>
                <w:vertAlign w:val="superscript"/>
              </w:rPr>
              <w:t>st</w:t>
            </w:r>
            <w:r w:rsidRPr="00F06E45">
              <w:rPr>
                <w:rFonts w:ascii="Calibri" w:eastAsia="Calibri" w:hAnsi="Calibri" w:cs="Times New Roman"/>
                <w:sz w:val="16"/>
                <w:szCs w:val="16"/>
              </w:rPr>
              <w:t xml:space="preserve"> quarter.</w:t>
            </w:r>
          </w:p>
        </w:tc>
      </w:tr>
      <w:tr w:rsidR="007371C6" w:rsidRPr="00F06E45" w14:paraId="220E0BE1" w14:textId="77777777" w:rsidTr="00063500">
        <w:trPr>
          <w:trHeight w:val="249"/>
        </w:trPr>
        <w:tc>
          <w:tcPr>
            <w:tcW w:w="1276" w:type="dxa"/>
            <w:tcBorders>
              <w:bottom w:val="single" w:sz="18" w:space="0" w:color="1F4E79" w:themeColor="accent1" w:themeShade="80"/>
            </w:tcBorders>
            <w:shd w:val="clear" w:color="auto" w:fill="auto"/>
          </w:tcPr>
          <w:p w14:paraId="16FC5A2A"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People &amp; Culture</w:t>
            </w:r>
          </w:p>
        </w:tc>
        <w:tc>
          <w:tcPr>
            <w:tcW w:w="2410" w:type="dxa"/>
            <w:tcBorders>
              <w:bottom w:val="single" w:sz="18" w:space="0" w:color="1F4E79" w:themeColor="accent1" w:themeShade="80"/>
            </w:tcBorders>
            <w:shd w:val="clear" w:color="auto" w:fill="auto"/>
          </w:tcPr>
          <w:p w14:paraId="6A1BB6F3"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Workplace Health and Safety: Training and Development</w:t>
            </w:r>
          </w:p>
        </w:tc>
        <w:tc>
          <w:tcPr>
            <w:tcW w:w="3685" w:type="dxa"/>
            <w:gridSpan w:val="2"/>
            <w:tcBorders>
              <w:bottom w:val="single" w:sz="18" w:space="0" w:color="1F4E79" w:themeColor="accent1" w:themeShade="80"/>
            </w:tcBorders>
            <w:shd w:val="clear" w:color="auto" w:fill="auto"/>
          </w:tcPr>
          <w:p w14:paraId="4446833C" w14:textId="77777777" w:rsidR="007371C6" w:rsidRPr="00F06E45" w:rsidRDefault="007371C6" w:rsidP="00F06E45">
            <w:pPr>
              <w:ind w:left="-108"/>
              <w:rPr>
                <w:rFonts w:ascii="Calibri" w:eastAsia="Calibri" w:hAnsi="Calibri" w:cs="Times New Roman"/>
                <w:sz w:val="18"/>
                <w:szCs w:val="18"/>
              </w:rPr>
            </w:pPr>
            <w:r w:rsidRPr="00F06E45">
              <w:rPr>
                <w:rFonts w:ascii="Calibri" w:eastAsia="Calibri" w:hAnsi="Calibri" w:cs="Times New Roman"/>
                <w:sz w:val="18"/>
                <w:szCs w:val="18"/>
              </w:rPr>
              <w:t>Percentage attendance to mandatory WHS training.</w:t>
            </w:r>
          </w:p>
        </w:tc>
        <w:tc>
          <w:tcPr>
            <w:tcW w:w="851" w:type="dxa"/>
            <w:tcBorders>
              <w:bottom w:val="single" w:sz="18" w:space="0" w:color="1F4E79" w:themeColor="accent1" w:themeShade="80"/>
            </w:tcBorders>
            <w:shd w:val="clear" w:color="auto" w:fill="auto"/>
          </w:tcPr>
          <w:p w14:paraId="60257168"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Annually</w:t>
            </w:r>
          </w:p>
          <w:p w14:paraId="177C901B"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98%</w:t>
            </w:r>
          </w:p>
        </w:tc>
        <w:tc>
          <w:tcPr>
            <w:tcW w:w="850" w:type="dxa"/>
            <w:tcBorders>
              <w:bottom w:val="single" w:sz="18" w:space="0" w:color="1F4E79" w:themeColor="accent1" w:themeShade="80"/>
            </w:tcBorders>
            <w:shd w:val="clear" w:color="auto" w:fill="auto"/>
          </w:tcPr>
          <w:p w14:paraId="20B10FD0"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YTD</w:t>
            </w:r>
          </w:p>
          <w:p w14:paraId="43B85449"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68.84%</w:t>
            </w:r>
          </w:p>
        </w:tc>
        <w:tc>
          <w:tcPr>
            <w:tcW w:w="851" w:type="dxa"/>
            <w:tcBorders>
              <w:bottom w:val="single" w:sz="18" w:space="0" w:color="1F4E79" w:themeColor="accent1" w:themeShade="80"/>
            </w:tcBorders>
            <w:shd w:val="clear" w:color="auto" w:fill="auto"/>
          </w:tcPr>
          <w:p w14:paraId="1186576E" w14:textId="77777777" w:rsidR="007371C6" w:rsidRPr="00F06E45" w:rsidRDefault="007371C6" w:rsidP="00F06E45">
            <w:pPr>
              <w:rPr>
                <w:rFonts w:ascii="Calibri" w:eastAsia="Calibri" w:hAnsi="Calibri" w:cs="Times New Roman"/>
                <w:sz w:val="16"/>
                <w:szCs w:val="16"/>
              </w:rPr>
            </w:pPr>
            <w:r w:rsidRPr="00F06E45">
              <w:rPr>
                <w:rFonts w:cs="Aharoni"/>
                <w:noProof/>
                <w:color w:val="1F4E79" w:themeColor="accent1" w:themeShade="80"/>
                <w:sz w:val="20"/>
                <w:szCs w:val="20"/>
                <w:lang w:eastAsia="en-AU"/>
              </w:rPr>
              <w:drawing>
                <wp:anchor distT="0" distB="0" distL="114300" distR="114300" simplePos="0" relativeHeight="251784192" behindDoc="1" locked="0" layoutInCell="1" allowOverlap="1" wp14:anchorId="32C6EDEB" wp14:editId="14A212D6">
                  <wp:simplePos x="0" y="0"/>
                  <wp:positionH relativeFrom="column">
                    <wp:posOffset>72019</wp:posOffset>
                  </wp:positionH>
                  <wp:positionV relativeFrom="paragraph">
                    <wp:posOffset>113294</wp:posOffset>
                  </wp:positionV>
                  <wp:extent cx="142875" cy="142875"/>
                  <wp:effectExtent l="0" t="0" r="9525" b="9525"/>
                  <wp:wrapTight wrapText="bothSides">
                    <wp:wrapPolygon edited="0">
                      <wp:start x="0" y="0"/>
                      <wp:lineTo x="0" y="20160"/>
                      <wp:lineTo x="20160" y="20160"/>
                      <wp:lineTo x="20160"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Cro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single" w:sz="18" w:space="0" w:color="1F4E79" w:themeColor="accent1" w:themeShade="80"/>
            </w:tcBorders>
            <w:shd w:val="clear" w:color="auto" w:fill="auto"/>
          </w:tcPr>
          <w:p w14:paraId="69D4C171" w14:textId="77777777" w:rsidR="007371C6" w:rsidRPr="00F06E45" w:rsidRDefault="007371C6" w:rsidP="00F06E45">
            <w:pPr>
              <w:rPr>
                <w:rFonts w:ascii="Calibri" w:eastAsia="Calibri" w:hAnsi="Calibri" w:cs="Times New Roman"/>
                <w:sz w:val="16"/>
                <w:szCs w:val="16"/>
              </w:rPr>
            </w:pPr>
            <w:r w:rsidRPr="00F06E45">
              <w:rPr>
                <w:rFonts w:ascii="Calibri" w:eastAsia="Calibri" w:hAnsi="Calibri" w:cs="Times New Roman"/>
                <w:sz w:val="16"/>
                <w:szCs w:val="16"/>
              </w:rPr>
              <w:t xml:space="preserve">The expected number of people to attend training as budgeted for year to date (YTD) was 475. The number of staff that attended was 327. </w:t>
            </w:r>
          </w:p>
        </w:tc>
      </w:tr>
      <w:tr w:rsidR="007371C6" w:rsidRPr="00F06E45" w14:paraId="5AFFD450" w14:textId="77777777" w:rsidTr="00063500">
        <w:trPr>
          <w:trHeight w:val="249"/>
        </w:trPr>
        <w:tc>
          <w:tcPr>
            <w:tcW w:w="1276" w:type="dxa"/>
            <w:tcBorders>
              <w:top w:val="single" w:sz="18" w:space="0" w:color="1F4E79" w:themeColor="accent1" w:themeShade="80"/>
            </w:tcBorders>
            <w:shd w:val="clear" w:color="auto" w:fill="auto"/>
          </w:tcPr>
          <w:p w14:paraId="0FEA8BEF" w14:textId="77777777" w:rsidR="007371C6" w:rsidRPr="00F06E45" w:rsidRDefault="007371C6" w:rsidP="00F06E45">
            <w:pPr>
              <w:rPr>
                <w:rFonts w:ascii="Calibri" w:eastAsia="Calibri" w:hAnsi="Calibri" w:cs="Times New Roman"/>
                <w:sz w:val="18"/>
                <w:szCs w:val="18"/>
              </w:rPr>
            </w:pPr>
          </w:p>
        </w:tc>
        <w:tc>
          <w:tcPr>
            <w:tcW w:w="3171" w:type="dxa"/>
            <w:gridSpan w:val="2"/>
            <w:tcBorders>
              <w:top w:val="single" w:sz="18" w:space="0" w:color="1F4E79" w:themeColor="accent1" w:themeShade="80"/>
            </w:tcBorders>
            <w:shd w:val="clear" w:color="auto" w:fill="auto"/>
          </w:tcPr>
          <w:p w14:paraId="34071775" w14:textId="77777777" w:rsidR="007371C6" w:rsidRPr="00F06E45" w:rsidRDefault="007371C6" w:rsidP="00F06E45">
            <w:pPr>
              <w:rPr>
                <w:rFonts w:ascii="Calibri" w:eastAsia="Calibri" w:hAnsi="Calibri" w:cs="Times New Roman"/>
                <w:sz w:val="18"/>
                <w:szCs w:val="18"/>
              </w:rPr>
            </w:pPr>
          </w:p>
        </w:tc>
        <w:tc>
          <w:tcPr>
            <w:tcW w:w="2924" w:type="dxa"/>
            <w:tcBorders>
              <w:top w:val="single" w:sz="18" w:space="0" w:color="1F4E79" w:themeColor="accent1" w:themeShade="80"/>
            </w:tcBorders>
            <w:shd w:val="clear" w:color="auto" w:fill="auto"/>
          </w:tcPr>
          <w:p w14:paraId="0F1BAFDC" w14:textId="77777777" w:rsidR="007371C6" w:rsidRPr="00F06E45" w:rsidRDefault="007371C6" w:rsidP="00F06E45">
            <w:pPr>
              <w:rPr>
                <w:rFonts w:ascii="Calibri" w:eastAsia="Calibri" w:hAnsi="Calibri" w:cs="Times New Roman"/>
                <w:sz w:val="18"/>
                <w:szCs w:val="18"/>
              </w:rPr>
            </w:pPr>
          </w:p>
        </w:tc>
        <w:tc>
          <w:tcPr>
            <w:tcW w:w="851" w:type="dxa"/>
            <w:tcBorders>
              <w:top w:val="single" w:sz="18" w:space="0" w:color="1F4E79" w:themeColor="accent1" w:themeShade="80"/>
            </w:tcBorders>
            <w:shd w:val="clear" w:color="auto" w:fill="auto"/>
          </w:tcPr>
          <w:p w14:paraId="343641EC" w14:textId="77777777" w:rsidR="007371C6" w:rsidRPr="00F06E45" w:rsidRDefault="007371C6" w:rsidP="00F06E45">
            <w:pPr>
              <w:rPr>
                <w:rFonts w:ascii="Calibri" w:eastAsia="Calibri" w:hAnsi="Calibri" w:cs="Times New Roman"/>
                <w:sz w:val="16"/>
                <w:szCs w:val="16"/>
              </w:rPr>
            </w:pPr>
          </w:p>
        </w:tc>
        <w:tc>
          <w:tcPr>
            <w:tcW w:w="850" w:type="dxa"/>
            <w:tcBorders>
              <w:top w:val="single" w:sz="18" w:space="0" w:color="1F4E79" w:themeColor="accent1" w:themeShade="80"/>
            </w:tcBorders>
            <w:shd w:val="clear" w:color="auto" w:fill="auto"/>
          </w:tcPr>
          <w:p w14:paraId="208BBAA7" w14:textId="77777777" w:rsidR="007371C6" w:rsidRPr="00F06E45" w:rsidRDefault="007371C6" w:rsidP="00F06E45">
            <w:pPr>
              <w:rPr>
                <w:rFonts w:ascii="Calibri" w:eastAsia="Calibri" w:hAnsi="Calibri" w:cs="Times New Roman"/>
                <w:sz w:val="16"/>
                <w:szCs w:val="16"/>
              </w:rPr>
            </w:pPr>
          </w:p>
        </w:tc>
        <w:tc>
          <w:tcPr>
            <w:tcW w:w="3243" w:type="dxa"/>
            <w:gridSpan w:val="2"/>
            <w:tcBorders>
              <w:top w:val="single" w:sz="18" w:space="0" w:color="1F4E79" w:themeColor="accent1" w:themeShade="80"/>
            </w:tcBorders>
          </w:tcPr>
          <w:p w14:paraId="2B8449D3" w14:textId="77777777" w:rsidR="007371C6" w:rsidRPr="00F06E45" w:rsidRDefault="007371C6" w:rsidP="00F06E45">
            <w:pPr>
              <w:rPr>
                <w:rFonts w:ascii="Calibri" w:eastAsia="Calibri" w:hAnsi="Calibri" w:cs="Times New Roman"/>
                <w:sz w:val="16"/>
                <w:szCs w:val="16"/>
              </w:rPr>
            </w:pPr>
          </w:p>
        </w:tc>
        <w:tc>
          <w:tcPr>
            <w:tcW w:w="3278" w:type="dxa"/>
            <w:tcBorders>
              <w:top w:val="single" w:sz="18" w:space="0" w:color="1F4E79" w:themeColor="accent1" w:themeShade="80"/>
            </w:tcBorders>
            <w:shd w:val="clear" w:color="auto" w:fill="auto"/>
          </w:tcPr>
          <w:p w14:paraId="0D10DD20" w14:textId="77777777" w:rsidR="007371C6" w:rsidRPr="00F06E45" w:rsidRDefault="007371C6" w:rsidP="00F06E45">
            <w:pPr>
              <w:rPr>
                <w:rFonts w:ascii="Calibri" w:eastAsia="Calibri" w:hAnsi="Calibri" w:cs="Times New Roman"/>
                <w:sz w:val="16"/>
                <w:szCs w:val="16"/>
              </w:rPr>
            </w:pPr>
          </w:p>
        </w:tc>
      </w:tr>
    </w:tbl>
    <w:p w14:paraId="2380EA0A" w14:textId="77777777" w:rsidR="007371C6" w:rsidRPr="00F06E45" w:rsidRDefault="007371C6" w:rsidP="00F06E45">
      <w:pPr>
        <w:spacing w:after="200" w:line="276" w:lineRule="auto"/>
        <w:rPr>
          <w:rFonts w:ascii="Times New Roman" w:eastAsia="Calibri" w:hAnsi="Times New Roman" w:cs="Times New Roman"/>
          <w:b/>
        </w:rPr>
      </w:pPr>
    </w:p>
    <w:p w14:paraId="239F4778" w14:textId="77777777" w:rsidR="007371C6" w:rsidRPr="00F06E45" w:rsidRDefault="007371C6" w:rsidP="00F06E45">
      <w:pPr>
        <w:spacing w:after="0" w:line="240" w:lineRule="auto"/>
        <w:rPr>
          <w:rFonts w:ascii="Calibri" w:eastAsia="Calibri" w:hAnsi="Calibri" w:cs="Times New Roman"/>
          <w:sz w:val="44"/>
          <w:szCs w:val="44"/>
        </w:rPr>
        <w:sectPr w:rsidR="007371C6" w:rsidRPr="00F06E45" w:rsidSect="000F71F5">
          <w:pgSz w:w="16838" w:h="11906" w:orient="landscape"/>
          <w:pgMar w:top="0" w:right="678" w:bottom="709" w:left="567" w:header="708" w:footer="173" w:gutter="0"/>
          <w:cols w:space="708"/>
          <w:titlePg/>
          <w:docGrid w:linePitch="360"/>
        </w:sectPr>
      </w:pPr>
      <w:r w:rsidRPr="00F06E45">
        <w:rPr>
          <w:rFonts w:ascii="Calibri" w:eastAsia="Calibri" w:hAnsi="Calibri" w:cs="Times New Roman"/>
          <w:sz w:val="44"/>
          <w:szCs w:val="44"/>
        </w:rPr>
        <w:t xml:space="preserve">   </w:t>
      </w:r>
    </w:p>
    <w:p w14:paraId="30858529" w14:textId="77777777" w:rsidR="007371C6" w:rsidRPr="00F06E45" w:rsidRDefault="007371C6" w:rsidP="00F06E45">
      <w:pPr>
        <w:spacing w:after="200" w:line="276" w:lineRule="auto"/>
        <w:rPr>
          <w:rFonts w:ascii="Calibri" w:eastAsia="Calibri" w:hAnsi="Calibri" w:cs="Times New Roman"/>
          <w:sz w:val="44"/>
          <w:szCs w:val="44"/>
        </w:rPr>
      </w:pPr>
    </w:p>
    <w:p w14:paraId="0D524313" w14:textId="77777777" w:rsidR="002303C8" w:rsidRPr="00F06E45" w:rsidRDefault="002303C8" w:rsidP="00F06E45">
      <w:pPr>
        <w:spacing w:after="200" w:line="276" w:lineRule="auto"/>
        <w:rPr>
          <w:rFonts w:ascii="Calibri" w:eastAsia="Calibri" w:hAnsi="Calibri" w:cs="Times New Roman"/>
          <w:sz w:val="44"/>
          <w:szCs w:val="44"/>
        </w:rPr>
      </w:pPr>
    </w:p>
    <w:p w14:paraId="27E3E6D4" w14:textId="77777777" w:rsidR="002303C8" w:rsidRPr="00F06E45" w:rsidRDefault="002303C8" w:rsidP="00F06E45">
      <w:pPr>
        <w:spacing w:after="200" w:line="276" w:lineRule="auto"/>
        <w:rPr>
          <w:rFonts w:ascii="Calibri" w:eastAsia="Calibri" w:hAnsi="Calibri" w:cs="Times New Roman"/>
          <w:sz w:val="44"/>
          <w:szCs w:val="44"/>
        </w:rPr>
      </w:pPr>
    </w:p>
    <w:p w14:paraId="6D1B0BF5" w14:textId="77777777" w:rsidR="002303C8" w:rsidRPr="00F06E45" w:rsidRDefault="002303C8" w:rsidP="00F06E45">
      <w:pPr>
        <w:spacing w:after="200" w:line="276" w:lineRule="auto"/>
        <w:rPr>
          <w:rFonts w:ascii="Calibri" w:eastAsia="Calibri" w:hAnsi="Calibri" w:cs="Times New Roman"/>
          <w:sz w:val="44"/>
          <w:szCs w:val="44"/>
        </w:rPr>
      </w:pPr>
    </w:p>
    <w:p w14:paraId="41A6B801" w14:textId="77777777" w:rsidR="002303C8" w:rsidRPr="00F06E45" w:rsidRDefault="002303C8" w:rsidP="00F06E45">
      <w:pPr>
        <w:spacing w:after="200" w:line="276" w:lineRule="auto"/>
        <w:rPr>
          <w:rFonts w:ascii="Calibri" w:eastAsia="Calibri" w:hAnsi="Calibri" w:cs="Times New Roman"/>
          <w:sz w:val="44"/>
          <w:szCs w:val="44"/>
        </w:rPr>
      </w:pPr>
    </w:p>
    <w:p w14:paraId="33EDDDE6" w14:textId="77777777" w:rsidR="002303C8" w:rsidRPr="00F06E45" w:rsidRDefault="002303C8" w:rsidP="00F06E45">
      <w:pPr>
        <w:spacing w:after="200" w:line="276" w:lineRule="auto"/>
        <w:rPr>
          <w:rFonts w:ascii="Calibri" w:eastAsia="Calibri" w:hAnsi="Calibri" w:cs="Times New Roman"/>
          <w:sz w:val="44"/>
          <w:szCs w:val="44"/>
        </w:rPr>
      </w:pPr>
    </w:p>
    <w:p w14:paraId="47668ABC" w14:textId="77777777" w:rsidR="002303C8" w:rsidRPr="00F06E45" w:rsidRDefault="002303C8" w:rsidP="00F06E45">
      <w:pPr>
        <w:spacing w:after="200" w:line="276" w:lineRule="auto"/>
        <w:rPr>
          <w:rFonts w:ascii="Calibri" w:eastAsia="Calibri" w:hAnsi="Calibri" w:cs="Times New Roman"/>
          <w:sz w:val="44"/>
          <w:szCs w:val="44"/>
        </w:rPr>
      </w:pPr>
    </w:p>
    <w:p w14:paraId="43E52164" w14:textId="77777777" w:rsidR="002303C8" w:rsidRPr="00F06E45" w:rsidRDefault="002303C8" w:rsidP="00F06E45">
      <w:pPr>
        <w:spacing w:after="200" w:line="276" w:lineRule="auto"/>
        <w:rPr>
          <w:rFonts w:ascii="Calibri" w:eastAsia="Calibri" w:hAnsi="Calibri" w:cs="Times New Roman"/>
          <w:sz w:val="44"/>
          <w:szCs w:val="44"/>
        </w:rPr>
      </w:pPr>
    </w:p>
    <w:p w14:paraId="483EE407" w14:textId="77777777" w:rsidR="002303C8" w:rsidRPr="00F06E45" w:rsidRDefault="002303C8" w:rsidP="00F06E45">
      <w:pPr>
        <w:spacing w:after="200" w:line="276" w:lineRule="auto"/>
        <w:rPr>
          <w:rFonts w:ascii="Calibri" w:eastAsia="Calibri" w:hAnsi="Calibri" w:cs="Times New Roman"/>
          <w:sz w:val="44"/>
          <w:szCs w:val="44"/>
        </w:rPr>
      </w:pPr>
    </w:p>
    <w:p w14:paraId="2FBEAD32" w14:textId="77777777" w:rsidR="002303C8" w:rsidRPr="00F06E45" w:rsidRDefault="002303C8" w:rsidP="00F06E45">
      <w:pPr>
        <w:spacing w:after="200" w:line="276" w:lineRule="auto"/>
        <w:rPr>
          <w:rFonts w:ascii="Calibri" w:eastAsia="Calibri" w:hAnsi="Calibri" w:cs="Times New Roman"/>
          <w:sz w:val="44"/>
          <w:szCs w:val="44"/>
        </w:rPr>
      </w:pPr>
    </w:p>
    <w:p w14:paraId="41072A09" w14:textId="77777777" w:rsidR="007371C6" w:rsidRPr="00F06E45" w:rsidRDefault="007371C6" w:rsidP="00F06E45">
      <w:pPr>
        <w:tabs>
          <w:tab w:val="left" w:pos="2355"/>
        </w:tabs>
        <w:rPr>
          <w:rFonts w:ascii="Calibri" w:eastAsia="Calibri" w:hAnsi="Calibri" w:cs="Times New Roman"/>
          <w:sz w:val="44"/>
          <w:szCs w:val="44"/>
        </w:rPr>
      </w:pPr>
      <w:r w:rsidRPr="00F06E45">
        <w:rPr>
          <w:rFonts w:ascii="Calibri" w:eastAsia="Calibri" w:hAnsi="Calibri" w:cs="Times New Roman"/>
          <w:sz w:val="44"/>
          <w:szCs w:val="44"/>
        </w:rPr>
        <w:tab/>
      </w:r>
    </w:p>
    <w:p w14:paraId="4AE47110" w14:textId="77777777" w:rsidR="007371C6" w:rsidRPr="00F06E45" w:rsidRDefault="007371C6" w:rsidP="00F06E45">
      <w:pPr>
        <w:spacing w:after="0" w:line="240" w:lineRule="auto"/>
        <w:ind w:left="-108"/>
        <w:rPr>
          <w:rFonts w:ascii="Calibri" w:eastAsia="Calibri" w:hAnsi="Calibri" w:cs="Times New Roman"/>
          <w:sz w:val="44"/>
          <w:szCs w:val="44"/>
        </w:rPr>
      </w:pPr>
    </w:p>
    <w:p w14:paraId="38D24BD4" w14:textId="77777777" w:rsidR="007371C6" w:rsidRDefault="007371C6" w:rsidP="00F06E45">
      <w:pPr>
        <w:tabs>
          <w:tab w:val="left" w:pos="2355"/>
        </w:tabs>
        <w:rPr>
          <w:rFonts w:ascii="Calibri" w:eastAsia="Calibri" w:hAnsi="Calibri" w:cs="Times New Roman"/>
          <w:sz w:val="44"/>
          <w:szCs w:val="44"/>
        </w:rPr>
      </w:pPr>
      <w:r w:rsidRPr="00F06E45">
        <w:rPr>
          <w:rFonts w:ascii="Calibri" w:eastAsia="Calibri" w:hAnsi="Calibri" w:cs="Times New Roman"/>
          <w:noProof/>
          <w:sz w:val="44"/>
          <w:szCs w:val="44"/>
          <w:lang w:eastAsia="en-AU"/>
        </w:rPr>
        <w:drawing>
          <wp:anchor distT="0" distB="0" distL="114300" distR="114300" simplePos="0" relativeHeight="251661312" behindDoc="1" locked="0" layoutInCell="1" allowOverlap="1" wp14:anchorId="28B953A4" wp14:editId="68CA8162">
            <wp:simplePos x="0" y="0"/>
            <wp:positionH relativeFrom="margin">
              <wp:align>center</wp:align>
            </wp:positionH>
            <wp:positionV relativeFrom="margin">
              <wp:align>center</wp:align>
            </wp:positionV>
            <wp:extent cx="5111115" cy="2413635"/>
            <wp:effectExtent l="0" t="0" r="0" b="5715"/>
            <wp:wrapTight wrapText="bothSides">
              <wp:wrapPolygon edited="0">
                <wp:start x="0" y="0"/>
                <wp:lineTo x="0" y="21481"/>
                <wp:lineTo x="21495" y="21481"/>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C HR 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1115" cy="2413635"/>
                    </a:xfrm>
                    <a:prstGeom prst="rect">
                      <a:avLst/>
                    </a:prstGeom>
                  </pic:spPr>
                </pic:pic>
              </a:graphicData>
            </a:graphic>
            <wp14:sizeRelH relativeFrom="page">
              <wp14:pctWidth>0</wp14:pctWidth>
            </wp14:sizeRelH>
            <wp14:sizeRelV relativeFrom="page">
              <wp14:pctHeight>0</wp14:pctHeight>
            </wp14:sizeRelV>
          </wp:anchor>
        </w:drawing>
      </w:r>
    </w:p>
    <w:p w14:paraId="76B3D5C2" w14:textId="77777777" w:rsidR="007371C6" w:rsidRDefault="007371C6" w:rsidP="00F06E45">
      <w:pPr>
        <w:tabs>
          <w:tab w:val="left" w:pos="2355"/>
        </w:tabs>
        <w:rPr>
          <w:rFonts w:ascii="Calibri" w:eastAsia="Calibri" w:hAnsi="Calibri" w:cs="Times New Roman"/>
          <w:sz w:val="44"/>
          <w:szCs w:val="44"/>
        </w:rPr>
      </w:pPr>
    </w:p>
    <w:p w14:paraId="6C1C7A32" w14:textId="77777777" w:rsidR="007371C6" w:rsidRDefault="007371C6" w:rsidP="00F06E45">
      <w:pPr>
        <w:tabs>
          <w:tab w:val="left" w:pos="2355"/>
        </w:tabs>
        <w:rPr>
          <w:rFonts w:ascii="Calibri" w:eastAsia="Calibri" w:hAnsi="Calibri" w:cs="Times New Roman"/>
          <w:sz w:val="44"/>
          <w:szCs w:val="44"/>
        </w:rPr>
      </w:pPr>
    </w:p>
    <w:p w14:paraId="1B88C0C9" w14:textId="77777777" w:rsidR="007371C6" w:rsidRDefault="007371C6" w:rsidP="00F06E45">
      <w:pPr>
        <w:tabs>
          <w:tab w:val="left" w:pos="2355"/>
        </w:tabs>
        <w:rPr>
          <w:rFonts w:ascii="Calibri" w:eastAsia="Calibri" w:hAnsi="Calibri" w:cs="Times New Roman"/>
          <w:sz w:val="44"/>
          <w:szCs w:val="44"/>
        </w:rPr>
      </w:pPr>
    </w:p>
    <w:p w14:paraId="685892CB" w14:textId="77777777" w:rsidR="007371C6" w:rsidRDefault="007371C6" w:rsidP="00F06E45">
      <w:pPr>
        <w:tabs>
          <w:tab w:val="left" w:pos="2355"/>
        </w:tabs>
        <w:rPr>
          <w:rFonts w:ascii="Calibri" w:eastAsia="Calibri" w:hAnsi="Calibri" w:cs="Times New Roman"/>
          <w:sz w:val="44"/>
          <w:szCs w:val="44"/>
        </w:rPr>
      </w:pPr>
    </w:p>
    <w:p w14:paraId="2904634B" w14:textId="77777777" w:rsidR="007371C6" w:rsidRDefault="007371C6" w:rsidP="00F06E45">
      <w:pPr>
        <w:tabs>
          <w:tab w:val="left" w:pos="2355"/>
        </w:tabs>
        <w:rPr>
          <w:rFonts w:ascii="Calibri" w:eastAsia="Calibri" w:hAnsi="Calibri" w:cs="Times New Roman"/>
          <w:sz w:val="44"/>
          <w:szCs w:val="44"/>
        </w:rPr>
      </w:pPr>
    </w:p>
    <w:p w14:paraId="2861FD27" w14:textId="77777777" w:rsidR="007371C6" w:rsidRDefault="007371C6" w:rsidP="00F06E45">
      <w:pPr>
        <w:tabs>
          <w:tab w:val="left" w:pos="2355"/>
        </w:tabs>
        <w:rPr>
          <w:rFonts w:ascii="Calibri" w:eastAsia="Calibri" w:hAnsi="Calibri" w:cs="Times New Roman"/>
          <w:sz w:val="44"/>
          <w:szCs w:val="44"/>
        </w:rPr>
      </w:pPr>
    </w:p>
    <w:p w14:paraId="523990E4" w14:textId="77777777" w:rsidR="007371C6" w:rsidRDefault="007371C6" w:rsidP="00F06E45">
      <w:pPr>
        <w:tabs>
          <w:tab w:val="left" w:pos="2355"/>
        </w:tabs>
        <w:rPr>
          <w:rFonts w:ascii="Calibri" w:eastAsia="Calibri" w:hAnsi="Calibri" w:cs="Times New Roman"/>
          <w:sz w:val="44"/>
          <w:szCs w:val="44"/>
        </w:rPr>
      </w:pPr>
    </w:p>
    <w:p w14:paraId="05785EDC" w14:textId="77777777" w:rsidR="007371C6" w:rsidRDefault="007371C6" w:rsidP="00F06E45">
      <w:pPr>
        <w:spacing w:after="200" w:line="276" w:lineRule="auto"/>
      </w:pPr>
    </w:p>
    <w:p w14:paraId="75DBE434" w14:textId="77777777" w:rsidR="008D2064" w:rsidRDefault="008D2064" w:rsidP="00F06E45">
      <w:pPr>
        <w:spacing w:after="200" w:line="276" w:lineRule="auto"/>
      </w:pPr>
    </w:p>
    <w:sectPr w:rsidR="008D2064" w:rsidSect="000F71F5">
      <w:footerReference w:type="default" r:id="rId4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2CF77" w14:textId="77777777" w:rsidR="003E7804" w:rsidRDefault="003E7804">
      <w:pPr>
        <w:spacing w:after="0" w:line="240" w:lineRule="auto"/>
      </w:pPr>
      <w:r>
        <w:separator/>
      </w:r>
    </w:p>
  </w:endnote>
  <w:endnote w:type="continuationSeparator" w:id="0">
    <w:p w14:paraId="24B36312" w14:textId="77777777" w:rsidR="003E7804" w:rsidRDefault="003E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genda-Medium">
    <w:panose1 w:val="00000000000000000000"/>
    <w:charset w:val="00"/>
    <w:family w:val="swiss"/>
    <w:notTrueType/>
    <w:pitch w:val="default"/>
    <w:sig w:usb0="00000003" w:usb1="00000000" w:usb2="00000000" w:usb3="00000000" w:csb0="00000001" w:csb1="00000000"/>
  </w:font>
  <w:font w:name="Agenda-Light">
    <w:panose1 w:val="00000000000000000000"/>
    <w:charset w:val="00"/>
    <w:family w:val="swiss"/>
    <w:notTrueType/>
    <w:pitch w:val="default"/>
    <w:sig w:usb0="00000003" w:usb1="00000000" w:usb2="00000000" w:usb3="00000000" w:csb0="00000001" w:csb1="00000000"/>
  </w:font>
  <w:font w:name="Agenda-Bold">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6C29" w14:textId="77777777" w:rsidR="008D2064" w:rsidRPr="001200B5" w:rsidRDefault="008D2064" w:rsidP="00623FF7">
    <w:pPr>
      <w:pStyle w:val="Footer1"/>
      <w:tabs>
        <w:tab w:val="clear" w:pos="4513"/>
        <w:tab w:val="clear" w:pos="9026"/>
        <w:tab w:val="left" w:pos="950"/>
      </w:tabs>
      <w:rPr>
        <w:sz w:val="18"/>
        <w:szCs w:val="18"/>
      </w:rPr>
    </w:pP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32460029"/>
      <w:docPartObj>
        <w:docPartGallery w:val="Page Numbers (Bottom of Page)"/>
        <w:docPartUnique/>
      </w:docPartObj>
    </w:sdtPr>
    <w:sdtEndPr>
      <w:rPr>
        <w:noProof/>
        <w:color w:val="808080" w:themeColor="background1" w:themeShade="80"/>
      </w:rPr>
    </w:sdtEndPr>
    <w:sdtContent>
      <w:p w14:paraId="28DEFB56" w14:textId="77777777" w:rsidR="008D2064" w:rsidRPr="00152DED" w:rsidRDefault="008D2064">
        <w:pPr>
          <w:pStyle w:val="Footer"/>
          <w:rPr>
            <w:color w:val="808080" w:themeColor="background1" w:themeShade="80"/>
            <w:sz w:val="18"/>
            <w:szCs w:val="18"/>
          </w:rPr>
        </w:pPr>
        <w:r w:rsidRPr="00152DED">
          <w:rPr>
            <w:color w:val="808080" w:themeColor="background1" w:themeShade="80"/>
            <w:sz w:val="18"/>
            <w:szCs w:val="18"/>
          </w:rPr>
          <w:t xml:space="preserve">Page | </w:t>
        </w:r>
        <w:r w:rsidRPr="00152DED">
          <w:rPr>
            <w:color w:val="808080" w:themeColor="background1" w:themeShade="80"/>
            <w:sz w:val="18"/>
            <w:szCs w:val="18"/>
          </w:rPr>
          <w:fldChar w:fldCharType="begin"/>
        </w:r>
        <w:r w:rsidRPr="00152DED">
          <w:rPr>
            <w:color w:val="808080" w:themeColor="background1" w:themeShade="80"/>
            <w:sz w:val="18"/>
            <w:szCs w:val="18"/>
          </w:rPr>
          <w:instrText xml:space="preserve"> PAGE   \* MERGEFORMAT </w:instrText>
        </w:r>
        <w:r w:rsidRPr="00152DED">
          <w:rPr>
            <w:color w:val="808080" w:themeColor="background1" w:themeShade="80"/>
            <w:sz w:val="18"/>
            <w:szCs w:val="18"/>
          </w:rPr>
          <w:fldChar w:fldCharType="separate"/>
        </w:r>
        <w:r w:rsidR="008B4EE1">
          <w:rPr>
            <w:noProof/>
            <w:color w:val="808080" w:themeColor="background1" w:themeShade="80"/>
            <w:sz w:val="18"/>
            <w:szCs w:val="18"/>
          </w:rPr>
          <w:t>2</w:t>
        </w:r>
        <w:r w:rsidRPr="00152DED">
          <w:rPr>
            <w:noProof/>
            <w:color w:val="808080" w:themeColor="background1" w:themeShade="80"/>
            <w:sz w:val="18"/>
            <w:szCs w:val="18"/>
          </w:rPr>
          <w:fldChar w:fldCharType="end"/>
        </w:r>
        <w:r w:rsidRPr="00152DED">
          <w:rPr>
            <w:noProof/>
            <w:color w:val="808080" w:themeColor="background1" w:themeShade="80"/>
            <w:sz w:val="18"/>
            <w:szCs w:val="18"/>
          </w:rPr>
          <w:t xml:space="preserve">                                                                                                                                                                                                                                                                Bundaberg Regional Council 2015 – 2016 1st Quarter Report</w:t>
        </w:r>
      </w:p>
    </w:sdtContent>
  </w:sdt>
  <w:p w14:paraId="0D5CCFFD" w14:textId="77777777" w:rsidR="008D2064" w:rsidRPr="00152DED" w:rsidRDefault="008D2064">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D5C" w14:textId="77777777" w:rsidR="008D2064" w:rsidRPr="001200B5" w:rsidRDefault="008D2064" w:rsidP="00623FF7">
    <w:pPr>
      <w:pStyle w:val="Footer1"/>
      <w:tabs>
        <w:tab w:val="clear" w:pos="4513"/>
        <w:tab w:val="clear" w:pos="9026"/>
        <w:tab w:val="left" w:pos="950"/>
      </w:tabs>
      <w:rPr>
        <w:sz w:val="18"/>
        <w:szCs w:val="18"/>
      </w:rPr>
    </w:pPr>
    <w:r>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038B" w14:textId="77777777" w:rsidR="008D2064" w:rsidRPr="001200B5" w:rsidRDefault="008D2064" w:rsidP="00623FF7">
    <w:pPr>
      <w:pStyle w:val="Footer1"/>
      <w:tabs>
        <w:tab w:val="clear" w:pos="4513"/>
        <w:tab w:val="clear" w:pos="9026"/>
        <w:tab w:val="left" w:pos="950"/>
      </w:tabs>
      <w:rPr>
        <w:sz w:val="18"/>
        <w:szCs w:val="18"/>
      </w:rPr>
    </w:pPr>
    <w:r>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3F622" w14:textId="77777777" w:rsidR="008D2064" w:rsidRPr="001200B5" w:rsidRDefault="008D2064" w:rsidP="00623FF7">
    <w:pPr>
      <w:pStyle w:val="Footer1"/>
      <w:tabs>
        <w:tab w:val="clear" w:pos="4513"/>
        <w:tab w:val="clear" w:pos="9026"/>
        <w:tab w:val="left" w:pos="950"/>
      </w:tabs>
      <w:rPr>
        <w:sz w:val="18"/>
        <w:szCs w:val="18"/>
      </w:rP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E03A9" w14:textId="77777777" w:rsidR="003E7804" w:rsidRDefault="003E7804">
      <w:pPr>
        <w:spacing w:after="0" w:line="240" w:lineRule="auto"/>
      </w:pPr>
      <w:r>
        <w:separator/>
      </w:r>
    </w:p>
  </w:footnote>
  <w:footnote w:type="continuationSeparator" w:id="0">
    <w:p w14:paraId="66B8D754" w14:textId="77777777" w:rsidR="003E7804" w:rsidRDefault="003E78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7DE"/>
    <w:rsid w:val="00015411"/>
    <w:rsid w:val="00017DD8"/>
    <w:rsid w:val="0002620C"/>
    <w:rsid w:val="00032A19"/>
    <w:rsid w:val="00063500"/>
    <w:rsid w:val="00065576"/>
    <w:rsid w:val="00073D1D"/>
    <w:rsid w:val="00083467"/>
    <w:rsid w:val="000C65B6"/>
    <w:rsid w:val="000D0462"/>
    <w:rsid w:val="000E1905"/>
    <w:rsid w:val="000E24F9"/>
    <w:rsid w:val="000E458D"/>
    <w:rsid w:val="000F3234"/>
    <w:rsid w:val="000F71F5"/>
    <w:rsid w:val="001050DF"/>
    <w:rsid w:val="00122ED2"/>
    <w:rsid w:val="001346D3"/>
    <w:rsid w:val="001365BC"/>
    <w:rsid w:val="00152DED"/>
    <w:rsid w:val="0016278B"/>
    <w:rsid w:val="00185D56"/>
    <w:rsid w:val="001906F3"/>
    <w:rsid w:val="001C3E40"/>
    <w:rsid w:val="001D5B26"/>
    <w:rsid w:val="001D798D"/>
    <w:rsid w:val="001E4434"/>
    <w:rsid w:val="002030FB"/>
    <w:rsid w:val="002260D2"/>
    <w:rsid w:val="002303C8"/>
    <w:rsid w:val="002322A0"/>
    <w:rsid w:val="0023297C"/>
    <w:rsid w:val="002557D1"/>
    <w:rsid w:val="0027303E"/>
    <w:rsid w:val="00275E79"/>
    <w:rsid w:val="00280FE6"/>
    <w:rsid w:val="00282351"/>
    <w:rsid w:val="002855F5"/>
    <w:rsid w:val="002962A5"/>
    <w:rsid w:val="002A0F1B"/>
    <w:rsid w:val="002B0519"/>
    <w:rsid w:val="002B0B45"/>
    <w:rsid w:val="002B2915"/>
    <w:rsid w:val="002B3566"/>
    <w:rsid w:val="00307BA3"/>
    <w:rsid w:val="003152C6"/>
    <w:rsid w:val="00331EA0"/>
    <w:rsid w:val="00337F9E"/>
    <w:rsid w:val="00351B46"/>
    <w:rsid w:val="00361AFE"/>
    <w:rsid w:val="003673D8"/>
    <w:rsid w:val="00376678"/>
    <w:rsid w:val="0038624F"/>
    <w:rsid w:val="00395A74"/>
    <w:rsid w:val="003A56D2"/>
    <w:rsid w:val="003B49BB"/>
    <w:rsid w:val="003C7290"/>
    <w:rsid w:val="003D5E69"/>
    <w:rsid w:val="003E7804"/>
    <w:rsid w:val="00410107"/>
    <w:rsid w:val="00410E72"/>
    <w:rsid w:val="00417F8A"/>
    <w:rsid w:val="004321A5"/>
    <w:rsid w:val="004337DE"/>
    <w:rsid w:val="00461C4F"/>
    <w:rsid w:val="00463BFC"/>
    <w:rsid w:val="00471032"/>
    <w:rsid w:val="0047338D"/>
    <w:rsid w:val="00475328"/>
    <w:rsid w:val="00485C54"/>
    <w:rsid w:val="00493086"/>
    <w:rsid w:val="004A3D39"/>
    <w:rsid w:val="004B2BF8"/>
    <w:rsid w:val="004C2365"/>
    <w:rsid w:val="004D4049"/>
    <w:rsid w:val="004E6560"/>
    <w:rsid w:val="004F470B"/>
    <w:rsid w:val="00500834"/>
    <w:rsid w:val="005040A1"/>
    <w:rsid w:val="005051A6"/>
    <w:rsid w:val="005127D8"/>
    <w:rsid w:val="00525D16"/>
    <w:rsid w:val="005267B0"/>
    <w:rsid w:val="0053510A"/>
    <w:rsid w:val="005377C8"/>
    <w:rsid w:val="00562C4B"/>
    <w:rsid w:val="00564B4A"/>
    <w:rsid w:val="00566B21"/>
    <w:rsid w:val="00571C6A"/>
    <w:rsid w:val="00576E78"/>
    <w:rsid w:val="005828D0"/>
    <w:rsid w:val="0058596A"/>
    <w:rsid w:val="005859FB"/>
    <w:rsid w:val="005B14AE"/>
    <w:rsid w:val="005C1F78"/>
    <w:rsid w:val="005C5C1F"/>
    <w:rsid w:val="005E5CDB"/>
    <w:rsid w:val="005F42B9"/>
    <w:rsid w:val="00603B9A"/>
    <w:rsid w:val="00622DF1"/>
    <w:rsid w:val="00623FF7"/>
    <w:rsid w:val="00645065"/>
    <w:rsid w:val="00647869"/>
    <w:rsid w:val="00650929"/>
    <w:rsid w:val="00697BC6"/>
    <w:rsid w:val="006A0452"/>
    <w:rsid w:val="006B3B27"/>
    <w:rsid w:val="006B69FB"/>
    <w:rsid w:val="006C0229"/>
    <w:rsid w:val="006C64B5"/>
    <w:rsid w:val="006D4612"/>
    <w:rsid w:val="006E51DC"/>
    <w:rsid w:val="006E7742"/>
    <w:rsid w:val="006F496F"/>
    <w:rsid w:val="00705B37"/>
    <w:rsid w:val="00705F35"/>
    <w:rsid w:val="00715A31"/>
    <w:rsid w:val="00717E01"/>
    <w:rsid w:val="00730991"/>
    <w:rsid w:val="007371C6"/>
    <w:rsid w:val="00740F15"/>
    <w:rsid w:val="007436DA"/>
    <w:rsid w:val="00746823"/>
    <w:rsid w:val="00752CB5"/>
    <w:rsid w:val="00760225"/>
    <w:rsid w:val="00771EE0"/>
    <w:rsid w:val="007730F0"/>
    <w:rsid w:val="00786AE8"/>
    <w:rsid w:val="00794701"/>
    <w:rsid w:val="007A2BD1"/>
    <w:rsid w:val="007A31EA"/>
    <w:rsid w:val="007B6350"/>
    <w:rsid w:val="007C5358"/>
    <w:rsid w:val="007C5918"/>
    <w:rsid w:val="007E0FB1"/>
    <w:rsid w:val="007E6E71"/>
    <w:rsid w:val="007E7222"/>
    <w:rsid w:val="007F36DE"/>
    <w:rsid w:val="0080125B"/>
    <w:rsid w:val="00805CE5"/>
    <w:rsid w:val="00806EE3"/>
    <w:rsid w:val="00807BED"/>
    <w:rsid w:val="00827B02"/>
    <w:rsid w:val="008335B2"/>
    <w:rsid w:val="008350BD"/>
    <w:rsid w:val="00850257"/>
    <w:rsid w:val="00851D3B"/>
    <w:rsid w:val="00856619"/>
    <w:rsid w:val="00863208"/>
    <w:rsid w:val="00876F01"/>
    <w:rsid w:val="00893350"/>
    <w:rsid w:val="008B00F8"/>
    <w:rsid w:val="008B4EE1"/>
    <w:rsid w:val="008C23F2"/>
    <w:rsid w:val="008C411A"/>
    <w:rsid w:val="008C45F3"/>
    <w:rsid w:val="008C551A"/>
    <w:rsid w:val="008C69AD"/>
    <w:rsid w:val="008D2064"/>
    <w:rsid w:val="008D3ED1"/>
    <w:rsid w:val="008D46A0"/>
    <w:rsid w:val="008D4790"/>
    <w:rsid w:val="008F4B59"/>
    <w:rsid w:val="008F6A22"/>
    <w:rsid w:val="00910622"/>
    <w:rsid w:val="009113A2"/>
    <w:rsid w:val="009162FE"/>
    <w:rsid w:val="00942504"/>
    <w:rsid w:val="00944C03"/>
    <w:rsid w:val="009467B8"/>
    <w:rsid w:val="009644C0"/>
    <w:rsid w:val="00967AAA"/>
    <w:rsid w:val="009A17F5"/>
    <w:rsid w:val="009B7023"/>
    <w:rsid w:val="009D570B"/>
    <w:rsid w:val="009E6115"/>
    <w:rsid w:val="009F44BC"/>
    <w:rsid w:val="00A00AFF"/>
    <w:rsid w:val="00A03E3C"/>
    <w:rsid w:val="00A07E27"/>
    <w:rsid w:val="00A2309E"/>
    <w:rsid w:val="00A374BA"/>
    <w:rsid w:val="00A40CA7"/>
    <w:rsid w:val="00A55A77"/>
    <w:rsid w:val="00A7572C"/>
    <w:rsid w:val="00A87285"/>
    <w:rsid w:val="00A9004C"/>
    <w:rsid w:val="00A96664"/>
    <w:rsid w:val="00AA1B31"/>
    <w:rsid w:val="00AC204D"/>
    <w:rsid w:val="00AC4553"/>
    <w:rsid w:val="00AC6DDD"/>
    <w:rsid w:val="00AF3723"/>
    <w:rsid w:val="00AF734A"/>
    <w:rsid w:val="00B05E7B"/>
    <w:rsid w:val="00B30077"/>
    <w:rsid w:val="00B46382"/>
    <w:rsid w:val="00B4675B"/>
    <w:rsid w:val="00B47638"/>
    <w:rsid w:val="00B57CA5"/>
    <w:rsid w:val="00B85044"/>
    <w:rsid w:val="00B9123E"/>
    <w:rsid w:val="00B93189"/>
    <w:rsid w:val="00BB2DD2"/>
    <w:rsid w:val="00BC12A8"/>
    <w:rsid w:val="00BC5621"/>
    <w:rsid w:val="00BE1CA0"/>
    <w:rsid w:val="00BF0CE5"/>
    <w:rsid w:val="00BF2495"/>
    <w:rsid w:val="00C12CA3"/>
    <w:rsid w:val="00C17886"/>
    <w:rsid w:val="00C200E9"/>
    <w:rsid w:val="00C229F5"/>
    <w:rsid w:val="00C55E45"/>
    <w:rsid w:val="00C6115D"/>
    <w:rsid w:val="00C640B5"/>
    <w:rsid w:val="00C66C70"/>
    <w:rsid w:val="00C67AEE"/>
    <w:rsid w:val="00C843D6"/>
    <w:rsid w:val="00C933D0"/>
    <w:rsid w:val="00CA2119"/>
    <w:rsid w:val="00CA3915"/>
    <w:rsid w:val="00CD6CE8"/>
    <w:rsid w:val="00CE4C3B"/>
    <w:rsid w:val="00CE618E"/>
    <w:rsid w:val="00D05564"/>
    <w:rsid w:val="00D233F7"/>
    <w:rsid w:val="00D2715F"/>
    <w:rsid w:val="00D41752"/>
    <w:rsid w:val="00D4228F"/>
    <w:rsid w:val="00D570C5"/>
    <w:rsid w:val="00D66516"/>
    <w:rsid w:val="00D84752"/>
    <w:rsid w:val="00DB410E"/>
    <w:rsid w:val="00DB4D30"/>
    <w:rsid w:val="00DD05FE"/>
    <w:rsid w:val="00DE4835"/>
    <w:rsid w:val="00DF54A3"/>
    <w:rsid w:val="00E02993"/>
    <w:rsid w:val="00E03558"/>
    <w:rsid w:val="00E04024"/>
    <w:rsid w:val="00E1391E"/>
    <w:rsid w:val="00E16AA8"/>
    <w:rsid w:val="00E16F5B"/>
    <w:rsid w:val="00E22445"/>
    <w:rsid w:val="00E22CE1"/>
    <w:rsid w:val="00E32A3F"/>
    <w:rsid w:val="00E36550"/>
    <w:rsid w:val="00E424EC"/>
    <w:rsid w:val="00E50409"/>
    <w:rsid w:val="00E50774"/>
    <w:rsid w:val="00E53243"/>
    <w:rsid w:val="00E53E4D"/>
    <w:rsid w:val="00E54839"/>
    <w:rsid w:val="00E61A97"/>
    <w:rsid w:val="00E75148"/>
    <w:rsid w:val="00E8486E"/>
    <w:rsid w:val="00E93598"/>
    <w:rsid w:val="00E97006"/>
    <w:rsid w:val="00EA2D9D"/>
    <w:rsid w:val="00ED52CD"/>
    <w:rsid w:val="00F029D4"/>
    <w:rsid w:val="00F06E45"/>
    <w:rsid w:val="00F132A6"/>
    <w:rsid w:val="00F22D07"/>
    <w:rsid w:val="00F362AB"/>
    <w:rsid w:val="00F7484A"/>
    <w:rsid w:val="00F85B43"/>
    <w:rsid w:val="00F862B7"/>
    <w:rsid w:val="00FA58A6"/>
    <w:rsid w:val="00FC0F41"/>
    <w:rsid w:val="00FC422D"/>
    <w:rsid w:val="00FC790E"/>
    <w:rsid w:val="00FC7B1D"/>
    <w:rsid w:val="00FD13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6B0323"/>
  <w15:chartTrackingRefBased/>
  <w15:docId w15:val="{FF58076C-4685-440E-9FA4-180742F9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7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3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337DE"/>
  </w:style>
  <w:style w:type="table" w:customStyle="1" w:styleId="TableGrid1">
    <w:name w:val="Table Grid1"/>
    <w:basedOn w:val="TableNormal"/>
    <w:next w:val="TableGrid"/>
    <w:uiPriority w:val="59"/>
    <w:rsid w:val="00433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433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4337DE"/>
    <w:rPr>
      <w:rFonts w:ascii="Tahoma" w:hAnsi="Tahoma" w:cs="Tahoma"/>
      <w:sz w:val="16"/>
      <w:szCs w:val="16"/>
    </w:rPr>
  </w:style>
  <w:style w:type="paragraph" w:customStyle="1" w:styleId="NoSpacing1">
    <w:name w:val="No Spacing1"/>
    <w:next w:val="NoSpacing"/>
    <w:uiPriority w:val="1"/>
    <w:qFormat/>
    <w:rsid w:val="004337DE"/>
    <w:pPr>
      <w:spacing w:after="0" w:line="240" w:lineRule="auto"/>
    </w:pPr>
  </w:style>
  <w:style w:type="paragraph" w:customStyle="1" w:styleId="Header1">
    <w:name w:val="Header1"/>
    <w:basedOn w:val="Normal"/>
    <w:next w:val="Header"/>
    <w:link w:val="HeaderChar"/>
    <w:uiPriority w:val="99"/>
    <w:unhideWhenUsed/>
    <w:rsid w:val="004337DE"/>
    <w:pPr>
      <w:tabs>
        <w:tab w:val="center" w:pos="4513"/>
        <w:tab w:val="right" w:pos="9026"/>
      </w:tabs>
      <w:spacing w:after="0" w:line="240" w:lineRule="auto"/>
    </w:pPr>
  </w:style>
  <w:style w:type="character" w:customStyle="1" w:styleId="HeaderChar">
    <w:name w:val="Header Char"/>
    <w:basedOn w:val="DefaultParagraphFont"/>
    <w:link w:val="Header1"/>
    <w:uiPriority w:val="99"/>
    <w:rsid w:val="004337DE"/>
  </w:style>
  <w:style w:type="paragraph" w:customStyle="1" w:styleId="Footer1">
    <w:name w:val="Footer1"/>
    <w:basedOn w:val="Normal"/>
    <w:next w:val="Footer"/>
    <w:link w:val="FooterChar"/>
    <w:uiPriority w:val="99"/>
    <w:unhideWhenUsed/>
    <w:rsid w:val="004337DE"/>
    <w:pPr>
      <w:tabs>
        <w:tab w:val="center" w:pos="4513"/>
        <w:tab w:val="right" w:pos="9026"/>
      </w:tabs>
      <w:spacing w:after="0" w:line="240" w:lineRule="auto"/>
    </w:pPr>
  </w:style>
  <w:style w:type="character" w:customStyle="1" w:styleId="FooterChar">
    <w:name w:val="Footer Char"/>
    <w:basedOn w:val="DefaultParagraphFont"/>
    <w:link w:val="Footer1"/>
    <w:uiPriority w:val="99"/>
    <w:rsid w:val="004337DE"/>
  </w:style>
  <w:style w:type="paragraph" w:styleId="NormalWeb">
    <w:name w:val="Normal (Web)"/>
    <w:basedOn w:val="Normal"/>
    <w:uiPriority w:val="99"/>
    <w:unhideWhenUsed/>
    <w:rsid w:val="004337DE"/>
    <w:pPr>
      <w:spacing w:before="120" w:after="240"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1"/>
    <w:uiPriority w:val="99"/>
    <w:semiHidden/>
    <w:unhideWhenUsed/>
    <w:rsid w:val="004337D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337DE"/>
    <w:rPr>
      <w:rFonts w:ascii="Segoe UI" w:hAnsi="Segoe UI" w:cs="Segoe UI"/>
      <w:sz w:val="18"/>
      <w:szCs w:val="18"/>
    </w:rPr>
  </w:style>
  <w:style w:type="paragraph" w:styleId="NoSpacing">
    <w:name w:val="No Spacing"/>
    <w:link w:val="NoSpacingChar"/>
    <w:uiPriority w:val="1"/>
    <w:qFormat/>
    <w:rsid w:val="004337DE"/>
    <w:pPr>
      <w:spacing w:after="0" w:line="240" w:lineRule="auto"/>
    </w:pPr>
  </w:style>
  <w:style w:type="paragraph" w:styleId="Header">
    <w:name w:val="header"/>
    <w:basedOn w:val="Normal"/>
    <w:link w:val="HeaderChar1"/>
    <w:uiPriority w:val="99"/>
    <w:unhideWhenUsed/>
    <w:rsid w:val="004337DE"/>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4337DE"/>
  </w:style>
  <w:style w:type="paragraph" w:styleId="Footer">
    <w:name w:val="footer"/>
    <w:basedOn w:val="Normal"/>
    <w:link w:val="FooterChar1"/>
    <w:uiPriority w:val="99"/>
    <w:unhideWhenUsed/>
    <w:rsid w:val="004337DE"/>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4337DE"/>
  </w:style>
  <w:style w:type="paragraph" w:styleId="ListParagraph">
    <w:name w:val="List Paragraph"/>
    <w:basedOn w:val="Normal"/>
    <w:uiPriority w:val="34"/>
    <w:qFormat/>
    <w:rsid w:val="004337DE"/>
    <w:pPr>
      <w:ind w:left="720"/>
      <w:contextualSpacing/>
    </w:pPr>
  </w:style>
  <w:style w:type="character" w:customStyle="1" w:styleId="NoSpacingChar">
    <w:name w:val="No Spacing Char"/>
    <w:basedOn w:val="DefaultParagraphFont"/>
    <w:link w:val="NoSpacing"/>
    <w:uiPriority w:val="1"/>
    <w:rsid w:val="00433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1891">
      <w:bodyDiv w:val="1"/>
      <w:marLeft w:val="240"/>
      <w:marRight w:val="240"/>
      <w:marTop w:val="240"/>
      <w:marBottom w:val="240"/>
      <w:divBdr>
        <w:top w:val="none" w:sz="0" w:space="0" w:color="auto"/>
        <w:left w:val="none" w:sz="0" w:space="0" w:color="auto"/>
        <w:bottom w:val="none" w:sz="0" w:space="0" w:color="auto"/>
        <w:right w:val="none" w:sz="0" w:space="0" w:color="auto"/>
      </w:divBdr>
    </w:div>
    <w:div w:id="17701452">
      <w:bodyDiv w:val="1"/>
      <w:marLeft w:val="240"/>
      <w:marRight w:val="240"/>
      <w:marTop w:val="240"/>
      <w:marBottom w:val="240"/>
      <w:divBdr>
        <w:top w:val="none" w:sz="0" w:space="0" w:color="auto"/>
        <w:left w:val="none" w:sz="0" w:space="0" w:color="auto"/>
        <w:bottom w:val="none" w:sz="0" w:space="0" w:color="auto"/>
        <w:right w:val="none" w:sz="0" w:space="0" w:color="auto"/>
      </w:divBdr>
    </w:div>
    <w:div w:id="36853080">
      <w:bodyDiv w:val="1"/>
      <w:marLeft w:val="240"/>
      <w:marRight w:val="240"/>
      <w:marTop w:val="240"/>
      <w:marBottom w:val="240"/>
      <w:divBdr>
        <w:top w:val="none" w:sz="0" w:space="0" w:color="auto"/>
        <w:left w:val="none" w:sz="0" w:space="0" w:color="auto"/>
        <w:bottom w:val="none" w:sz="0" w:space="0" w:color="auto"/>
        <w:right w:val="none" w:sz="0" w:space="0" w:color="auto"/>
      </w:divBdr>
    </w:div>
    <w:div w:id="136069874">
      <w:bodyDiv w:val="1"/>
      <w:marLeft w:val="240"/>
      <w:marRight w:val="240"/>
      <w:marTop w:val="240"/>
      <w:marBottom w:val="240"/>
      <w:divBdr>
        <w:top w:val="none" w:sz="0" w:space="0" w:color="auto"/>
        <w:left w:val="none" w:sz="0" w:space="0" w:color="auto"/>
        <w:bottom w:val="none" w:sz="0" w:space="0" w:color="auto"/>
        <w:right w:val="none" w:sz="0" w:space="0" w:color="auto"/>
      </w:divBdr>
    </w:div>
    <w:div w:id="166336175">
      <w:bodyDiv w:val="1"/>
      <w:marLeft w:val="240"/>
      <w:marRight w:val="240"/>
      <w:marTop w:val="240"/>
      <w:marBottom w:val="240"/>
      <w:divBdr>
        <w:top w:val="none" w:sz="0" w:space="0" w:color="auto"/>
        <w:left w:val="none" w:sz="0" w:space="0" w:color="auto"/>
        <w:bottom w:val="none" w:sz="0" w:space="0" w:color="auto"/>
        <w:right w:val="none" w:sz="0" w:space="0" w:color="auto"/>
      </w:divBdr>
    </w:div>
    <w:div w:id="192571433">
      <w:bodyDiv w:val="1"/>
      <w:marLeft w:val="240"/>
      <w:marRight w:val="240"/>
      <w:marTop w:val="240"/>
      <w:marBottom w:val="240"/>
      <w:divBdr>
        <w:top w:val="none" w:sz="0" w:space="0" w:color="auto"/>
        <w:left w:val="none" w:sz="0" w:space="0" w:color="auto"/>
        <w:bottom w:val="none" w:sz="0" w:space="0" w:color="auto"/>
        <w:right w:val="none" w:sz="0" w:space="0" w:color="auto"/>
      </w:divBdr>
    </w:div>
    <w:div w:id="199364024">
      <w:bodyDiv w:val="1"/>
      <w:marLeft w:val="240"/>
      <w:marRight w:val="240"/>
      <w:marTop w:val="240"/>
      <w:marBottom w:val="240"/>
      <w:divBdr>
        <w:top w:val="none" w:sz="0" w:space="0" w:color="auto"/>
        <w:left w:val="none" w:sz="0" w:space="0" w:color="auto"/>
        <w:bottom w:val="none" w:sz="0" w:space="0" w:color="auto"/>
        <w:right w:val="none" w:sz="0" w:space="0" w:color="auto"/>
      </w:divBdr>
    </w:div>
    <w:div w:id="207569746">
      <w:bodyDiv w:val="1"/>
      <w:marLeft w:val="240"/>
      <w:marRight w:val="240"/>
      <w:marTop w:val="240"/>
      <w:marBottom w:val="240"/>
      <w:divBdr>
        <w:top w:val="none" w:sz="0" w:space="0" w:color="auto"/>
        <w:left w:val="none" w:sz="0" w:space="0" w:color="auto"/>
        <w:bottom w:val="none" w:sz="0" w:space="0" w:color="auto"/>
        <w:right w:val="none" w:sz="0" w:space="0" w:color="auto"/>
      </w:divBdr>
    </w:div>
    <w:div w:id="222374774">
      <w:bodyDiv w:val="1"/>
      <w:marLeft w:val="240"/>
      <w:marRight w:val="240"/>
      <w:marTop w:val="240"/>
      <w:marBottom w:val="240"/>
      <w:divBdr>
        <w:top w:val="none" w:sz="0" w:space="0" w:color="auto"/>
        <w:left w:val="none" w:sz="0" w:space="0" w:color="auto"/>
        <w:bottom w:val="none" w:sz="0" w:space="0" w:color="auto"/>
        <w:right w:val="none" w:sz="0" w:space="0" w:color="auto"/>
      </w:divBdr>
    </w:div>
    <w:div w:id="237402215">
      <w:bodyDiv w:val="1"/>
      <w:marLeft w:val="240"/>
      <w:marRight w:val="240"/>
      <w:marTop w:val="240"/>
      <w:marBottom w:val="240"/>
      <w:divBdr>
        <w:top w:val="none" w:sz="0" w:space="0" w:color="auto"/>
        <w:left w:val="none" w:sz="0" w:space="0" w:color="auto"/>
        <w:bottom w:val="none" w:sz="0" w:space="0" w:color="auto"/>
        <w:right w:val="none" w:sz="0" w:space="0" w:color="auto"/>
      </w:divBdr>
    </w:div>
    <w:div w:id="247614707">
      <w:bodyDiv w:val="1"/>
      <w:marLeft w:val="0"/>
      <w:marRight w:val="0"/>
      <w:marTop w:val="0"/>
      <w:marBottom w:val="0"/>
      <w:divBdr>
        <w:top w:val="none" w:sz="0" w:space="0" w:color="auto"/>
        <w:left w:val="none" w:sz="0" w:space="0" w:color="auto"/>
        <w:bottom w:val="none" w:sz="0" w:space="0" w:color="auto"/>
        <w:right w:val="none" w:sz="0" w:space="0" w:color="auto"/>
      </w:divBdr>
    </w:div>
    <w:div w:id="259068823">
      <w:bodyDiv w:val="1"/>
      <w:marLeft w:val="240"/>
      <w:marRight w:val="240"/>
      <w:marTop w:val="240"/>
      <w:marBottom w:val="240"/>
      <w:divBdr>
        <w:top w:val="none" w:sz="0" w:space="0" w:color="auto"/>
        <w:left w:val="none" w:sz="0" w:space="0" w:color="auto"/>
        <w:bottom w:val="none" w:sz="0" w:space="0" w:color="auto"/>
        <w:right w:val="none" w:sz="0" w:space="0" w:color="auto"/>
      </w:divBdr>
    </w:div>
    <w:div w:id="341786604">
      <w:bodyDiv w:val="1"/>
      <w:marLeft w:val="240"/>
      <w:marRight w:val="240"/>
      <w:marTop w:val="240"/>
      <w:marBottom w:val="240"/>
      <w:divBdr>
        <w:top w:val="none" w:sz="0" w:space="0" w:color="auto"/>
        <w:left w:val="none" w:sz="0" w:space="0" w:color="auto"/>
        <w:bottom w:val="none" w:sz="0" w:space="0" w:color="auto"/>
        <w:right w:val="none" w:sz="0" w:space="0" w:color="auto"/>
      </w:divBdr>
    </w:div>
    <w:div w:id="388381810">
      <w:bodyDiv w:val="1"/>
      <w:marLeft w:val="240"/>
      <w:marRight w:val="240"/>
      <w:marTop w:val="240"/>
      <w:marBottom w:val="240"/>
      <w:divBdr>
        <w:top w:val="none" w:sz="0" w:space="0" w:color="auto"/>
        <w:left w:val="none" w:sz="0" w:space="0" w:color="auto"/>
        <w:bottom w:val="none" w:sz="0" w:space="0" w:color="auto"/>
        <w:right w:val="none" w:sz="0" w:space="0" w:color="auto"/>
      </w:divBdr>
    </w:div>
    <w:div w:id="399527669">
      <w:bodyDiv w:val="1"/>
      <w:marLeft w:val="240"/>
      <w:marRight w:val="240"/>
      <w:marTop w:val="240"/>
      <w:marBottom w:val="240"/>
      <w:divBdr>
        <w:top w:val="none" w:sz="0" w:space="0" w:color="auto"/>
        <w:left w:val="none" w:sz="0" w:space="0" w:color="auto"/>
        <w:bottom w:val="none" w:sz="0" w:space="0" w:color="auto"/>
        <w:right w:val="none" w:sz="0" w:space="0" w:color="auto"/>
      </w:divBdr>
    </w:div>
    <w:div w:id="465050975">
      <w:bodyDiv w:val="1"/>
      <w:marLeft w:val="240"/>
      <w:marRight w:val="240"/>
      <w:marTop w:val="240"/>
      <w:marBottom w:val="240"/>
      <w:divBdr>
        <w:top w:val="none" w:sz="0" w:space="0" w:color="auto"/>
        <w:left w:val="none" w:sz="0" w:space="0" w:color="auto"/>
        <w:bottom w:val="none" w:sz="0" w:space="0" w:color="auto"/>
        <w:right w:val="none" w:sz="0" w:space="0" w:color="auto"/>
      </w:divBdr>
    </w:div>
    <w:div w:id="472991108">
      <w:bodyDiv w:val="1"/>
      <w:marLeft w:val="240"/>
      <w:marRight w:val="240"/>
      <w:marTop w:val="240"/>
      <w:marBottom w:val="240"/>
      <w:divBdr>
        <w:top w:val="none" w:sz="0" w:space="0" w:color="auto"/>
        <w:left w:val="none" w:sz="0" w:space="0" w:color="auto"/>
        <w:bottom w:val="none" w:sz="0" w:space="0" w:color="auto"/>
        <w:right w:val="none" w:sz="0" w:space="0" w:color="auto"/>
      </w:divBdr>
    </w:div>
    <w:div w:id="485978072">
      <w:bodyDiv w:val="1"/>
      <w:marLeft w:val="240"/>
      <w:marRight w:val="240"/>
      <w:marTop w:val="240"/>
      <w:marBottom w:val="240"/>
      <w:divBdr>
        <w:top w:val="none" w:sz="0" w:space="0" w:color="auto"/>
        <w:left w:val="none" w:sz="0" w:space="0" w:color="auto"/>
        <w:bottom w:val="none" w:sz="0" w:space="0" w:color="auto"/>
        <w:right w:val="none" w:sz="0" w:space="0" w:color="auto"/>
      </w:divBdr>
    </w:div>
    <w:div w:id="492331983">
      <w:bodyDiv w:val="1"/>
      <w:marLeft w:val="240"/>
      <w:marRight w:val="240"/>
      <w:marTop w:val="240"/>
      <w:marBottom w:val="240"/>
      <w:divBdr>
        <w:top w:val="none" w:sz="0" w:space="0" w:color="auto"/>
        <w:left w:val="none" w:sz="0" w:space="0" w:color="auto"/>
        <w:bottom w:val="none" w:sz="0" w:space="0" w:color="auto"/>
        <w:right w:val="none" w:sz="0" w:space="0" w:color="auto"/>
      </w:divBdr>
    </w:div>
    <w:div w:id="550114552">
      <w:bodyDiv w:val="1"/>
      <w:marLeft w:val="240"/>
      <w:marRight w:val="240"/>
      <w:marTop w:val="240"/>
      <w:marBottom w:val="240"/>
      <w:divBdr>
        <w:top w:val="none" w:sz="0" w:space="0" w:color="auto"/>
        <w:left w:val="none" w:sz="0" w:space="0" w:color="auto"/>
        <w:bottom w:val="none" w:sz="0" w:space="0" w:color="auto"/>
        <w:right w:val="none" w:sz="0" w:space="0" w:color="auto"/>
      </w:divBdr>
    </w:div>
    <w:div w:id="639727886">
      <w:bodyDiv w:val="1"/>
      <w:marLeft w:val="240"/>
      <w:marRight w:val="240"/>
      <w:marTop w:val="240"/>
      <w:marBottom w:val="240"/>
      <w:divBdr>
        <w:top w:val="none" w:sz="0" w:space="0" w:color="auto"/>
        <w:left w:val="none" w:sz="0" w:space="0" w:color="auto"/>
        <w:bottom w:val="none" w:sz="0" w:space="0" w:color="auto"/>
        <w:right w:val="none" w:sz="0" w:space="0" w:color="auto"/>
      </w:divBdr>
    </w:div>
    <w:div w:id="640961471">
      <w:bodyDiv w:val="1"/>
      <w:marLeft w:val="240"/>
      <w:marRight w:val="240"/>
      <w:marTop w:val="240"/>
      <w:marBottom w:val="240"/>
      <w:divBdr>
        <w:top w:val="none" w:sz="0" w:space="0" w:color="auto"/>
        <w:left w:val="none" w:sz="0" w:space="0" w:color="auto"/>
        <w:bottom w:val="none" w:sz="0" w:space="0" w:color="auto"/>
        <w:right w:val="none" w:sz="0" w:space="0" w:color="auto"/>
      </w:divBdr>
    </w:div>
    <w:div w:id="711921940">
      <w:bodyDiv w:val="1"/>
      <w:marLeft w:val="240"/>
      <w:marRight w:val="240"/>
      <w:marTop w:val="240"/>
      <w:marBottom w:val="240"/>
      <w:divBdr>
        <w:top w:val="none" w:sz="0" w:space="0" w:color="auto"/>
        <w:left w:val="none" w:sz="0" w:space="0" w:color="auto"/>
        <w:bottom w:val="none" w:sz="0" w:space="0" w:color="auto"/>
        <w:right w:val="none" w:sz="0" w:space="0" w:color="auto"/>
      </w:divBdr>
    </w:div>
    <w:div w:id="732313772">
      <w:bodyDiv w:val="1"/>
      <w:marLeft w:val="240"/>
      <w:marRight w:val="240"/>
      <w:marTop w:val="240"/>
      <w:marBottom w:val="240"/>
      <w:divBdr>
        <w:top w:val="none" w:sz="0" w:space="0" w:color="auto"/>
        <w:left w:val="none" w:sz="0" w:space="0" w:color="auto"/>
        <w:bottom w:val="none" w:sz="0" w:space="0" w:color="auto"/>
        <w:right w:val="none" w:sz="0" w:space="0" w:color="auto"/>
      </w:divBdr>
    </w:div>
    <w:div w:id="801003536">
      <w:bodyDiv w:val="1"/>
      <w:marLeft w:val="240"/>
      <w:marRight w:val="240"/>
      <w:marTop w:val="240"/>
      <w:marBottom w:val="240"/>
      <w:divBdr>
        <w:top w:val="none" w:sz="0" w:space="0" w:color="auto"/>
        <w:left w:val="none" w:sz="0" w:space="0" w:color="auto"/>
        <w:bottom w:val="none" w:sz="0" w:space="0" w:color="auto"/>
        <w:right w:val="none" w:sz="0" w:space="0" w:color="auto"/>
      </w:divBdr>
    </w:div>
    <w:div w:id="851721595">
      <w:bodyDiv w:val="1"/>
      <w:marLeft w:val="240"/>
      <w:marRight w:val="240"/>
      <w:marTop w:val="240"/>
      <w:marBottom w:val="240"/>
      <w:divBdr>
        <w:top w:val="none" w:sz="0" w:space="0" w:color="auto"/>
        <w:left w:val="none" w:sz="0" w:space="0" w:color="auto"/>
        <w:bottom w:val="none" w:sz="0" w:space="0" w:color="auto"/>
        <w:right w:val="none" w:sz="0" w:space="0" w:color="auto"/>
      </w:divBdr>
    </w:div>
    <w:div w:id="880283949">
      <w:bodyDiv w:val="1"/>
      <w:marLeft w:val="240"/>
      <w:marRight w:val="240"/>
      <w:marTop w:val="240"/>
      <w:marBottom w:val="240"/>
      <w:divBdr>
        <w:top w:val="none" w:sz="0" w:space="0" w:color="auto"/>
        <w:left w:val="none" w:sz="0" w:space="0" w:color="auto"/>
        <w:bottom w:val="none" w:sz="0" w:space="0" w:color="auto"/>
        <w:right w:val="none" w:sz="0" w:space="0" w:color="auto"/>
      </w:divBdr>
    </w:div>
    <w:div w:id="951740756">
      <w:bodyDiv w:val="1"/>
      <w:marLeft w:val="240"/>
      <w:marRight w:val="240"/>
      <w:marTop w:val="240"/>
      <w:marBottom w:val="240"/>
      <w:divBdr>
        <w:top w:val="none" w:sz="0" w:space="0" w:color="auto"/>
        <w:left w:val="none" w:sz="0" w:space="0" w:color="auto"/>
        <w:bottom w:val="none" w:sz="0" w:space="0" w:color="auto"/>
        <w:right w:val="none" w:sz="0" w:space="0" w:color="auto"/>
      </w:divBdr>
    </w:div>
    <w:div w:id="952908215">
      <w:bodyDiv w:val="1"/>
      <w:marLeft w:val="240"/>
      <w:marRight w:val="240"/>
      <w:marTop w:val="240"/>
      <w:marBottom w:val="240"/>
      <w:divBdr>
        <w:top w:val="none" w:sz="0" w:space="0" w:color="auto"/>
        <w:left w:val="none" w:sz="0" w:space="0" w:color="auto"/>
        <w:bottom w:val="none" w:sz="0" w:space="0" w:color="auto"/>
        <w:right w:val="none" w:sz="0" w:space="0" w:color="auto"/>
      </w:divBdr>
    </w:div>
    <w:div w:id="964389757">
      <w:bodyDiv w:val="1"/>
      <w:marLeft w:val="240"/>
      <w:marRight w:val="240"/>
      <w:marTop w:val="240"/>
      <w:marBottom w:val="240"/>
      <w:divBdr>
        <w:top w:val="none" w:sz="0" w:space="0" w:color="auto"/>
        <w:left w:val="none" w:sz="0" w:space="0" w:color="auto"/>
        <w:bottom w:val="none" w:sz="0" w:space="0" w:color="auto"/>
        <w:right w:val="none" w:sz="0" w:space="0" w:color="auto"/>
      </w:divBdr>
    </w:div>
    <w:div w:id="964500918">
      <w:bodyDiv w:val="1"/>
      <w:marLeft w:val="240"/>
      <w:marRight w:val="240"/>
      <w:marTop w:val="240"/>
      <w:marBottom w:val="240"/>
      <w:divBdr>
        <w:top w:val="none" w:sz="0" w:space="0" w:color="auto"/>
        <w:left w:val="none" w:sz="0" w:space="0" w:color="auto"/>
        <w:bottom w:val="none" w:sz="0" w:space="0" w:color="auto"/>
        <w:right w:val="none" w:sz="0" w:space="0" w:color="auto"/>
      </w:divBdr>
    </w:div>
    <w:div w:id="995232102">
      <w:bodyDiv w:val="1"/>
      <w:marLeft w:val="240"/>
      <w:marRight w:val="240"/>
      <w:marTop w:val="240"/>
      <w:marBottom w:val="240"/>
      <w:divBdr>
        <w:top w:val="none" w:sz="0" w:space="0" w:color="auto"/>
        <w:left w:val="none" w:sz="0" w:space="0" w:color="auto"/>
        <w:bottom w:val="none" w:sz="0" w:space="0" w:color="auto"/>
        <w:right w:val="none" w:sz="0" w:space="0" w:color="auto"/>
      </w:divBdr>
    </w:div>
    <w:div w:id="1015035616">
      <w:bodyDiv w:val="1"/>
      <w:marLeft w:val="240"/>
      <w:marRight w:val="240"/>
      <w:marTop w:val="240"/>
      <w:marBottom w:val="240"/>
      <w:divBdr>
        <w:top w:val="none" w:sz="0" w:space="0" w:color="auto"/>
        <w:left w:val="none" w:sz="0" w:space="0" w:color="auto"/>
        <w:bottom w:val="none" w:sz="0" w:space="0" w:color="auto"/>
        <w:right w:val="none" w:sz="0" w:space="0" w:color="auto"/>
      </w:divBdr>
    </w:div>
    <w:div w:id="1032150507">
      <w:bodyDiv w:val="1"/>
      <w:marLeft w:val="240"/>
      <w:marRight w:val="240"/>
      <w:marTop w:val="240"/>
      <w:marBottom w:val="240"/>
      <w:divBdr>
        <w:top w:val="none" w:sz="0" w:space="0" w:color="auto"/>
        <w:left w:val="none" w:sz="0" w:space="0" w:color="auto"/>
        <w:bottom w:val="none" w:sz="0" w:space="0" w:color="auto"/>
        <w:right w:val="none" w:sz="0" w:space="0" w:color="auto"/>
      </w:divBdr>
    </w:div>
    <w:div w:id="1048796418">
      <w:bodyDiv w:val="1"/>
      <w:marLeft w:val="240"/>
      <w:marRight w:val="240"/>
      <w:marTop w:val="240"/>
      <w:marBottom w:val="240"/>
      <w:divBdr>
        <w:top w:val="none" w:sz="0" w:space="0" w:color="auto"/>
        <w:left w:val="none" w:sz="0" w:space="0" w:color="auto"/>
        <w:bottom w:val="none" w:sz="0" w:space="0" w:color="auto"/>
        <w:right w:val="none" w:sz="0" w:space="0" w:color="auto"/>
      </w:divBdr>
    </w:div>
    <w:div w:id="1090542627">
      <w:bodyDiv w:val="1"/>
      <w:marLeft w:val="240"/>
      <w:marRight w:val="240"/>
      <w:marTop w:val="240"/>
      <w:marBottom w:val="240"/>
      <w:divBdr>
        <w:top w:val="none" w:sz="0" w:space="0" w:color="auto"/>
        <w:left w:val="none" w:sz="0" w:space="0" w:color="auto"/>
        <w:bottom w:val="none" w:sz="0" w:space="0" w:color="auto"/>
        <w:right w:val="none" w:sz="0" w:space="0" w:color="auto"/>
      </w:divBdr>
    </w:div>
    <w:div w:id="1092698686">
      <w:bodyDiv w:val="1"/>
      <w:marLeft w:val="240"/>
      <w:marRight w:val="240"/>
      <w:marTop w:val="240"/>
      <w:marBottom w:val="240"/>
      <w:divBdr>
        <w:top w:val="none" w:sz="0" w:space="0" w:color="auto"/>
        <w:left w:val="none" w:sz="0" w:space="0" w:color="auto"/>
        <w:bottom w:val="none" w:sz="0" w:space="0" w:color="auto"/>
        <w:right w:val="none" w:sz="0" w:space="0" w:color="auto"/>
      </w:divBdr>
    </w:div>
    <w:div w:id="1160775168">
      <w:bodyDiv w:val="1"/>
      <w:marLeft w:val="240"/>
      <w:marRight w:val="240"/>
      <w:marTop w:val="240"/>
      <w:marBottom w:val="240"/>
      <w:divBdr>
        <w:top w:val="none" w:sz="0" w:space="0" w:color="auto"/>
        <w:left w:val="none" w:sz="0" w:space="0" w:color="auto"/>
        <w:bottom w:val="none" w:sz="0" w:space="0" w:color="auto"/>
        <w:right w:val="none" w:sz="0" w:space="0" w:color="auto"/>
      </w:divBdr>
    </w:div>
    <w:div w:id="1215580599">
      <w:bodyDiv w:val="1"/>
      <w:marLeft w:val="0"/>
      <w:marRight w:val="0"/>
      <w:marTop w:val="0"/>
      <w:marBottom w:val="0"/>
      <w:divBdr>
        <w:top w:val="none" w:sz="0" w:space="0" w:color="auto"/>
        <w:left w:val="none" w:sz="0" w:space="0" w:color="auto"/>
        <w:bottom w:val="none" w:sz="0" w:space="0" w:color="auto"/>
        <w:right w:val="none" w:sz="0" w:space="0" w:color="auto"/>
      </w:divBdr>
    </w:div>
    <w:div w:id="1224947474">
      <w:bodyDiv w:val="1"/>
      <w:marLeft w:val="240"/>
      <w:marRight w:val="240"/>
      <w:marTop w:val="240"/>
      <w:marBottom w:val="240"/>
      <w:divBdr>
        <w:top w:val="none" w:sz="0" w:space="0" w:color="auto"/>
        <w:left w:val="none" w:sz="0" w:space="0" w:color="auto"/>
        <w:bottom w:val="none" w:sz="0" w:space="0" w:color="auto"/>
        <w:right w:val="none" w:sz="0" w:space="0" w:color="auto"/>
      </w:divBdr>
    </w:div>
    <w:div w:id="1249340184">
      <w:bodyDiv w:val="1"/>
      <w:marLeft w:val="240"/>
      <w:marRight w:val="240"/>
      <w:marTop w:val="240"/>
      <w:marBottom w:val="240"/>
      <w:divBdr>
        <w:top w:val="none" w:sz="0" w:space="0" w:color="auto"/>
        <w:left w:val="none" w:sz="0" w:space="0" w:color="auto"/>
        <w:bottom w:val="none" w:sz="0" w:space="0" w:color="auto"/>
        <w:right w:val="none" w:sz="0" w:space="0" w:color="auto"/>
      </w:divBdr>
    </w:div>
    <w:div w:id="1280523864">
      <w:bodyDiv w:val="1"/>
      <w:marLeft w:val="240"/>
      <w:marRight w:val="240"/>
      <w:marTop w:val="240"/>
      <w:marBottom w:val="240"/>
      <w:divBdr>
        <w:top w:val="none" w:sz="0" w:space="0" w:color="auto"/>
        <w:left w:val="none" w:sz="0" w:space="0" w:color="auto"/>
        <w:bottom w:val="none" w:sz="0" w:space="0" w:color="auto"/>
        <w:right w:val="none" w:sz="0" w:space="0" w:color="auto"/>
      </w:divBdr>
    </w:div>
    <w:div w:id="1296905803">
      <w:bodyDiv w:val="1"/>
      <w:marLeft w:val="0"/>
      <w:marRight w:val="0"/>
      <w:marTop w:val="0"/>
      <w:marBottom w:val="0"/>
      <w:divBdr>
        <w:top w:val="none" w:sz="0" w:space="0" w:color="auto"/>
        <w:left w:val="none" w:sz="0" w:space="0" w:color="auto"/>
        <w:bottom w:val="none" w:sz="0" w:space="0" w:color="auto"/>
        <w:right w:val="none" w:sz="0" w:space="0" w:color="auto"/>
      </w:divBdr>
      <w:divsChild>
        <w:div w:id="1129739704">
          <w:marLeft w:val="547"/>
          <w:marRight w:val="0"/>
          <w:marTop w:val="0"/>
          <w:marBottom w:val="0"/>
          <w:divBdr>
            <w:top w:val="none" w:sz="0" w:space="0" w:color="auto"/>
            <w:left w:val="none" w:sz="0" w:space="0" w:color="auto"/>
            <w:bottom w:val="none" w:sz="0" w:space="0" w:color="auto"/>
            <w:right w:val="none" w:sz="0" w:space="0" w:color="auto"/>
          </w:divBdr>
        </w:div>
      </w:divsChild>
    </w:div>
    <w:div w:id="1312560997">
      <w:bodyDiv w:val="1"/>
      <w:marLeft w:val="240"/>
      <w:marRight w:val="240"/>
      <w:marTop w:val="240"/>
      <w:marBottom w:val="240"/>
      <w:divBdr>
        <w:top w:val="none" w:sz="0" w:space="0" w:color="auto"/>
        <w:left w:val="none" w:sz="0" w:space="0" w:color="auto"/>
        <w:bottom w:val="none" w:sz="0" w:space="0" w:color="auto"/>
        <w:right w:val="none" w:sz="0" w:space="0" w:color="auto"/>
      </w:divBdr>
    </w:div>
    <w:div w:id="1325091560">
      <w:bodyDiv w:val="1"/>
      <w:marLeft w:val="240"/>
      <w:marRight w:val="240"/>
      <w:marTop w:val="240"/>
      <w:marBottom w:val="240"/>
      <w:divBdr>
        <w:top w:val="none" w:sz="0" w:space="0" w:color="auto"/>
        <w:left w:val="none" w:sz="0" w:space="0" w:color="auto"/>
        <w:bottom w:val="none" w:sz="0" w:space="0" w:color="auto"/>
        <w:right w:val="none" w:sz="0" w:space="0" w:color="auto"/>
      </w:divBdr>
    </w:div>
    <w:div w:id="1336879041">
      <w:bodyDiv w:val="1"/>
      <w:marLeft w:val="240"/>
      <w:marRight w:val="240"/>
      <w:marTop w:val="240"/>
      <w:marBottom w:val="240"/>
      <w:divBdr>
        <w:top w:val="none" w:sz="0" w:space="0" w:color="auto"/>
        <w:left w:val="none" w:sz="0" w:space="0" w:color="auto"/>
        <w:bottom w:val="none" w:sz="0" w:space="0" w:color="auto"/>
        <w:right w:val="none" w:sz="0" w:space="0" w:color="auto"/>
      </w:divBdr>
    </w:div>
    <w:div w:id="1560508875">
      <w:bodyDiv w:val="1"/>
      <w:marLeft w:val="240"/>
      <w:marRight w:val="240"/>
      <w:marTop w:val="240"/>
      <w:marBottom w:val="240"/>
      <w:divBdr>
        <w:top w:val="none" w:sz="0" w:space="0" w:color="auto"/>
        <w:left w:val="none" w:sz="0" w:space="0" w:color="auto"/>
        <w:bottom w:val="none" w:sz="0" w:space="0" w:color="auto"/>
        <w:right w:val="none" w:sz="0" w:space="0" w:color="auto"/>
      </w:divBdr>
    </w:div>
    <w:div w:id="1585995089">
      <w:bodyDiv w:val="1"/>
      <w:marLeft w:val="240"/>
      <w:marRight w:val="240"/>
      <w:marTop w:val="240"/>
      <w:marBottom w:val="240"/>
      <w:divBdr>
        <w:top w:val="none" w:sz="0" w:space="0" w:color="auto"/>
        <w:left w:val="none" w:sz="0" w:space="0" w:color="auto"/>
        <w:bottom w:val="none" w:sz="0" w:space="0" w:color="auto"/>
        <w:right w:val="none" w:sz="0" w:space="0" w:color="auto"/>
      </w:divBdr>
    </w:div>
    <w:div w:id="1611932622">
      <w:bodyDiv w:val="1"/>
      <w:marLeft w:val="0"/>
      <w:marRight w:val="0"/>
      <w:marTop w:val="0"/>
      <w:marBottom w:val="0"/>
      <w:divBdr>
        <w:top w:val="none" w:sz="0" w:space="0" w:color="auto"/>
        <w:left w:val="none" w:sz="0" w:space="0" w:color="auto"/>
        <w:bottom w:val="none" w:sz="0" w:space="0" w:color="auto"/>
        <w:right w:val="none" w:sz="0" w:space="0" w:color="auto"/>
      </w:divBdr>
    </w:div>
    <w:div w:id="1789162522">
      <w:bodyDiv w:val="1"/>
      <w:marLeft w:val="240"/>
      <w:marRight w:val="240"/>
      <w:marTop w:val="240"/>
      <w:marBottom w:val="240"/>
      <w:divBdr>
        <w:top w:val="none" w:sz="0" w:space="0" w:color="auto"/>
        <w:left w:val="none" w:sz="0" w:space="0" w:color="auto"/>
        <w:bottom w:val="none" w:sz="0" w:space="0" w:color="auto"/>
        <w:right w:val="none" w:sz="0" w:space="0" w:color="auto"/>
      </w:divBdr>
    </w:div>
    <w:div w:id="1845970331">
      <w:bodyDiv w:val="1"/>
      <w:marLeft w:val="240"/>
      <w:marRight w:val="240"/>
      <w:marTop w:val="240"/>
      <w:marBottom w:val="240"/>
      <w:divBdr>
        <w:top w:val="none" w:sz="0" w:space="0" w:color="auto"/>
        <w:left w:val="none" w:sz="0" w:space="0" w:color="auto"/>
        <w:bottom w:val="none" w:sz="0" w:space="0" w:color="auto"/>
        <w:right w:val="none" w:sz="0" w:space="0" w:color="auto"/>
      </w:divBdr>
    </w:div>
    <w:div w:id="1917013550">
      <w:bodyDiv w:val="1"/>
      <w:marLeft w:val="240"/>
      <w:marRight w:val="240"/>
      <w:marTop w:val="240"/>
      <w:marBottom w:val="240"/>
      <w:divBdr>
        <w:top w:val="none" w:sz="0" w:space="0" w:color="auto"/>
        <w:left w:val="none" w:sz="0" w:space="0" w:color="auto"/>
        <w:bottom w:val="none" w:sz="0" w:space="0" w:color="auto"/>
        <w:right w:val="none" w:sz="0" w:space="0" w:color="auto"/>
      </w:divBdr>
    </w:div>
    <w:div w:id="1919825625">
      <w:bodyDiv w:val="1"/>
      <w:marLeft w:val="0"/>
      <w:marRight w:val="0"/>
      <w:marTop w:val="0"/>
      <w:marBottom w:val="0"/>
      <w:divBdr>
        <w:top w:val="none" w:sz="0" w:space="0" w:color="auto"/>
        <w:left w:val="none" w:sz="0" w:space="0" w:color="auto"/>
        <w:bottom w:val="none" w:sz="0" w:space="0" w:color="auto"/>
        <w:right w:val="none" w:sz="0" w:space="0" w:color="auto"/>
      </w:divBdr>
    </w:div>
    <w:div w:id="1959526402">
      <w:bodyDiv w:val="1"/>
      <w:marLeft w:val="240"/>
      <w:marRight w:val="240"/>
      <w:marTop w:val="240"/>
      <w:marBottom w:val="240"/>
      <w:divBdr>
        <w:top w:val="none" w:sz="0" w:space="0" w:color="auto"/>
        <w:left w:val="none" w:sz="0" w:space="0" w:color="auto"/>
        <w:bottom w:val="none" w:sz="0" w:space="0" w:color="auto"/>
        <w:right w:val="none" w:sz="0" w:space="0" w:color="auto"/>
      </w:divBdr>
    </w:div>
    <w:div w:id="1970434344">
      <w:bodyDiv w:val="1"/>
      <w:marLeft w:val="240"/>
      <w:marRight w:val="240"/>
      <w:marTop w:val="240"/>
      <w:marBottom w:val="240"/>
      <w:divBdr>
        <w:top w:val="none" w:sz="0" w:space="0" w:color="auto"/>
        <w:left w:val="none" w:sz="0" w:space="0" w:color="auto"/>
        <w:bottom w:val="none" w:sz="0" w:space="0" w:color="auto"/>
        <w:right w:val="none" w:sz="0" w:space="0" w:color="auto"/>
      </w:divBdr>
    </w:div>
    <w:div w:id="2030137643">
      <w:bodyDiv w:val="1"/>
      <w:marLeft w:val="240"/>
      <w:marRight w:val="240"/>
      <w:marTop w:val="240"/>
      <w:marBottom w:val="240"/>
      <w:divBdr>
        <w:top w:val="none" w:sz="0" w:space="0" w:color="auto"/>
        <w:left w:val="none" w:sz="0" w:space="0" w:color="auto"/>
        <w:bottom w:val="none" w:sz="0" w:space="0" w:color="auto"/>
        <w:right w:val="none" w:sz="0" w:space="0" w:color="auto"/>
      </w:divBdr>
    </w:div>
    <w:div w:id="2045671918">
      <w:bodyDiv w:val="1"/>
      <w:marLeft w:val="0"/>
      <w:marRight w:val="0"/>
      <w:marTop w:val="0"/>
      <w:marBottom w:val="0"/>
      <w:divBdr>
        <w:top w:val="none" w:sz="0" w:space="0" w:color="auto"/>
        <w:left w:val="none" w:sz="0" w:space="0" w:color="auto"/>
        <w:bottom w:val="none" w:sz="0" w:space="0" w:color="auto"/>
        <w:right w:val="none" w:sz="0" w:space="0" w:color="auto"/>
      </w:divBdr>
    </w:div>
    <w:div w:id="2074237039">
      <w:bodyDiv w:val="1"/>
      <w:marLeft w:val="240"/>
      <w:marRight w:val="240"/>
      <w:marTop w:val="240"/>
      <w:marBottom w:val="240"/>
      <w:divBdr>
        <w:top w:val="none" w:sz="0" w:space="0" w:color="auto"/>
        <w:left w:val="none" w:sz="0" w:space="0" w:color="auto"/>
        <w:bottom w:val="none" w:sz="0" w:space="0" w:color="auto"/>
        <w:right w:val="none" w:sz="0" w:space="0" w:color="auto"/>
      </w:divBdr>
    </w:div>
    <w:div w:id="2094008350">
      <w:bodyDiv w:val="1"/>
      <w:marLeft w:val="240"/>
      <w:marRight w:val="240"/>
      <w:marTop w:val="240"/>
      <w:marBottom w:val="240"/>
      <w:divBdr>
        <w:top w:val="none" w:sz="0" w:space="0" w:color="auto"/>
        <w:left w:val="none" w:sz="0" w:space="0" w:color="auto"/>
        <w:bottom w:val="none" w:sz="0" w:space="0" w:color="auto"/>
        <w:right w:val="none" w:sz="0" w:space="0" w:color="auto"/>
      </w:divBdr>
    </w:div>
    <w:div w:id="2146389343">
      <w:bodyDiv w:val="1"/>
      <w:marLeft w:val="240"/>
      <w:marRight w:val="240"/>
      <w:marTop w:val="240"/>
      <w:marBottom w:val="24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diagramData" Target="diagrams/data3.xml"/><Relationship Id="rId39" Type="http://schemas.openxmlformats.org/officeDocument/2006/relationships/footer" Target="footer3.xml"/><Relationship Id="rId21" Type="http://schemas.openxmlformats.org/officeDocument/2006/relationships/diagramLayout" Target="diagrams/layout2.xml"/><Relationship Id="rId34" Type="http://schemas.openxmlformats.org/officeDocument/2006/relationships/image" Target="media/image11.png"/><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Data" Target="diagrams/data2.xml"/><Relationship Id="rId29" Type="http://schemas.openxmlformats.org/officeDocument/2006/relationships/diagramColors" Target="diagrams/colors3.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8B394D-A1B7-46C8-BD71-9ADFFF2D8995}"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AU"/>
        </a:p>
      </dgm:t>
    </dgm:pt>
    <dgm:pt modelId="{4077AD09-D340-43C0-83DF-52E9E99D46E5}">
      <dgm:prSet phldrT="[Text]"/>
      <dgm:spPr>
        <a:gradFill flip="none" rotWithShape="0">
          <a:gsLst>
            <a:gs pos="0">
              <a:srgbClr val="E86D28">
                <a:shade val="30000"/>
                <a:satMod val="115000"/>
              </a:srgbClr>
            </a:gs>
            <a:gs pos="50000">
              <a:srgbClr val="E86D28">
                <a:shade val="67500"/>
                <a:satMod val="115000"/>
              </a:srgbClr>
            </a:gs>
            <a:gs pos="100000">
              <a:srgbClr val="E86D28">
                <a:shade val="100000"/>
                <a:satMod val="115000"/>
              </a:srgbClr>
            </a:gs>
          </a:gsLst>
          <a:lin ang="10800000" scaled="1"/>
          <a:tileRect/>
        </a:gradFill>
      </dgm:spPr>
      <dgm:t>
        <a:bodyPr/>
        <a:lstStyle/>
        <a:p>
          <a:r>
            <a:rPr lang="en-AU"/>
            <a:t>Community </a:t>
          </a:r>
        </a:p>
      </dgm:t>
    </dgm:pt>
    <dgm:pt modelId="{9A7A29BB-E3DA-445D-8B4D-1A83198C850E}" type="parTrans" cxnId="{F9F5EC87-6BC3-4CB2-B7AE-83142A50F245}">
      <dgm:prSet/>
      <dgm:spPr/>
      <dgm:t>
        <a:bodyPr/>
        <a:lstStyle/>
        <a:p>
          <a:endParaRPr lang="en-AU"/>
        </a:p>
      </dgm:t>
    </dgm:pt>
    <dgm:pt modelId="{8CB42F9D-A925-4426-A32A-8F37BFB443E3}" type="sibTrans" cxnId="{F9F5EC87-6BC3-4CB2-B7AE-83142A50F245}">
      <dgm:prSet/>
      <dgm:spPr/>
      <dgm:t>
        <a:bodyPr/>
        <a:lstStyle/>
        <a:p>
          <a:endParaRPr lang="en-AU"/>
        </a:p>
      </dgm:t>
    </dgm:pt>
    <dgm:pt modelId="{8888102E-C4F0-43BB-B8DC-72C18792B24F}">
      <dgm:prSet phldrT="[Text]"/>
      <dgm:spPr>
        <a:gradFill flip="none" rotWithShape="0">
          <a:gsLst>
            <a:gs pos="0">
              <a:srgbClr val="4E9D39">
                <a:shade val="30000"/>
                <a:satMod val="115000"/>
              </a:srgbClr>
            </a:gs>
            <a:gs pos="50000">
              <a:srgbClr val="4E9D39">
                <a:shade val="67500"/>
                <a:satMod val="115000"/>
              </a:srgbClr>
            </a:gs>
            <a:gs pos="100000">
              <a:srgbClr val="4E9D39">
                <a:shade val="100000"/>
                <a:satMod val="115000"/>
              </a:srgbClr>
            </a:gs>
          </a:gsLst>
          <a:lin ang="0" scaled="1"/>
          <a:tileRect/>
        </a:gradFill>
      </dgm:spPr>
      <dgm:t>
        <a:bodyPr/>
        <a:lstStyle/>
        <a:p>
          <a:r>
            <a:rPr lang="en-AU"/>
            <a:t>Environment </a:t>
          </a:r>
        </a:p>
      </dgm:t>
    </dgm:pt>
    <dgm:pt modelId="{8E63CA64-1C96-45B0-A099-080B49EEACFA}" type="parTrans" cxnId="{ECA9304E-B1E3-4E2C-9BBB-DFD93101DCA9}">
      <dgm:prSet/>
      <dgm:spPr/>
      <dgm:t>
        <a:bodyPr/>
        <a:lstStyle/>
        <a:p>
          <a:endParaRPr lang="en-AU"/>
        </a:p>
      </dgm:t>
    </dgm:pt>
    <dgm:pt modelId="{64095D43-3531-4F79-BE36-146355711B40}" type="sibTrans" cxnId="{ECA9304E-B1E3-4E2C-9BBB-DFD93101DCA9}">
      <dgm:prSet/>
      <dgm:spPr/>
      <dgm:t>
        <a:bodyPr/>
        <a:lstStyle/>
        <a:p>
          <a:endParaRPr lang="en-AU"/>
        </a:p>
      </dgm:t>
    </dgm:pt>
    <dgm:pt modelId="{64773E15-F40E-4F62-BA3E-363052DF4ED0}">
      <dgm:prSet phldrT="[Text]"/>
      <dgm:spPr>
        <a:gradFill flip="none" rotWithShape="0">
          <a:gsLst>
            <a:gs pos="0">
              <a:srgbClr val="A62A2A">
                <a:shade val="30000"/>
                <a:satMod val="115000"/>
              </a:srgbClr>
            </a:gs>
            <a:gs pos="50000">
              <a:srgbClr val="A62A2A">
                <a:shade val="67500"/>
                <a:satMod val="115000"/>
              </a:srgbClr>
            </a:gs>
            <a:gs pos="100000">
              <a:srgbClr val="A62A2A">
                <a:shade val="100000"/>
                <a:satMod val="115000"/>
              </a:srgbClr>
            </a:gs>
          </a:gsLst>
          <a:lin ang="10800000" scaled="1"/>
          <a:tileRect/>
        </a:gradFill>
      </dgm:spPr>
      <dgm:t>
        <a:bodyPr/>
        <a:lstStyle/>
        <a:p>
          <a:r>
            <a:rPr lang="en-AU"/>
            <a:t>Economy </a:t>
          </a:r>
        </a:p>
      </dgm:t>
    </dgm:pt>
    <dgm:pt modelId="{BAE337E3-E7C3-4B4A-A938-5BB89B1965C1}" type="parTrans" cxnId="{C6884913-EA06-43AF-8A6B-DE627C4A5FDC}">
      <dgm:prSet/>
      <dgm:spPr/>
      <dgm:t>
        <a:bodyPr/>
        <a:lstStyle/>
        <a:p>
          <a:endParaRPr lang="en-AU"/>
        </a:p>
      </dgm:t>
    </dgm:pt>
    <dgm:pt modelId="{2939CF94-63B0-4523-8DF8-894C31FCE944}" type="sibTrans" cxnId="{C6884913-EA06-43AF-8A6B-DE627C4A5FDC}">
      <dgm:prSet/>
      <dgm:spPr/>
      <dgm:t>
        <a:bodyPr/>
        <a:lstStyle/>
        <a:p>
          <a:endParaRPr lang="en-AU"/>
        </a:p>
      </dgm:t>
    </dgm:pt>
    <dgm:pt modelId="{4230A295-FA4D-4E2D-A242-6F71C229425A}">
      <dgm:prSe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0" scaled="1"/>
          <a:tileRect/>
        </a:gradFill>
      </dgm:spPr>
      <dgm:t>
        <a:bodyPr/>
        <a:lstStyle/>
        <a:p>
          <a:r>
            <a:rPr lang="en-AU"/>
            <a:t>Governance </a:t>
          </a:r>
        </a:p>
      </dgm:t>
    </dgm:pt>
    <dgm:pt modelId="{8A224C78-2D91-4784-85BC-5E47E46DAA11}" type="parTrans" cxnId="{B83D90EA-528C-42BF-A53F-B12BB813A919}">
      <dgm:prSet/>
      <dgm:spPr/>
      <dgm:t>
        <a:bodyPr/>
        <a:lstStyle/>
        <a:p>
          <a:endParaRPr lang="en-AU"/>
        </a:p>
      </dgm:t>
    </dgm:pt>
    <dgm:pt modelId="{4F9C51A1-1666-4E91-A936-B8AEC972589C}" type="sibTrans" cxnId="{B83D90EA-528C-42BF-A53F-B12BB813A919}">
      <dgm:prSet/>
      <dgm:spPr/>
      <dgm:t>
        <a:bodyPr/>
        <a:lstStyle/>
        <a:p>
          <a:endParaRPr lang="en-AU"/>
        </a:p>
      </dgm:t>
    </dgm:pt>
    <dgm:pt modelId="{20CCCC03-B009-4DB1-81ED-E830D6F8360F}" type="pres">
      <dgm:prSet presAssocID="{908B394D-A1B7-46C8-BD71-9ADFFF2D8995}" presName="matrix" presStyleCnt="0">
        <dgm:presLayoutVars>
          <dgm:chMax val="1"/>
          <dgm:dir/>
          <dgm:resizeHandles val="exact"/>
        </dgm:presLayoutVars>
      </dgm:prSet>
      <dgm:spPr/>
    </dgm:pt>
    <dgm:pt modelId="{B1908977-41A0-4AFD-8BDD-FA9D8718E023}" type="pres">
      <dgm:prSet presAssocID="{908B394D-A1B7-46C8-BD71-9ADFFF2D8995}" presName="axisShape" presStyleLbl="bgShp" presStyleIdx="0" presStyleCnt="1"/>
      <dgm:spPr/>
    </dgm:pt>
    <dgm:pt modelId="{240202E6-B0D8-46B0-B3C7-C0F6F85ABCFA}" type="pres">
      <dgm:prSet presAssocID="{908B394D-A1B7-46C8-BD71-9ADFFF2D8995}" presName="rect1" presStyleLbl="node1" presStyleIdx="0" presStyleCnt="4">
        <dgm:presLayoutVars>
          <dgm:chMax val="0"/>
          <dgm:chPref val="0"/>
          <dgm:bulletEnabled val="1"/>
        </dgm:presLayoutVars>
      </dgm:prSet>
      <dgm:spPr/>
    </dgm:pt>
    <dgm:pt modelId="{4BB439FB-9479-40D6-A3CE-B243AAED2B60}" type="pres">
      <dgm:prSet presAssocID="{908B394D-A1B7-46C8-BD71-9ADFFF2D8995}" presName="rect2" presStyleLbl="node1" presStyleIdx="1" presStyleCnt="4">
        <dgm:presLayoutVars>
          <dgm:chMax val="0"/>
          <dgm:chPref val="0"/>
          <dgm:bulletEnabled val="1"/>
        </dgm:presLayoutVars>
      </dgm:prSet>
      <dgm:spPr/>
    </dgm:pt>
    <dgm:pt modelId="{58026464-2CCE-47AE-B061-6D5C72CF4AF3}" type="pres">
      <dgm:prSet presAssocID="{908B394D-A1B7-46C8-BD71-9ADFFF2D8995}" presName="rect3" presStyleLbl="node1" presStyleIdx="2" presStyleCnt="4" custLinFactNeighborX="-836" custLinFactNeighborY="-2509">
        <dgm:presLayoutVars>
          <dgm:chMax val="0"/>
          <dgm:chPref val="0"/>
          <dgm:bulletEnabled val="1"/>
        </dgm:presLayoutVars>
      </dgm:prSet>
      <dgm:spPr/>
    </dgm:pt>
    <dgm:pt modelId="{D35AF4AC-6753-43A1-B512-BFD0B186D181}" type="pres">
      <dgm:prSet presAssocID="{908B394D-A1B7-46C8-BD71-9ADFFF2D8995}" presName="rect4" presStyleLbl="node1" presStyleIdx="3" presStyleCnt="4" custLinFactNeighborX="4412" custLinFactNeighborY="-1985">
        <dgm:presLayoutVars>
          <dgm:chMax val="0"/>
          <dgm:chPref val="0"/>
          <dgm:bulletEnabled val="1"/>
        </dgm:presLayoutVars>
      </dgm:prSet>
      <dgm:spPr/>
    </dgm:pt>
  </dgm:ptLst>
  <dgm:cxnLst>
    <dgm:cxn modelId="{5E88CD0C-76AD-4434-8D14-306821C0D799}" type="presOf" srcId="{908B394D-A1B7-46C8-BD71-9ADFFF2D8995}" destId="{20CCCC03-B009-4DB1-81ED-E830D6F8360F}" srcOrd="0" destOrd="0" presId="urn:microsoft.com/office/officeart/2005/8/layout/matrix2"/>
    <dgm:cxn modelId="{C6884913-EA06-43AF-8A6B-DE627C4A5FDC}" srcId="{908B394D-A1B7-46C8-BD71-9ADFFF2D8995}" destId="{64773E15-F40E-4F62-BA3E-363052DF4ED0}" srcOrd="2" destOrd="0" parTransId="{BAE337E3-E7C3-4B4A-A938-5BB89B1965C1}" sibTransId="{2939CF94-63B0-4523-8DF8-894C31FCE944}"/>
    <dgm:cxn modelId="{ECA9304E-B1E3-4E2C-9BBB-DFD93101DCA9}" srcId="{908B394D-A1B7-46C8-BD71-9ADFFF2D8995}" destId="{8888102E-C4F0-43BB-B8DC-72C18792B24F}" srcOrd="1" destOrd="0" parTransId="{8E63CA64-1C96-45B0-A099-080B49EEACFA}" sibTransId="{64095D43-3531-4F79-BE36-146355711B40}"/>
    <dgm:cxn modelId="{CD42DD86-14D4-489B-B1E2-CD02574FCD44}" type="presOf" srcId="{4077AD09-D340-43C0-83DF-52E9E99D46E5}" destId="{240202E6-B0D8-46B0-B3C7-C0F6F85ABCFA}" srcOrd="0" destOrd="0" presId="urn:microsoft.com/office/officeart/2005/8/layout/matrix2"/>
    <dgm:cxn modelId="{78252B87-357C-47C3-B81A-C6FDC675DA84}" type="presOf" srcId="{64773E15-F40E-4F62-BA3E-363052DF4ED0}" destId="{58026464-2CCE-47AE-B061-6D5C72CF4AF3}" srcOrd="0" destOrd="0" presId="urn:microsoft.com/office/officeart/2005/8/layout/matrix2"/>
    <dgm:cxn modelId="{F9F5EC87-6BC3-4CB2-B7AE-83142A50F245}" srcId="{908B394D-A1B7-46C8-BD71-9ADFFF2D8995}" destId="{4077AD09-D340-43C0-83DF-52E9E99D46E5}" srcOrd="0" destOrd="0" parTransId="{9A7A29BB-E3DA-445D-8B4D-1A83198C850E}" sibTransId="{8CB42F9D-A925-4426-A32A-8F37BFB443E3}"/>
    <dgm:cxn modelId="{811DA898-1932-4863-B5A5-7F172AE35005}" type="presOf" srcId="{4230A295-FA4D-4E2D-A242-6F71C229425A}" destId="{D35AF4AC-6753-43A1-B512-BFD0B186D181}" srcOrd="0" destOrd="0" presId="urn:microsoft.com/office/officeart/2005/8/layout/matrix2"/>
    <dgm:cxn modelId="{C02424CD-0DEF-4933-912C-58DFBAF75D04}" type="presOf" srcId="{8888102E-C4F0-43BB-B8DC-72C18792B24F}" destId="{4BB439FB-9479-40D6-A3CE-B243AAED2B60}" srcOrd="0" destOrd="0" presId="urn:microsoft.com/office/officeart/2005/8/layout/matrix2"/>
    <dgm:cxn modelId="{B83D90EA-528C-42BF-A53F-B12BB813A919}" srcId="{908B394D-A1B7-46C8-BD71-9ADFFF2D8995}" destId="{4230A295-FA4D-4E2D-A242-6F71C229425A}" srcOrd="3" destOrd="0" parTransId="{8A224C78-2D91-4784-85BC-5E47E46DAA11}" sibTransId="{4F9C51A1-1666-4E91-A936-B8AEC972589C}"/>
    <dgm:cxn modelId="{E48006EA-6F99-420E-8551-F42212850285}" type="presParOf" srcId="{20CCCC03-B009-4DB1-81ED-E830D6F8360F}" destId="{B1908977-41A0-4AFD-8BDD-FA9D8718E023}" srcOrd="0" destOrd="0" presId="urn:microsoft.com/office/officeart/2005/8/layout/matrix2"/>
    <dgm:cxn modelId="{0D87E21E-3A67-4400-AABA-0237DD1A80FE}" type="presParOf" srcId="{20CCCC03-B009-4DB1-81ED-E830D6F8360F}" destId="{240202E6-B0D8-46B0-B3C7-C0F6F85ABCFA}" srcOrd="1" destOrd="0" presId="urn:microsoft.com/office/officeart/2005/8/layout/matrix2"/>
    <dgm:cxn modelId="{ABC4F291-64CF-47DA-85B3-DD0CCFCD536A}" type="presParOf" srcId="{20CCCC03-B009-4DB1-81ED-E830D6F8360F}" destId="{4BB439FB-9479-40D6-A3CE-B243AAED2B60}" srcOrd="2" destOrd="0" presId="urn:microsoft.com/office/officeart/2005/8/layout/matrix2"/>
    <dgm:cxn modelId="{065F9373-B240-44BC-9D11-76B40B572FC2}" type="presParOf" srcId="{20CCCC03-B009-4DB1-81ED-E830D6F8360F}" destId="{58026464-2CCE-47AE-B061-6D5C72CF4AF3}" srcOrd="3" destOrd="0" presId="urn:microsoft.com/office/officeart/2005/8/layout/matrix2"/>
    <dgm:cxn modelId="{54010B0F-338C-4AE4-9E2E-3323FC03A752}" type="presParOf" srcId="{20CCCC03-B009-4DB1-81ED-E830D6F8360F}" destId="{D35AF4AC-6753-43A1-B512-BFD0B186D181}" srcOrd="4" destOrd="0" presId="urn:microsoft.com/office/officeart/2005/8/layout/matrix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B4CC-126B-4D2B-82F9-7FFF7E596633}"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AU"/>
        </a:p>
      </dgm:t>
    </dgm:pt>
    <dgm:pt modelId="{8209CA17-7671-4891-980B-C6DAEDF43087}">
      <dgm:prSet phldrT="[Text]"/>
      <dgm:spPr>
        <a:gradFill flip="none" rotWithShape="0">
          <a:gsLst>
            <a:gs pos="0">
              <a:srgbClr val="E86D28">
                <a:shade val="30000"/>
                <a:satMod val="115000"/>
              </a:srgbClr>
            </a:gs>
            <a:gs pos="50000">
              <a:srgbClr val="E86D28">
                <a:shade val="67500"/>
                <a:satMod val="115000"/>
              </a:srgbClr>
            </a:gs>
            <a:gs pos="100000">
              <a:srgbClr val="E86D28">
                <a:shade val="100000"/>
                <a:satMod val="115000"/>
              </a:srgbClr>
            </a:gs>
          </a:gsLst>
          <a:lin ang="10800000" scaled="1"/>
          <a:tileRect/>
        </a:gradFill>
        <a:ln>
          <a:solidFill>
            <a:schemeClr val="bg1"/>
          </a:solidFill>
        </a:ln>
      </dgm:spPr>
      <dgm:t>
        <a:bodyPr/>
        <a:lstStyle/>
        <a:p>
          <a:r>
            <a:rPr lang="en-AU"/>
            <a:t>Community </a:t>
          </a:r>
        </a:p>
      </dgm:t>
    </dgm:pt>
    <dgm:pt modelId="{DCBF3ECA-35EF-42A5-9899-F5052F81885E}" type="parTrans" cxnId="{CA7517F6-53FE-4CDF-8960-5901BF3CDBB1}">
      <dgm:prSet/>
      <dgm:spPr/>
      <dgm:t>
        <a:bodyPr/>
        <a:lstStyle/>
        <a:p>
          <a:endParaRPr lang="en-AU"/>
        </a:p>
      </dgm:t>
    </dgm:pt>
    <dgm:pt modelId="{0E216421-A189-4D4E-8FB1-44EA09D2AAE5}" type="sibTrans" cxnId="{CA7517F6-53FE-4CDF-8960-5901BF3CDBB1}">
      <dgm:prSet/>
      <dgm:spPr/>
      <dgm:t>
        <a:bodyPr/>
        <a:lstStyle/>
        <a:p>
          <a:endParaRPr lang="en-AU"/>
        </a:p>
      </dgm:t>
    </dgm:pt>
    <dgm:pt modelId="{B04C8BC8-0454-458C-8FBF-E5AED8AE9D94}">
      <dgm:prSet phldrT="[Text]"/>
      <dgm:spPr>
        <a:gradFill flip="none" rotWithShape="0">
          <a:gsLst>
            <a:gs pos="0">
              <a:srgbClr val="4E9D39">
                <a:shade val="30000"/>
                <a:satMod val="115000"/>
              </a:srgbClr>
            </a:gs>
            <a:gs pos="50000">
              <a:srgbClr val="4E9D39">
                <a:shade val="67500"/>
                <a:satMod val="115000"/>
              </a:srgbClr>
            </a:gs>
            <a:gs pos="100000">
              <a:srgbClr val="4E9D39">
                <a:shade val="100000"/>
                <a:satMod val="115000"/>
              </a:srgbClr>
            </a:gs>
          </a:gsLst>
          <a:lin ang="0" scaled="1"/>
          <a:tileRect/>
        </a:gradFill>
        <a:ln>
          <a:solidFill>
            <a:schemeClr val="bg1"/>
          </a:solidFill>
        </a:ln>
      </dgm:spPr>
      <dgm:t>
        <a:bodyPr/>
        <a:lstStyle/>
        <a:p>
          <a:r>
            <a:rPr lang="en-AU"/>
            <a:t>Environment </a:t>
          </a:r>
        </a:p>
      </dgm:t>
    </dgm:pt>
    <dgm:pt modelId="{9F280F6D-5A78-4352-83F2-5E164DDBAF11}" type="parTrans" cxnId="{D00D52C0-4F5D-43B9-A970-2705143FA379}">
      <dgm:prSet/>
      <dgm:spPr/>
      <dgm:t>
        <a:bodyPr/>
        <a:lstStyle/>
        <a:p>
          <a:endParaRPr lang="en-AU"/>
        </a:p>
      </dgm:t>
    </dgm:pt>
    <dgm:pt modelId="{F0CA53B5-C29B-4D6F-916B-215FD128A6F3}" type="sibTrans" cxnId="{D00D52C0-4F5D-43B9-A970-2705143FA379}">
      <dgm:prSet/>
      <dgm:spPr/>
      <dgm:t>
        <a:bodyPr/>
        <a:lstStyle/>
        <a:p>
          <a:endParaRPr lang="en-AU"/>
        </a:p>
      </dgm:t>
    </dgm:pt>
    <dgm:pt modelId="{19A1555C-7235-4728-8C31-E1762ADF3296}">
      <dgm:prSet phldrT="[Text]"/>
      <dgm:spPr>
        <a:gradFill flip="none" rotWithShape="0">
          <a:gsLst>
            <a:gs pos="0">
              <a:srgbClr val="A4464D">
                <a:shade val="30000"/>
                <a:satMod val="115000"/>
              </a:srgbClr>
            </a:gs>
            <a:gs pos="50000">
              <a:srgbClr val="A4464D">
                <a:shade val="67500"/>
                <a:satMod val="115000"/>
              </a:srgbClr>
            </a:gs>
            <a:gs pos="100000">
              <a:srgbClr val="A4464D">
                <a:shade val="100000"/>
                <a:satMod val="115000"/>
              </a:srgbClr>
            </a:gs>
          </a:gsLst>
          <a:lin ang="10800000" scaled="1"/>
          <a:tileRect/>
        </a:gradFill>
      </dgm:spPr>
      <dgm:t>
        <a:bodyPr/>
        <a:lstStyle/>
        <a:p>
          <a:r>
            <a:rPr lang="en-AU"/>
            <a:t>Economy </a:t>
          </a:r>
        </a:p>
      </dgm:t>
    </dgm:pt>
    <dgm:pt modelId="{6833D40A-1FAB-49AF-9594-C89E61E08678}" type="parTrans" cxnId="{E7491235-AB97-4C54-953B-ED10475A99CE}">
      <dgm:prSet/>
      <dgm:spPr/>
      <dgm:t>
        <a:bodyPr/>
        <a:lstStyle/>
        <a:p>
          <a:endParaRPr lang="en-AU"/>
        </a:p>
      </dgm:t>
    </dgm:pt>
    <dgm:pt modelId="{4C32A825-50F0-46DC-B239-5C21EDF84B05}" type="sibTrans" cxnId="{E7491235-AB97-4C54-953B-ED10475A99CE}">
      <dgm:prSet/>
      <dgm:spPr/>
      <dgm:t>
        <a:bodyPr/>
        <a:lstStyle/>
        <a:p>
          <a:endParaRPr lang="en-AU"/>
        </a:p>
      </dgm:t>
    </dgm:pt>
    <dgm:pt modelId="{73003A98-A386-4915-906D-ACE455D62B50}">
      <dgm:prSet phldrT="[Text]"/>
      <dgm:spPr>
        <a:gradFill flip="none" rotWithShape="0">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lin ang="0" scaled="1"/>
          <a:tileRect/>
        </a:gradFill>
        <a:ln>
          <a:solidFill>
            <a:schemeClr val="bg1"/>
          </a:solidFill>
        </a:ln>
      </dgm:spPr>
      <dgm:t>
        <a:bodyPr/>
        <a:lstStyle/>
        <a:p>
          <a:r>
            <a:rPr lang="en-AU"/>
            <a:t>Governance </a:t>
          </a:r>
        </a:p>
      </dgm:t>
    </dgm:pt>
    <dgm:pt modelId="{468769A0-42EC-4C57-B400-8017258D9D4D}" type="parTrans" cxnId="{54EEA28A-0A5B-44B4-B318-FA71DC992B52}">
      <dgm:prSet/>
      <dgm:spPr/>
      <dgm:t>
        <a:bodyPr/>
        <a:lstStyle/>
        <a:p>
          <a:endParaRPr lang="en-AU"/>
        </a:p>
      </dgm:t>
    </dgm:pt>
    <dgm:pt modelId="{9FC4ADB2-77F4-4551-A066-335301326253}" type="sibTrans" cxnId="{54EEA28A-0A5B-44B4-B318-FA71DC992B52}">
      <dgm:prSet/>
      <dgm:spPr/>
      <dgm:t>
        <a:bodyPr/>
        <a:lstStyle/>
        <a:p>
          <a:endParaRPr lang="en-AU"/>
        </a:p>
      </dgm:t>
    </dgm:pt>
    <dgm:pt modelId="{6A295C65-0004-4C34-902B-8FE581F61B9B}" type="pres">
      <dgm:prSet presAssocID="{ACDDB4CC-126B-4D2B-82F9-7FFF7E596633}" presName="matrix" presStyleCnt="0">
        <dgm:presLayoutVars>
          <dgm:chMax val="1"/>
          <dgm:dir/>
          <dgm:resizeHandles val="exact"/>
        </dgm:presLayoutVars>
      </dgm:prSet>
      <dgm:spPr/>
    </dgm:pt>
    <dgm:pt modelId="{D8A5F57D-D28D-427C-86FF-696529A44AF8}" type="pres">
      <dgm:prSet presAssocID="{ACDDB4CC-126B-4D2B-82F9-7FFF7E596633}" presName="diamond" presStyleLbl="bgShp" presStyleIdx="0" presStyleCnt="1"/>
      <dgm:spPr>
        <a:solidFill>
          <a:schemeClr val="accent4">
            <a:lumMod val="60000"/>
            <a:lumOff val="40000"/>
          </a:schemeClr>
        </a:solidFill>
      </dgm:spPr>
    </dgm:pt>
    <dgm:pt modelId="{2A0CC739-127F-4912-BE96-195639D6AB0E}" type="pres">
      <dgm:prSet presAssocID="{ACDDB4CC-126B-4D2B-82F9-7FFF7E596633}" presName="quad1" presStyleLbl="node1" presStyleIdx="0" presStyleCnt="4">
        <dgm:presLayoutVars>
          <dgm:chMax val="0"/>
          <dgm:chPref val="0"/>
          <dgm:bulletEnabled val="1"/>
        </dgm:presLayoutVars>
      </dgm:prSet>
      <dgm:spPr/>
    </dgm:pt>
    <dgm:pt modelId="{C1C2D4A7-441B-4993-9947-3E59F4DB44C9}" type="pres">
      <dgm:prSet presAssocID="{ACDDB4CC-126B-4D2B-82F9-7FFF7E596633}" presName="quad2" presStyleLbl="node1" presStyleIdx="1" presStyleCnt="4" custLinFactNeighborX="5288" custLinFactNeighborY="-561">
        <dgm:presLayoutVars>
          <dgm:chMax val="0"/>
          <dgm:chPref val="0"/>
          <dgm:bulletEnabled val="1"/>
        </dgm:presLayoutVars>
      </dgm:prSet>
      <dgm:spPr/>
    </dgm:pt>
    <dgm:pt modelId="{40FE682E-1147-4766-90D1-88F40B7BDFEA}" type="pres">
      <dgm:prSet presAssocID="{ACDDB4CC-126B-4D2B-82F9-7FFF7E596633}" presName="quad3" presStyleLbl="node1" presStyleIdx="2" presStyleCnt="4">
        <dgm:presLayoutVars>
          <dgm:chMax val="0"/>
          <dgm:chPref val="0"/>
          <dgm:bulletEnabled val="1"/>
        </dgm:presLayoutVars>
      </dgm:prSet>
      <dgm:spPr/>
    </dgm:pt>
    <dgm:pt modelId="{7167301B-F5D3-4F39-82AC-13B690F77A82}" type="pres">
      <dgm:prSet presAssocID="{ACDDB4CC-126B-4D2B-82F9-7FFF7E596633}" presName="quad4" presStyleLbl="node1" presStyleIdx="3" presStyleCnt="4" custLinFactNeighborX="3274" custLinFactNeighborY="1093">
        <dgm:presLayoutVars>
          <dgm:chMax val="0"/>
          <dgm:chPref val="0"/>
          <dgm:bulletEnabled val="1"/>
        </dgm:presLayoutVars>
      </dgm:prSet>
      <dgm:spPr/>
    </dgm:pt>
  </dgm:ptLst>
  <dgm:cxnLst>
    <dgm:cxn modelId="{E7491235-AB97-4C54-953B-ED10475A99CE}" srcId="{ACDDB4CC-126B-4D2B-82F9-7FFF7E596633}" destId="{19A1555C-7235-4728-8C31-E1762ADF3296}" srcOrd="2" destOrd="0" parTransId="{6833D40A-1FAB-49AF-9594-C89E61E08678}" sibTransId="{4C32A825-50F0-46DC-B239-5C21EDF84B05}"/>
    <dgm:cxn modelId="{2DBC5C3E-421B-4248-B53F-793769AF83C0}" type="presOf" srcId="{8209CA17-7671-4891-980B-C6DAEDF43087}" destId="{2A0CC739-127F-4912-BE96-195639D6AB0E}" srcOrd="0" destOrd="0" presId="urn:microsoft.com/office/officeart/2005/8/layout/matrix3"/>
    <dgm:cxn modelId="{4F966A58-66F2-460C-BD0A-52208DF10D22}" type="presOf" srcId="{ACDDB4CC-126B-4D2B-82F9-7FFF7E596633}" destId="{6A295C65-0004-4C34-902B-8FE581F61B9B}" srcOrd="0" destOrd="0" presId="urn:microsoft.com/office/officeart/2005/8/layout/matrix3"/>
    <dgm:cxn modelId="{54EEA28A-0A5B-44B4-B318-FA71DC992B52}" srcId="{ACDDB4CC-126B-4D2B-82F9-7FFF7E596633}" destId="{73003A98-A386-4915-906D-ACE455D62B50}" srcOrd="3" destOrd="0" parTransId="{468769A0-42EC-4C57-B400-8017258D9D4D}" sibTransId="{9FC4ADB2-77F4-4551-A066-335301326253}"/>
    <dgm:cxn modelId="{9A8599AD-B4F7-4B6B-9BF8-A1F5E0578C0C}" type="presOf" srcId="{B04C8BC8-0454-458C-8FBF-E5AED8AE9D94}" destId="{C1C2D4A7-441B-4993-9947-3E59F4DB44C9}" srcOrd="0" destOrd="0" presId="urn:microsoft.com/office/officeart/2005/8/layout/matrix3"/>
    <dgm:cxn modelId="{D00D52C0-4F5D-43B9-A970-2705143FA379}" srcId="{ACDDB4CC-126B-4D2B-82F9-7FFF7E596633}" destId="{B04C8BC8-0454-458C-8FBF-E5AED8AE9D94}" srcOrd="1" destOrd="0" parTransId="{9F280F6D-5A78-4352-83F2-5E164DDBAF11}" sibTransId="{F0CA53B5-C29B-4D6F-916B-215FD128A6F3}"/>
    <dgm:cxn modelId="{0E47CED7-B526-4E6B-8F3E-20DBA27A6C14}" type="presOf" srcId="{73003A98-A386-4915-906D-ACE455D62B50}" destId="{7167301B-F5D3-4F39-82AC-13B690F77A82}" srcOrd="0" destOrd="0" presId="urn:microsoft.com/office/officeart/2005/8/layout/matrix3"/>
    <dgm:cxn modelId="{DC3F9EE0-C030-4562-A168-D4DF8129D181}" type="presOf" srcId="{19A1555C-7235-4728-8C31-E1762ADF3296}" destId="{40FE682E-1147-4766-90D1-88F40B7BDFEA}" srcOrd="0" destOrd="0" presId="urn:microsoft.com/office/officeart/2005/8/layout/matrix3"/>
    <dgm:cxn modelId="{CA7517F6-53FE-4CDF-8960-5901BF3CDBB1}" srcId="{ACDDB4CC-126B-4D2B-82F9-7FFF7E596633}" destId="{8209CA17-7671-4891-980B-C6DAEDF43087}" srcOrd="0" destOrd="0" parTransId="{DCBF3ECA-35EF-42A5-9899-F5052F81885E}" sibTransId="{0E216421-A189-4D4E-8FB1-44EA09D2AAE5}"/>
    <dgm:cxn modelId="{0E4820D8-FE31-47B6-975A-B5355846317B}" type="presParOf" srcId="{6A295C65-0004-4C34-902B-8FE581F61B9B}" destId="{D8A5F57D-D28D-427C-86FF-696529A44AF8}" srcOrd="0" destOrd="0" presId="urn:microsoft.com/office/officeart/2005/8/layout/matrix3"/>
    <dgm:cxn modelId="{52C993AA-6E88-4E22-B0E4-243F6F04C271}" type="presParOf" srcId="{6A295C65-0004-4C34-902B-8FE581F61B9B}" destId="{2A0CC739-127F-4912-BE96-195639D6AB0E}" srcOrd="1" destOrd="0" presId="urn:microsoft.com/office/officeart/2005/8/layout/matrix3"/>
    <dgm:cxn modelId="{6010B8EB-43EB-4162-8830-0CDD286477FA}" type="presParOf" srcId="{6A295C65-0004-4C34-902B-8FE581F61B9B}" destId="{C1C2D4A7-441B-4993-9947-3E59F4DB44C9}" srcOrd="2" destOrd="0" presId="urn:microsoft.com/office/officeart/2005/8/layout/matrix3"/>
    <dgm:cxn modelId="{86643ABF-5160-4B6B-8932-A8AD02F50EAA}" type="presParOf" srcId="{6A295C65-0004-4C34-902B-8FE581F61B9B}" destId="{40FE682E-1147-4766-90D1-88F40B7BDFEA}" srcOrd="3" destOrd="0" presId="urn:microsoft.com/office/officeart/2005/8/layout/matrix3"/>
    <dgm:cxn modelId="{46C29C6A-C114-4B02-9EA0-8C1CA738A937}" type="presParOf" srcId="{6A295C65-0004-4C34-902B-8FE581F61B9B}" destId="{7167301B-F5D3-4F39-82AC-13B690F77A82}" srcOrd="4" destOrd="0" presId="urn:microsoft.com/office/officeart/2005/8/layout/matrix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4720FB-8EC4-42DA-AEEB-2DC827D3A0FA}"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AU"/>
        </a:p>
      </dgm:t>
    </dgm:pt>
    <dgm:pt modelId="{D7B9CC17-DBDD-4626-83DB-B4407A834775}">
      <dgm:prSet phldrT="[Text]" phldr="1"/>
      <dgm:spPr>
        <a:noFill/>
        <a:ln>
          <a:noFill/>
        </a:ln>
      </dgm:spPr>
      <dgm:t>
        <a:bodyPr/>
        <a:lstStyle/>
        <a:p>
          <a:endParaRPr lang="en-AU"/>
        </a:p>
      </dgm:t>
    </dgm:pt>
    <dgm:pt modelId="{34AEF325-6067-4CA8-9E15-96D2A41DB30B}" type="parTrans" cxnId="{110A7771-EFD7-4DD4-9B29-E9DFFF63DAAD}">
      <dgm:prSet/>
      <dgm:spPr/>
      <dgm:t>
        <a:bodyPr/>
        <a:lstStyle/>
        <a:p>
          <a:endParaRPr lang="en-AU"/>
        </a:p>
      </dgm:t>
    </dgm:pt>
    <dgm:pt modelId="{6CC3418D-5888-4315-AB19-5A54EE4B1BEA}" type="sibTrans" cxnId="{110A7771-EFD7-4DD4-9B29-E9DFFF63DAAD}">
      <dgm:prSet/>
      <dgm:spPr/>
      <dgm:t>
        <a:bodyPr/>
        <a:lstStyle/>
        <a:p>
          <a:endParaRPr lang="en-AU"/>
        </a:p>
      </dgm:t>
    </dgm:pt>
    <dgm:pt modelId="{577BEF3D-4626-43A7-A31B-DB0773474CD3}">
      <dgm:prSet phldrT="[Text]"/>
      <dgm:spPr>
        <a:solidFill>
          <a:schemeClr val="accent1">
            <a:lumMod val="75000"/>
          </a:schemeClr>
        </a:solidFill>
      </dgm:spPr>
      <dgm:t>
        <a:bodyPr/>
        <a:lstStyle/>
        <a:p>
          <a:r>
            <a:rPr lang="en-AU"/>
            <a:t>Organisational  Services </a:t>
          </a:r>
        </a:p>
      </dgm:t>
    </dgm:pt>
    <dgm:pt modelId="{BF7E08A6-ED1F-4A39-9829-121D06922C6A}" type="parTrans" cxnId="{3978E6D2-E085-4B81-9853-0868EBE2A43F}">
      <dgm:prSet/>
      <dgm:spPr>
        <a:ln>
          <a:noFill/>
        </a:ln>
      </dgm:spPr>
      <dgm:t>
        <a:bodyPr/>
        <a:lstStyle/>
        <a:p>
          <a:endParaRPr lang="en-AU"/>
        </a:p>
      </dgm:t>
    </dgm:pt>
    <dgm:pt modelId="{2BEE982D-FB5C-4B0D-BAB7-2F0915E45EB9}" type="sibTrans" cxnId="{3978E6D2-E085-4B81-9853-0868EBE2A43F}">
      <dgm:prSet/>
      <dgm:spPr/>
      <dgm:t>
        <a:bodyPr/>
        <a:lstStyle/>
        <a:p>
          <a:endParaRPr lang="en-AU"/>
        </a:p>
      </dgm:t>
    </dgm:pt>
    <dgm:pt modelId="{B9781893-5B9A-48E8-B68D-518934BD4AF7}">
      <dgm:prSet phldrT="[Text]"/>
      <dgm:spPr/>
      <dgm:t>
        <a:bodyPr/>
        <a:lstStyle/>
        <a:p>
          <a:r>
            <a:rPr lang="en-AU"/>
            <a:t>Information Systems </a:t>
          </a:r>
        </a:p>
      </dgm:t>
    </dgm:pt>
    <dgm:pt modelId="{5C10A8E9-5E8A-46FC-9156-DBBB784C24E9}" type="parTrans" cxnId="{B22AB44B-A00F-4A80-B283-38B280D501DE}">
      <dgm:prSet/>
      <dgm:spPr/>
      <dgm:t>
        <a:bodyPr/>
        <a:lstStyle/>
        <a:p>
          <a:endParaRPr lang="en-AU"/>
        </a:p>
      </dgm:t>
    </dgm:pt>
    <dgm:pt modelId="{8E14E416-5DF7-4D8A-9CEE-1536D2BDCCAA}" type="sibTrans" cxnId="{B22AB44B-A00F-4A80-B283-38B280D501DE}">
      <dgm:prSet/>
      <dgm:spPr/>
      <dgm:t>
        <a:bodyPr/>
        <a:lstStyle/>
        <a:p>
          <a:endParaRPr lang="en-AU"/>
        </a:p>
      </dgm:t>
    </dgm:pt>
    <dgm:pt modelId="{6E869E90-08D5-4D8E-B5E7-08D0EFCDA242}">
      <dgm:prSet phldrT="[Text]"/>
      <dgm:spPr>
        <a:solidFill>
          <a:schemeClr val="accent1">
            <a:lumMod val="75000"/>
          </a:schemeClr>
        </a:solidFill>
      </dgm:spPr>
      <dgm:t>
        <a:bodyPr/>
        <a:lstStyle/>
        <a:p>
          <a:r>
            <a:rPr lang="en-AU"/>
            <a:t>Community &amp; Environment </a:t>
          </a:r>
        </a:p>
      </dgm:t>
    </dgm:pt>
    <dgm:pt modelId="{9BB44BE2-6F05-4C82-B117-01866249D1FF}" type="parTrans" cxnId="{E379B1E3-8604-4AAF-A0B3-FCD3C2A9014A}">
      <dgm:prSet/>
      <dgm:spPr>
        <a:ln>
          <a:noFill/>
        </a:ln>
      </dgm:spPr>
      <dgm:t>
        <a:bodyPr/>
        <a:lstStyle/>
        <a:p>
          <a:endParaRPr lang="en-AU"/>
        </a:p>
      </dgm:t>
    </dgm:pt>
    <dgm:pt modelId="{5B4041D8-5E15-4B0B-A28F-447AFAF14BCD}" type="sibTrans" cxnId="{E379B1E3-8604-4AAF-A0B3-FCD3C2A9014A}">
      <dgm:prSet/>
      <dgm:spPr/>
      <dgm:t>
        <a:bodyPr/>
        <a:lstStyle/>
        <a:p>
          <a:endParaRPr lang="en-AU"/>
        </a:p>
      </dgm:t>
    </dgm:pt>
    <dgm:pt modelId="{A77D70AE-C457-4A0B-A0D5-5FE4C3FB42F5}">
      <dgm:prSet phldrT="[Text]"/>
      <dgm:spPr/>
      <dgm:t>
        <a:bodyPr/>
        <a:lstStyle/>
        <a:p>
          <a:r>
            <a:rPr lang="en-AU"/>
            <a:t>Waste &amp; Health Services </a:t>
          </a:r>
        </a:p>
      </dgm:t>
    </dgm:pt>
    <dgm:pt modelId="{E289B66A-51E9-4BCD-8ECB-D656367A2A02}" type="parTrans" cxnId="{27EF87DE-AE47-41F4-804D-71F3C59BD9BD}">
      <dgm:prSet/>
      <dgm:spPr/>
      <dgm:t>
        <a:bodyPr/>
        <a:lstStyle/>
        <a:p>
          <a:endParaRPr lang="en-AU"/>
        </a:p>
      </dgm:t>
    </dgm:pt>
    <dgm:pt modelId="{CAA7A314-F276-4719-A126-FFE73098F14D}" type="sibTrans" cxnId="{27EF87DE-AE47-41F4-804D-71F3C59BD9BD}">
      <dgm:prSet/>
      <dgm:spPr/>
      <dgm:t>
        <a:bodyPr/>
        <a:lstStyle/>
        <a:p>
          <a:endParaRPr lang="en-AU"/>
        </a:p>
      </dgm:t>
    </dgm:pt>
    <dgm:pt modelId="{E5A85577-B85C-4C5B-AA07-8E1FB2E6D899}">
      <dgm:prSet phldrT="[Text]" custT="1"/>
      <dgm:spPr>
        <a:solidFill>
          <a:schemeClr val="accent1">
            <a:lumMod val="60000"/>
            <a:lumOff val="40000"/>
          </a:schemeClr>
        </a:solidFill>
      </dgm:spPr>
      <dgm:t>
        <a:bodyPr/>
        <a:lstStyle/>
        <a:p>
          <a:r>
            <a:rPr lang="en-AU" sz="1100" b="1"/>
            <a:t>Directorates </a:t>
          </a:r>
        </a:p>
      </dgm:t>
    </dgm:pt>
    <dgm:pt modelId="{BBC7CC80-29F4-41E2-8760-295532C46C5C}" type="parTrans" cxnId="{265B42BA-1C24-4598-904B-D57826A1DB78}">
      <dgm:prSet/>
      <dgm:spPr/>
      <dgm:t>
        <a:bodyPr/>
        <a:lstStyle/>
        <a:p>
          <a:endParaRPr lang="en-AU"/>
        </a:p>
      </dgm:t>
    </dgm:pt>
    <dgm:pt modelId="{00D81F15-B15C-4FE4-B5B5-D10FDABF1683}" type="sibTrans" cxnId="{265B42BA-1C24-4598-904B-D57826A1DB78}">
      <dgm:prSet/>
      <dgm:spPr/>
      <dgm:t>
        <a:bodyPr/>
        <a:lstStyle/>
        <a:p>
          <a:endParaRPr lang="en-AU"/>
        </a:p>
      </dgm:t>
    </dgm:pt>
    <dgm:pt modelId="{862609F5-A04B-443C-9DEC-DA654157D507}">
      <dgm:prSet phldrT="[Text]" custT="1"/>
      <dgm:spPr>
        <a:solidFill>
          <a:schemeClr val="accent1">
            <a:lumMod val="40000"/>
            <a:lumOff val="60000"/>
          </a:schemeClr>
        </a:solidFill>
      </dgm:spPr>
      <dgm:t>
        <a:bodyPr/>
        <a:lstStyle/>
        <a:p>
          <a:r>
            <a:rPr lang="en-AU" sz="1100" b="1"/>
            <a:t>Departments</a:t>
          </a:r>
          <a:r>
            <a:rPr lang="en-AU" sz="1100"/>
            <a:t> </a:t>
          </a:r>
        </a:p>
      </dgm:t>
    </dgm:pt>
    <dgm:pt modelId="{B7566EE3-4246-4811-9EA3-7E7745A236A6}" type="parTrans" cxnId="{DA7B4B67-0B06-4EF0-9601-BBB2CAD8DFD4}">
      <dgm:prSet/>
      <dgm:spPr/>
      <dgm:t>
        <a:bodyPr/>
        <a:lstStyle/>
        <a:p>
          <a:endParaRPr lang="en-AU"/>
        </a:p>
      </dgm:t>
    </dgm:pt>
    <dgm:pt modelId="{85D61F16-B2BE-4297-9C39-A0495503C022}" type="sibTrans" cxnId="{DA7B4B67-0B06-4EF0-9601-BBB2CAD8DFD4}">
      <dgm:prSet/>
      <dgm:spPr/>
      <dgm:t>
        <a:bodyPr/>
        <a:lstStyle/>
        <a:p>
          <a:endParaRPr lang="en-AU"/>
        </a:p>
      </dgm:t>
    </dgm:pt>
    <dgm:pt modelId="{16EE2C2C-EF24-4F84-8E59-76B7396A12CC}">
      <dgm:prSet phldrT="[Text]"/>
      <dgm:spPr>
        <a:noFill/>
      </dgm:spPr>
      <dgm:t>
        <a:bodyPr/>
        <a:lstStyle/>
        <a:p>
          <a:endParaRPr lang="en-AU"/>
        </a:p>
      </dgm:t>
    </dgm:pt>
    <dgm:pt modelId="{5B1DB89D-B3A3-4AC1-B282-A829AB6F6D4A}" type="sibTrans" cxnId="{D32F8FCA-759B-4924-8167-580622896B7F}">
      <dgm:prSet/>
      <dgm:spPr/>
      <dgm:t>
        <a:bodyPr/>
        <a:lstStyle/>
        <a:p>
          <a:endParaRPr lang="en-AU"/>
        </a:p>
      </dgm:t>
    </dgm:pt>
    <dgm:pt modelId="{5426011D-ADA2-4CAE-A96F-A15CC1395428}" type="parTrans" cxnId="{D32F8FCA-759B-4924-8167-580622896B7F}">
      <dgm:prSet/>
      <dgm:spPr/>
      <dgm:t>
        <a:bodyPr/>
        <a:lstStyle/>
        <a:p>
          <a:endParaRPr lang="en-AU"/>
        </a:p>
      </dgm:t>
    </dgm:pt>
    <dgm:pt modelId="{3CD2E04A-B9F4-4AC1-96DC-D7C5596DABB3}">
      <dgm:prSet/>
      <dgm:spPr>
        <a:solidFill>
          <a:schemeClr val="accent1">
            <a:lumMod val="75000"/>
          </a:schemeClr>
        </a:solidFill>
      </dgm:spPr>
      <dgm:t>
        <a:bodyPr/>
        <a:lstStyle/>
        <a:p>
          <a:r>
            <a:rPr lang="en-AU"/>
            <a:t>Infrastructrure &amp; Planning </a:t>
          </a:r>
        </a:p>
      </dgm:t>
    </dgm:pt>
    <dgm:pt modelId="{94E80451-2EAE-4619-83BB-34150BF9E965}" type="parTrans" cxnId="{B5341486-E3F9-43AD-8A63-903E9151D776}">
      <dgm:prSet/>
      <dgm:spPr>
        <a:ln>
          <a:noFill/>
        </a:ln>
      </dgm:spPr>
      <dgm:t>
        <a:bodyPr/>
        <a:lstStyle/>
        <a:p>
          <a:endParaRPr lang="en-AU"/>
        </a:p>
      </dgm:t>
    </dgm:pt>
    <dgm:pt modelId="{FC75B5ED-F5E1-47A9-B073-11A0B24B564D}" type="sibTrans" cxnId="{B5341486-E3F9-43AD-8A63-903E9151D776}">
      <dgm:prSet/>
      <dgm:spPr/>
      <dgm:t>
        <a:bodyPr/>
        <a:lstStyle/>
        <a:p>
          <a:endParaRPr lang="en-AU"/>
        </a:p>
      </dgm:t>
    </dgm:pt>
    <dgm:pt modelId="{C222F0AC-7C1D-4007-9688-27CAA0BF482A}">
      <dgm:prSet/>
      <dgm:spPr/>
      <dgm:t>
        <a:bodyPr/>
        <a:lstStyle/>
        <a:p>
          <a:r>
            <a:rPr lang="en-AU"/>
            <a:t>Water &amp; Wastewater </a:t>
          </a:r>
        </a:p>
      </dgm:t>
    </dgm:pt>
    <dgm:pt modelId="{B775D58D-8691-454B-8FB6-B20A6B246CBF}" type="parTrans" cxnId="{A7A64559-6C57-4D68-BA32-587C72A8B78E}">
      <dgm:prSet/>
      <dgm:spPr/>
      <dgm:t>
        <a:bodyPr/>
        <a:lstStyle/>
        <a:p>
          <a:endParaRPr lang="en-AU"/>
        </a:p>
      </dgm:t>
    </dgm:pt>
    <dgm:pt modelId="{ADE4ADB9-3164-4F69-A4C4-A14E28F605C2}" type="sibTrans" cxnId="{A7A64559-6C57-4D68-BA32-587C72A8B78E}">
      <dgm:prSet/>
      <dgm:spPr/>
      <dgm:t>
        <a:bodyPr/>
        <a:lstStyle/>
        <a:p>
          <a:endParaRPr lang="en-AU"/>
        </a:p>
      </dgm:t>
    </dgm:pt>
    <dgm:pt modelId="{39C54EB5-8D33-4F67-ABFE-3D598BF2E0CD}">
      <dgm:prSet/>
      <dgm:spPr/>
      <dgm:t>
        <a:bodyPr/>
        <a:lstStyle/>
        <a:p>
          <a:r>
            <a:rPr lang="en-AU"/>
            <a:t>Parks, Sport &amp; Natural Areas </a:t>
          </a:r>
        </a:p>
      </dgm:t>
    </dgm:pt>
    <dgm:pt modelId="{2C2CEBB0-68EF-4C75-A94C-8E0C318772CA}" type="parTrans" cxnId="{CD4AB34D-8A80-4E0E-A45E-37A5DF52E2B2}">
      <dgm:prSet/>
      <dgm:spPr/>
      <dgm:t>
        <a:bodyPr/>
        <a:lstStyle/>
        <a:p>
          <a:endParaRPr lang="en-AU"/>
        </a:p>
      </dgm:t>
    </dgm:pt>
    <dgm:pt modelId="{12A5E34C-38AA-4845-8623-1B2F065FB4E8}" type="sibTrans" cxnId="{CD4AB34D-8A80-4E0E-A45E-37A5DF52E2B2}">
      <dgm:prSet/>
      <dgm:spPr/>
      <dgm:t>
        <a:bodyPr/>
        <a:lstStyle/>
        <a:p>
          <a:endParaRPr lang="en-AU"/>
        </a:p>
      </dgm:t>
    </dgm:pt>
    <dgm:pt modelId="{B25B4A93-9100-4A99-AA4C-C2BC4EA05C04}">
      <dgm:prSet/>
      <dgm:spPr/>
      <dgm:t>
        <a:bodyPr/>
        <a:lstStyle/>
        <a:p>
          <a:r>
            <a:rPr lang="en-AU"/>
            <a:t>Com. Business  &amp; Ec. Develpment </a:t>
          </a:r>
        </a:p>
      </dgm:t>
    </dgm:pt>
    <dgm:pt modelId="{E3427103-77AA-457E-8B06-764E7469BC19}" type="parTrans" cxnId="{2D963B15-535A-4323-BBD3-A01094317956}">
      <dgm:prSet/>
      <dgm:spPr/>
      <dgm:t>
        <a:bodyPr/>
        <a:lstStyle/>
        <a:p>
          <a:endParaRPr lang="en-AU"/>
        </a:p>
      </dgm:t>
    </dgm:pt>
    <dgm:pt modelId="{4C265002-15E7-4B67-B737-806B96366D59}" type="sibTrans" cxnId="{2D963B15-535A-4323-BBD3-A01094317956}">
      <dgm:prSet/>
      <dgm:spPr/>
      <dgm:t>
        <a:bodyPr/>
        <a:lstStyle/>
        <a:p>
          <a:endParaRPr lang="en-AU"/>
        </a:p>
      </dgm:t>
    </dgm:pt>
    <dgm:pt modelId="{BCA8218D-9958-43B0-8E7A-95A84BC4EF00}">
      <dgm:prSet/>
      <dgm:spPr/>
      <dgm:t>
        <a:bodyPr/>
        <a:lstStyle/>
        <a:p>
          <a:r>
            <a:rPr lang="en-AU"/>
            <a:t>Disaster Management </a:t>
          </a:r>
        </a:p>
      </dgm:t>
    </dgm:pt>
    <dgm:pt modelId="{239A6B93-B420-4473-AFD8-8C76CB8E84FB}" type="parTrans" cxnId="{3E348572-5C33-42F9-834A-4D1010CF6039}">
      <dgm:prSet/>
      <dgm:spPr/>
      <dgm:t>
        <a:bodyPr/>
        <a:lstStyle/>
        <a:p>
          <a:endParaRPr lang="en-AU"/>
        </a:p>
      </dgm:t>
    </dgm:pt>
    <dgm:pt modelId="{19155C84-7D7D-4C02-8BAE-B14E2FE855EC}" type="sibTrans" cxnId="{3E348572-5C33-42F9-834A-4D1010CF6039}">
      <dgm:prSet/>
      <dgm:spPr/>
      <dgm:t>
        <a:bodyPr/>
        <a:lstStyle/>
        <a:p>
          <a:endParaRPr lang="en-AU"/>
        </a:p>
      </dgm:t>
    </dgm:pt>
    <dgm:pt modelId="{2D02BEAE-2468-4011-AD6D-36B18AC9C6C9}">
      <dgm:prSet/>
      <dgm:spPr/>
      <dgm:t>
        <a:bodyPr/>
        <a:lstStyle/>
        <a:p>
          <a:r>
            <a:rPr lang="en-AU"/>
            <a:t>Libraries, Arts &amp; Theatre </a:t>
          </a:r>
        </a:p>
      </dgm:t>
    </dgm:pt>
    <dgm:pt modelId="{C63FE8F6-2AF4-4BB2-B338-1EC4BE64D73C}" type="parTrans" cxnId="{DCEE4768-5A0E-4F9B-8931-A6D774CF7554}">
      <dgm:prSet/>
      <dgm:spPr/>
      <dgm:t>
        <a:bodyPr/>
        <a:lstStyle/>
        <a:p>
          <a:endParaRPr lang="en-AU"/>
        </a:p>
      </dgm:t>
    </dgm:pt>
    <dgm:pt modelId="{048B1ADB-8832-4BB4-83CF-BE1DF42C3FFA}" type="sibTrans" cxnId="{DCEE4768-5A0E-4F9B-8931-A6D774CF7554}">
      <dgm:prSet/>
      <dgm:spPr/>
      <dgm:t>
        <a:bodyPr/>
        <a:lstStyle/>
        <a:p>
          <a:endParaRPr lang="en-AU"/>
        </a:p>
      </dgm:t>
    </dgm:pt>
    <dgm:pt modelId="{5978E3B3-05D9-4516-9F1A-089E2032C36D}">
      <dgm:prSet/>
      <dgm:spPr/>
      <dgm:t>
        <a:bodyPr/>
        <a:lstStyle/>
        <a:p>
          <a:r>
            <a:rPr lang="en-AU"/>
            <a:t>Community  Development </a:t>
          </a:r>
        </a:p>
      </dgm:t>
    </dgm:pt>
    <dgm:pt modelId="{5670667F-7BD7-4080-88F7-B683FAA79E76}" type="parTrans" cxnId="{1808BA74-C137-4985-8BCB-26C6FDBAC925}">
      <dgm:prSet/>
      <dgm:spPr/>
      <dgm:t>
        <a:bodyPr/>
        <a:lstStyle/>
        <a:p>
          <a:endParaRPr lang="en-AU"/>
        </a:p>
      </dgm:t>
    </dgm:pt>
    <dgm:pt modelId="{1427C455-C076-4FDF-89A1-B2F049F9796F}" type="sibTrans" cxnId="{1808BA74-C137-4985-8BCB-26C6FDBAC925}">
      <dgm:prSet/>
      <dgm:spPr/>
      <dgm:t>
        <a:bodyPr/>
        <a:lstStyle/>
        <a:p>
          <a:endParaRPr lang="en-AU"/>
        </a:p>
      </dgm:t>
    </dgm:pt>
    <dgm:pt modelId="{FCBDD13B-0A10-4974-9263-649F5091F1A0}">
      <dgm:prSet/>
      <dgm:spPr/>
      <dgm:t>
        <a:bodyPr/>
        <a:lstStyle/>
        <a:p>
          <a:r>
            <a:rPr lang="en-AU"/>
            <a:t>Community Care </a:t>
          </a:r>
        </a:p>
      </dgm:t>
    </dgm:pt>
    <dgm:pt modelId="{89306BAA-8513-4DBF-B414-90EE61FA3CBE}" type="parTrans" cxnId="{3A871289-6EEA-4C90-86CE-34F1E2F8EA5C}">
      <dgm:prSet/>
      <dgm:spPr/>
      <dgm:t>
        <a:bodyPr/>
        <a:lstStyle/>
        <a:p>
          <a:endParaRPr lang="en-AU"/>
        </a:p>
      </dgm:t>
    </dgm:pt>
    <dgm:pt modelId="{0BF61F25-A84D-4802-B8D5-4B9DA474F171}" type="sibTrans" cxnId="{3A871289-6EEA-4C90-86CE-34F1E2F8EA5C}">
      <dgm:prSet/>
      <dgm:spPr/>
      <dgm:t>
        <a:bodyPr/>
        <a:lstStyle/>
        <a:p>
          <a:endParaRPr lang="en-AU"/>
        </a:p>
      </dgm:t>
    </dgm:pt>
    <dgm:pt modelId="{C6FBC65A-4006-4D1A-873A-6D8765B30314}">
      <dgm:prSet/>
      <dgm:spPr/>
      <dgm:t>
        <a:bodyPr/>
        <a:lstStyle/>
        <a:p>
          <a:r>
            <a:rPr lang="en-AU"/>
            <a:t>Regulatory Services </a:t>
          </a:r>
        </a:p>
      </dgm:t>
    </dgm:pt>
    <dgm:pt modelId="{48BBEF75-F6FB-4B40-9906-0A8C82A5EC3A}" type="parTrans" cxnId="{6D9D1368-B7C9-46ED-8D55-A02666D20BFD}">
      <dgm:prSet/>
      <dgm:spPr/>
      <dgm:t>
        <a:bodyPr/>
        <a:lstStyle/>
        <a:p>
          <a:endParaRPr lang="en-AU"/>
        </a:p>
      </dgm:t>
    </dgm:pt>
    <dgm:pt modelId="{91AA8876-3FA3-4C37-A465-D1A7B02AE183}" type="sibTrans" cxnId="{6D9D1368-B7C9-46ED-8D55-A02666D20BFD}">
      <dgm:prSet/>
      <dgm:spPr/>
      <dgm:t>
        <a:bodyPr/>
        <a:lstStyle/>
        <a:p>
          <a:endParaRPr lang="en-AU"/>
        </a:p>
      </dgm:t>
    </dgm:pt>
    <dgm:pt modelId="{16A57316-CC68-469A-B740-598F1DB676F5}">
      <dgm:prSet/>
      <dgm:spPr/>
      <dgm:t>
        <a:bodyPr/>
        <a:lstStyle/>
        <a:p>
          <a:r>
            <a:rPr lang="en-AU"/>
            <a:t>Roads &amp; Drainage </a:t>
          </a:r>
        </a:p>
      </dgm:t>
    </dgm:pt>
    <dgm:pt modelId="{C2030B0D-92E3-4BB9-82FF-8B69884C5828}" type="parTrans" cxnId="{37C916F0-26EF-4A11-8666-C80A26BC0DF6}">
      <dgm:prSet/>
      <dgm:spPr/>
      <dgm:t>
        <a:bodyPr/>
        <a:lstStyle/>
        <a:p>
          <a:endParaRPr lang="en-AU"/>
        </a:p>
      </dgm:t>
    </dgm:pt>
    <dgm:pt modelId="{C49EE6E4-CADA-498B-B39E-C8B34231E27D}" type="sibTrans" cxnId="{37C916F0-26EF-4A11-8666-C80A26BC0DF6}">
      <dgm:prSet/>
      <dgm:spPr/>
      <dgm:t>
        <a:bodyPr/>
        <a:lstStyle/>
        <a:p>
          <a:endParaRPr lang="en-AU"/>
        </a:p>
      </dgm:t>
    </dgm:pt>
    <dgm:pt modelId="{4EEF1CF2-B05C-4967-859B-800D1214EBB6}">
      <dgm:prSet/>
      <dgm:spPr/>
      <dgm:t>
        <a:bodyPr/>
        <a:lstStyle/>
        <a:p>
          <a:r>
            <a:rPr lang="en-AU"/>
            <a:t>Support Services </a:t>
          </a:r>
        </a:p>
      </dgm:t>
    </dgm:pt>
    <dgm:pt modelId="{214D4380-FDBA-4BD9-B5DC-40BE4284FD86}" type="parTrans" cxnId="{2A60800D-25D9-41E9-B05F-04C2FCD9309D}">
      <dgm:prSet/>
      <dgm:spPr/>
      <dgm:t>
        <a:bodyPr/>
        <a:lstStyle/>
        <a:p>
          <a:endParaRPr lang="en-AU"/>
        </a:p>
      </dgm:t>
    </dgm:pt>
    <dgm:pt modelId="{29897247-734D-4972-A6F6-8C72DF7379B9}" type="sibTrans" cxnId="{2A60800D-25D9-41E9-B05F-04C2FCD9309D}">
      <dgm:prSet/>
      <dgm:spPr/>
      <dgm:t>
        <a:bodyPr/>
        <a:lstStyle/>
        <a:p>
          <a:endParaRPr lang="en-AU"/>
        </a:p>
      </dgm:t>
    </dgm:pt>
    <dgm:pt modelId="{9C8272E5-520A-44FD-9720-C2B081F91B2A}">
      <dgm:prSet/>
      <dgm:spPr/>
      <dgm:t>
        <a:bodyPr/>
        <a:lstStyle/>
        <a:p>
          <a:r>
            <a:rPr lang="en-AU"/>
            <a:t>Projects </a:t>
          </a:r>
        </a:p>
      </dgm:t>
    </dgm:pt>
    <dgm:pt modelId="{C35D22BE-90D3-443A-B285-FC9ACF3D77E8}" type="parTrans" cxnId="{482CD1A2-B577-4CB1-B70B-BDF8A559F278}">
      <dgm:prSet/>
      <dgm:spPr/>
      <dgm:t>
        <a:bodyPr/>
        <a:lstStyle/>
        <a:p>
          <a:endParaRPr lang="en-AU"/>
        </a:p>
      </dgm:t>
    </dgm:pt>
    <dgm:pt modelId="{51DDB5DF-9AE4-4D78-A9E1-20B538DD9A59}" type="sibTrans" cxnId="{482CD1A2-B577-4CB1-B70B-BDF8A559F278}">
      <dgm:prSet/>
      <dgm:spPr/>
      <dgm:t>
        <a:bodyPr/>
        <a:lstStyle/>
        <a:p>
          <a:endParaRPr lang="en-AU"/>
        </a:p>
      </dgm:t>
    </dgm:pt>
    <dgm:pt modelId="{0187FE90-DE60-4C20-9C64-558FB49F7D28}">
      <dgm:prSet/>
      <dgm:spPr/>
      <dgm:t>
        <a:bodyPr/>
        <a:lstStyle/>
        <a:p>
          <a:r>
            <a:rPr lang="en-AU"/>
            <a:t>Development </a:t>
          </a:r>
        </a:p>
      </dgm:t>
    </dgm:pt>
    <dgm:pt modelId="{A73C5A6F-2909-4A38-993A-68E5B9B3A350}" type="parTrans" cxnId="{917B405E-F024-4238-9FCA-16BC2E930334}">
      <dgm:prSet/>
      <dgm:spPr/>
      <dgm:t>
        <a:bodyPr/>
        <a:lstStyle/>
        <a:p>
          <a:endParaRPr lang="en-AU"/>
        </a:p>
      </dgm:t>
    </dgm:pt>
    <dgm:pt modelId="{13739E73-B8B9-4227-942B-2B4087C1994C}" type="sibTrans" cxnId="{917B405E-F024-4238-9FCA-16BC2E930334}">
      <dgm:prSet/>
      <dgm:spPr/>
      <dgm:t>
        <a:bodyPr/>
        <a:lstStyle/>
        <a:p>
          <a:endParaRPr lang="en-AU"/>
        </a:p>
      </dgm:t>
    </dgm:pt>
    <dgm:pt modelId="{65399720-9F0D-4E1F-966E-0B96274BDBF4}">
      <dgm:prSet/>
      <dgm:spPr/>
      <dgm:t>
        <a:bodyPr/>
        <a:lstStyle/>
        <a:p>
          <a:r>
            <a:rPr lang="en-AU"/>
            <a:t>People &amp; Culture  </a:t>
          </a:r>
        </a:p>
      </dgm:t>
    </dgm:pt>
    <dgm:pt modelId="{0472AFB5-C10A-489C-8C09-5DBFAAC990BD}" type="parTrans" cxnId="{DD98C17B-E8D7-42E6-A960-57566194794D}">
      <dgm:prSet/>
      <dgm:spPr/>
      <dgm:t>
        <a:bodyPr/>
        <a:lstStyle/>
        <a:p>
          <a:endParaRPr lang="en-AU"/>
        </a:p>
      </dgm:t>
    </dgm:pt>
    <dgm:pt modelId="{8A619741-ADA9-4527-9973-0093939AA1D2}" type="sibTrans" cxnId="{DD98C17B-E8D7-42E6-A960-57566194794D}">
      <dgm:prSet/>
      <dgm:spPr/>
      <dgm:t>
        <a:bodyPr/>
        <a:lstStyle/>
        <a:p>
          <a:endParaRPr lang="en-AU"/>
        </a:p>
      </dgm:t>
    </dgm:pt>
    <dgm:pt modelId="{53A5883E-002D-4CCD-81D7-37105957DE78}">
      <dgm:prSet/>
      <dgm:spPr/>
      <dgm:t>
        <a:bodyPr/>
        <a:lstStyle/>
        <a:p>
          <a:r>
            <a:rPr lang="en-AU"/>
            <a:t>Sustainable Finance </a:t>
          </a:r>
        </a:p>
      </dgm:t>
    </dgm:pt>
    <dgm:pt modelId="{5BEC7E27-7292-4E95-B8AC-8D211FD6C389}" type="parTrans" cxnId="{5F53923E-34FF-45D2-8D6E-6E2488AF843E}">
      <dgm:prSet/>
      <dgm:spPr/>
      <dgm:t>
        <a:bodyPr/>
        <a:lstStyle/>
        <a:p>
          <a:endParaRPr lang="en-AU"/>
        </a:p>
      </dgm:t>
    </dgm:pt>
    <dgm:pt modelId="{FCA5F386-9845-4175-B2A0-4FD880AE6005}" type="sibTrans" cxnId="{5F53923E-34FF-45D2-8D6E-6E2488AF843E}">
      <dgm:prSet/>
      <dgm:spPr/>
      <dgm:t>
        <a:bodyPr/>
        <a:lstStyle/>
        <a:p>
          <a:endParaRPr lang="en-AU"/>
        </a:p>
      </dgm:t>
    </dgm:pt>
    <dgm:pt modelId="{C4059383-E1FF-4559-AE5E-44808334D6A5}">
      <dgm:prSet/>
      <dgm:spPr/>
      <dgm:t>
        <a:bodyPr/>
        <a:lstStyle/>
        <a:p>
          <a:r>
            <a:rPr lang="en-AU"/>
            <a:t>Financial Services </a:t>
          </a:r>
        </a:p>
      </dgm:t>
    </dgm:pt>
    <dgm:pt modelId="{F6758F62-4A9E-451C-8CD1-0D11B0EF7D1D}" type="parTrans" cxnId="{C2EA3659-C4F5-4A84-A358-C77943A3F2B4}">
      <dgm:prSet/>
      <dgm:spPr/>
      <dgm:t>
        <a:bodyPr/>
        <a:lstStyle/>
        <a:p>
          <a:endParaRPr lang="en-AU"/>
        </a:p>
      </dgm:t>
    </dgm:pt>
    <dgm:pt modelId="{D78E3731-B8E1-4731-BBE5-7F7BA2640462}" type="sibTrans" cxnId="{C2EA3659-C4F5-4A84-A358-C77943A3F2B4}">
      <dgm:prSet/>
      <dgm:spPr/>
      <dgm:t>
        <a:bodyPr/>
        <a:lstStyle/>
        <a:p>
          <a:endParaRPr lang="en-AU"/>
        </a:p>
      </dgm:t>
    </dgm:pt>
    <dgm:pt modelId="{C034161C-29D2-418F-BBCC-262512FE6D08}">
      <dgm:prSet/>
      <dgm:spPr/>
      <dgm:t>
        <a:bodyPr/>
        <a:lstStyle/>
        <a:p>
          <a:r>
            <a:rPr lang="en-AU"/>
            <a:t>Internal Ombudsman </a:t>
          </a:r>
        </a:p>
      </dgm:t>
    </dgm:pt>
    <dgm:pt modelId="{401B43B8-45ED-49CA-8E82-9374DE2D1A41}" type="parTrans" cxnId="{AA66E614-9F5D-4DB5-A10F-5BCB0F30C4B5}">
      <dgm:prSet/>
      <dgm:spPr/>
      <dgm:t>
        <a:bodyPr/>
        <a:lstStyle/>
        <a:p>
          <a:endParaRPr lang="en-AU"/>
        </a:p>
      </dgm:t>
    </dgm:pt>
    <dgm:pt modelId="{FEABA478-147B-4FB4-9984-4DEE6D115647}" type="sibTrans" cxnId="{AA66E614-9F5D-4DB5-A10F-5BCB0F30C4B5}">
      <dgm:prSet/>
      <dgm:spPr/>
      <dgm:t>
        <a:bodyPr/>
        <a:lstStyle/>
        <a:p>
          <a:endParaRPr lang="en-AU"/>
        </a:p>
      </dgm:t>
    </dgm:pt>
    <dgm:pt modelId="{03936B0F-8998-4D77-9A25-FCE2C9717B19}">
      <dgm:prSet/>
      <dgm:spPr/>
      <dgm:t>
        <a:bodyPr/>
        <a:lstStyle/>
        <a:p>
          <a:r>
            <a:rPr lang="en-AU"/>
            <a:t>Stakeholder Engagement </a:t>
          </a:r>
        </a:p>
      </dgm:t>
    </dgm:pt>
    <dgm:pt modelId="{ED070FC3-0854-4586-8B73-BA90C60E0BA4}" type="sibTrans" cxnId="{0065BEB3-43C1-4EC9-A766-9DF945DFA307}">
      <dgm:prSet/>
      <dgm:spPr/>
      <dgm:t>
        <a:bodyPr/>
        <a:lstStyle/>
        <a:p>
          <a:endParaRPr lang="en-AU"/>
        </a:p>
      </dgm:t>
    </dgm:pt>
    <dgm:pt modelId="{6740FDC6-A128-44FA-BED8-55BAFDC5A735}" type="parTrans" cxnId="{0065BEB3-43C1-4EC9-A766-9DF945DFA307}">
      <dgm:prSet/>
      <dgm:spPr/>
      <dgm:t>
        <a:bodyPr/>
        <a:lstStyle/>
        <a:p>
          <a:endParaRPr lang="en-AU"/>
        </a:p>
      </dgm:t>
    </dgm:pt>
    <dgm:pt modelId="{1F9AAAFC-D311-4A62-B605-749BEB541C9B}" type="pres">
      <dgm:prSet presAssocID="{DA4720FB-8EC4-42DA-AEEB-2DC827D3A0FA}" presName="mainComposite" presStyleCnt="0">
        <dgm:presLayoutVars>
          <dgm:chPref val="1"/>
          <dgm:dir/>
          <dgm:animOne val="branch"/>
          <dgm:animLvl val="lvl"/>
          <dgm:resizeHandles val="exact"/>
        </dgm:presLayoutVars>
      </dgm:prSet>
      <dgm:spPr/>
    </dgm:pt>
    <dgm:pt modelId="{5A8002C0-5F65-4DC1-A9D5-D0DF9212D664}" type="pres">
      <dgm:prSet presAssocID="{DA4720FB-8EC4-42DA-AEEB-2DC827D3A0FA}" presName="hierFlow" presStyleCnt="0"/>
      <dgm:spPr/>
    </dgm:pt>
    <dgm:pt modelId="{FCF6136C-3522-4DFA-8485-7B629327CD23}" type="pres">
      <dgm:prSet presAssocID="{DA4720FB-8EC4-42DA-AEEB-2DC827D3A0FA}" presName="firstBuf" presStyleCnt="0"/>
      <dgm:spPr/>
    </dgm:pt>
    <dgm:pt modelId="{BFC814B7-7991-4C5B-B578-FBBA5A73618F}" type="pres">
      <dgm:prSet presAssocID="{DA4720FB-8EC4-42DA-AEEB-2DC827D3A0FA}" presName="hierChild1" presStyleCnt="0">
        <dgm:presLayoutVars>
          <dgm:chPref val="1"/>
          <dgm:animOne val="branch"/>
          <dgm:animLvl val="lvl"/>
        </dgm:presLayoutVars>
      </dgm:prSet>
      <dgm:spPr/>
    </dgm:pt>
    <dgm:pt modelId="{4218164E-2FB4-4E85-B31A-0EEED15F8FDC}" type="pres">
      <dgm:prSet presAssocID="{D7B9CC17-DBDD-4626-83DB-B4407A834775}" presName="Name17" presStyleCnt="0"/>
      <dgm:spPr/>
    </dgm:pt>
    <dgm:pt modelId="{FCF2D019-0CDC-4150-A30C-4DCA2BB3E6AE}" type="pres">
      <dgm:prSet presAssocID="{D7B9CC17-DBDD-4626-83DB-B4407A834775}" presName="level1Shape" presStyleLbl="node0" presStyleIdx="0" presStyleCnt="1">
        <dgm:presLayoutVars>
          <dgm:chPref val="3"/>
        </dgm:presLayoutVars>
      </dgm:prSet>
      <dgm:spPr/>
    </dgm:pt>
    <dgm:pt modelId="{F4DEAB9A-5758-4B33-B981-390876814D18}" type="pres">
      <dgm:prSet presAssocID="{D7B9CC17-DBDD-4626-83DB-B4407A834775}" presName="hierChild2" presStyleCnt="0"/>
      <dgm:spPr/>
    </dgm:pt>
    <dgm:pt modelId="{985C8792-A503-45C0-8C23-B81AEA1D9FDA}" type="pres">
      <dgm:prSet presAssocID="{BF7E08A6-ED1F-4A39-9829-121D06922C6A}" presName="Name25" presStyleLbl="parChTrans1D2" presStyleIdx="0" presStyleCnt="3"/>
      <dgm:spPr/>
    </dgm:pt>
    <dgm:pt modelId="{BC8E875F-1646-49D4-8550-0DBD7A43C3AE}" type="pres">
      <dgm:prSet presAssocID="{BF7E08A6-ED1F-4A39-9829-121D06922C6A}" presName="connTx" presStyleLbl="parChTrans1D2" presStyleIdx="0" presStyleCnt="3"/>
      <dgm:spPr/>
    </dgm:pt>
    <dgm:pt modelId="{BAFB9666-37A2-4D43-AF4C-EFD8C5802CA5}" type="pres">
      <dgm:prSet presAssocID="{577BEF3D-4626-43A7-A31B-DB0773474CD3}" presName="Name30" presStyleCnt="0"/>
      <dgm:spPr/>
    </dgm:pt>
    <dgm:pt modelId="{75D5B841-72C3-42BF-A29B-50BDBBA565D1}" type="pres">
      <dgm:prSet presAssocID="{577BEF3D-4626-43A7-A31B-DB0773474CD3}" presName="level2Shape" presStyleLbl="node2" presStyleIdx="0" presStyleCnt="3"/>
      <dgm:spPr/>
    </dgm:pt>
    <dgm:pt modelId="{451CD6B1-96E1-404C-909E-6CD29B534756}" type="pres">
      <dgm:prSet presAssocID="{577BEF3D-4626-43A7-A31B-DB0773474CD3}" presName="hierChild3" presStyleCnt="0"/>
      <dgm:spPr/>
    </dgm:pt>
    <dgm:pt modelId="{61FAB87F-3E2D-4C6E-B90F-92F8D59D9174}" type="pres">
      <dgm:prSet presAssocID="{5C10A8E9-5E8A-46FC-9156-DBBB784C24E9}" presName="Name25" presStyleLbl="parChTrans1D3" presStyleIdx="0" presStyleCnt="3"/>
      <dgm:spPr/>
    </dgm:pt>
    <dgm:pt modelId="{A887319C-65DE-43CC-88D3-458C525FECA8}" type="pres">
      <dgm:prSet presAssocID="{5C10A8E9-5E8A-46FC-9156-DBBB784C24E9}" presName="connTx" presStyleLbl="parChTrans1D3" presStyleIdx="0" presStyleCnt="3"/>
      <dgm:spPr/>
    </dgm:pt>
    <dgm:pt modelId="{08D326C1-7371-465C-9C01-3D6A01661EDD}" type="pres">
      <dgm:prSet presAssocID="{B9781893-5B9A-48E8-B68D-518934BD4AF7}" presName="Name30" presStyleCnt="0"/>
      <dgm:spPr/>
    </dgm:pt>
    <dgm:pt modelId="{97F3AFB1-EC3D-4482-955F-B82C2EE2F9D7}" type="pres">
      <dgm:prSet presAssocID="{B9781893-5B9A-48E8-B68D-518934BD4AF7}" presName="level2Shape" presStyleLbl="node3" presStyleIdx="0" presStyleCnt="3"/>
      <dgm:spPr/>
    </dgm:pt>
    <dgm:pt modelId="{076C1569-69C2-49CE-915A-11A45E297EF6}" type="pres">
      <dgm:prSet presAssocID="{B9781893-5B9A-48E8-B68D-518934BD4AF7}" presName="hierChild3" presStyleCnt="0"/>
      <dgm:spPr/>
    </dgm:pt>
    <dgm:pt modelId="{85A79C66-BDF6-4142-8146-CDD4EE101CA9}" type="pres">
      <dgm:prSet presAssocID="{0472AFB5-C10A-489C-8C09-5DBFAAC990BD}" presName="Name25" presStyleLbl="parChTrans1D4" presStyleIdx="0" presStyleCnt="16"/>
      <dgm:spPr/>
    </dgm:pt>
    <dgm:pt modelId="{BC7D2B2F-874B-4597-BDF9-F5E6AAF7BE74}" type="pres">
      <dgm:prSet presAssocID="{0472AFB5-C10A-489C-8C09-5DBFAAC990BD}" presName="connTx" presStyleLbl="parChTrans1D4" presStyleIdx="0" presStyleCnt="16"/>
      <dgm:spPr/>
    </dgm:pt>
    <dgm:pt modelId="{D649E14D-31DD-4B42-AA07-0B28E9699E3D}" type="pres">
      <dgm:prSet presAssocID="{65399720-9F0D-4E1F-966E-0B96274BDBF4}" presName="Name30" presStyleCnt="0"/>
      <dgm:spPr/>
    </dgm:pt>
    <dgm:pt modelId="{F5031FF9-3E43-4D1A-A0EF-BE3E58C5BE10}" type="pres">
      <dgm:prSet presAssocID="{65399720-9F0D-4E1F-966E-0B96274BDBF4}" presName="level2Shape" presStyleLbl="node4" presStyleIdx="0" presStyleCnt="16"/>
      <dgm:spPr/>
    </dgm:pt>
    <dgm:pt modelId="{5817082F-F4E1-4755-A016-7F3114D029D1}" type="pres">
      <dgm:prSet presAssocID="{65399720-9F0D-4E1F-966E-0B96274BDBF4}" presName="hierChild3" presStyleCnt="0"/>
      <dgm:spPr/>
    </dgm:pt>
    <dgm:pt modelId="{BF85E733-50E8-4B64-90AD-8483C7A272FF}" type="pres">
      <dgm:prSet presAssocID="{5BEC7E27-7292-4E95-B8AC-8D211FD6C389}" presName="Name25" presStyleLbl="parChTrans1D4" presStyleIdx="1" presStyleCnt="16"/>
      <dgm:spPr/>
    </dgm:pt>
    <dgm:pt modelId="{49955483-501A-4173-8A58-758367790489}" type="pres">
      <dgm:prSet presAssocID="{5BEC7E27-7292-4E95-B8AC-8D211FD6C389}" presName="connTx" presStyleLbl="parChTrans1D4" presStyleIdx="1" presStyleCnt="16"/>
      <dgm:spPr/>
    </dgm:pt>
    <dgm:pt modelId="{24E704FE-8F04-43AD-8068-AD8FD121002E}" type="pres">
      <dgm:prSet presAssocID="{53A5883E-002D-4CCD-81D7-37105957DE78}" presName="Name30" presStyleCnt="0"/>
      <dgm:spPr/>
    </dgm:pt>
    <dgm:pt modelId="{CEB21F55-8624-4E6F-9AD9-FDC7175AD88F}" type="pres">
      <dgm:prSet presAssocID="{53A5883E-002D-4CCD-81D7-37105957DE78}" presName="level2Shape" presStyleLbl="node4" presStyleIdx="1" presStyleCnt="16"/>
      <dgm:spPr/>
    </dgm:pt>
    <dgm:pt modelId="{394AF0B2-1FAE-4FC8-A067-F270034E1B25}" type="pres">
      <dgm:prSet presAssocID="{53A5883E-002D-4CCD-81D7-37105957DE78}" presName="hierChild3" presStyleCnt="0"/>
      <dgm:spPr/>
    </dgm:pt>
    <dgm:pt modelId="{59C673F7-A88C-4A0E-AB6F-BE284DEA96E6}" type="pres">
      <dgm:prSet presAssocID="{F6758F62-4A9E-451C-8CD1-0D11B0EF7D1D}" presName="Name25" presStyleLbl="parChTrans1D4" presStyleIdx="2" presStyleCnt="16"/>
      <dgm:spPr/>
    </dgm:pt>
    <dgm:pt modelId="{0ED5D176-91FF-4D60-B14E-D1072EC9C455}" type="pres">
      <dgm:prSet presAssocID="{F6758F62-4A9E-451C-8CD1-0D11B0EF7D1D}" presName="connTx" presStyleLbl="parChTrans1D4" presStyleIdx="2" presStyleCnt="16"/>
      <dgm:spPr/>
    </dgm:pt>
    <dgm:pt modelId="{32628764-7832-4005-87D4-49C3D4AA26F3}" type="pres">
      <dgm:prSet presAssocID="{C4059383-E1FF-4559-AE5E-44808334D6A5}" presName="Name30" presStyleCnt="0"/>
      <dgm:spPr/>
    </dgm:pt>
    <dgm:pt modelId="{97E79C04-FAD4-4133-9FD3-A12CE4E2117A}" type="pres">
      <dgm:prSet presAssocID="{C4059383-E1FF-4559-AE5E-44808334D6A5}" presName="level2Shape" presStyleLbl="node4" presStyleIdx="2" presStyleCnt="16"/>
      <dgm:spPr/>
    </dgm:pt>
    <dgm:pt modelId="{9D986530-4492-4C29-BABA-6E7850454044}" type="pres">
      <dgm:prSet presAssocID="{C4059383-E1FF-4559-AE5E-44808334D6A5}" presName="hierChild3" presStyleCnt="0"/>
      <dgm:spPr/>
    </dgm:pt>
    <dgm:pt modelId="{BDD64490-0422-4012-B10F-89CD310286D7}" type="pres">
      <dgm:prSet presAssocID="{401B43B8-45ED-49CA-8E82-9374DE2D1A41}" presName="Name25" presStyleLbl="parChTrans1D4" presStyleIdx="3" presStyleCnt="16"/>
      <dgm:spPr/>
    </dgm:pt>
    <dgm:pt modelId="{98384189-C0EC-4C45-9FFF-72CBD97D7491}" type="pres">
      <dgm:prSet presAssocID="{401B43B8-45ED-49CA-8E82-9374DE2D1A41}" presName="connTx" presStyleLbl="parChTrans1D4" presStyleIdx="3" presStyleCnt="16"/>
      <dgm:spPr/>
    </dgm:pt>
    <dgm:pt modelId="{C08E9599-4ABE-4670-A7F2-C440230F9490}" type="pres">
      <dgm:prSet presAssocID="{C034161C-29D2-418F-BBCC-262512FE6D08}" presName="Name30" presStyleCnt="0"/>
      <dgm:spPr/>
    </dgm:pt>
    <dgm:pt modelId="{3BD12680-83DB-4C67-B5C8-49D762F38079}" type="pres">
      <dgm:prSet presAssocID="{C034161C-29D2-418F-BBCC-262512FE6D08}" presName="level2Shape" presStyleLbl="node4" presStyleIdx="3" presStyleCnt="16"/>
      <dgm:spPr/>
    </dgm:pt>
    <dgm:pt modelId="{8D053645-627C-4FC1-A4B3-1BC9306277FC}" type="pres">
      <dgm:prSet presAssocID="{C034161C-29D2-418F-BBCC-262512FE6D08}" presName="hierChild3" presStyleCnt="0"/>
      <dgm:spPr/>
    </dgm:pt>
    <dgm:pt modelId="{CA31BD26-2FB5-43B8-9900-D0F28DE1F273}" type="pres">
      <dgm:prSet presAssocID="{6740FDC6-A128-44FA-BED8-55BAFDC5A735}" presName="Name25" presStyleLbl="parChTrans1D4" presStyleIdx="4" presStyleCnt="16"/>
      <dgm:spPr/>
    </dgm:pt>
    <dgm:pt modelId="{2AAF5376-8EB8-4E1C-90DA-96C56E842A33}" type="pres">
      <dgm:prSet presAssocID="{6740FDC6-A128-44FA-BED8-55BAFDC5A735}" presName="connTx" presStyleLbl="parChTrans1D4" presStyleIdx="4" presStyleCnt="16"/>
      <dgm:spPr/>
    </dgm:pt>
    <dgm:pt modelId="{140CFB1D-9266-4D8F-A1DD-BE420937A282}" type="pres">
      <dgm:prSet presAssocID="{03936B0F-8998-4D77-9A25-FCE2C9717B19}" presName="Name30" presStyleCnt="0"/>
      <dgm:spPr/>
    </dgm:pt>
    <dgm:pt modelId="{D13C892C-AFD9-4CBF-AB29-75C174F13545}" type="pres">
      <dgm:prSet presAssocID="{03936B0F-8998-4D77-9A25-FCE2C9717B19}" presName="level2Shape" presStyleLbl="node4" presStyleIdx="4" presStyleCnt="16"/>
      <dgm:spPr/>
    </dgm:pt>
    <dgm:pt modelId="{DE382E75-5608-49CB-8FF6-0D0F26ABF0D1}" type="pres">
      <dgm:prSet presAssocID="{03936B0F-8998-4D77-9A25-FCE2C9717B19}" presName="hierChild3" presStyleCnt="0"/>
      <dgm:spPr/>
    </dgm:pt>
    <dgm:pt modelId="{BE712193-9A53-442C-B7BB-98BE319E4B77}" type="pres">
      <dgm:prSet presAssocID="{94E80451-2EAE-4619-83BB-34150BF9E965}" presName="Name25" presStyleLbl="parChTrans1D2" presStyleIdx="1" presStyleCnt="3"/>
      <dgm:spPr/>
    </dgm:pt>
    <dgm:pt modelId="{1B48191F-2915-468A-8F6D-5B05A6C0CBE4}" type="pres">
      <dgm:prSet presAssocID="{94E80451-2EAE-4619-83BB-34150BF9E965}" presName="connTx" presStyleLbl="parChTrans1D2" presStyleIdx="1" presStyleCnt="3"/>
      <dgm:spPr/>
    </dgm:pt>
    <dgm:pt modelId="{F4E621E0-9AB2-4B41-BEF4-CB4523BA3437}" type="pres">
      <dgm:prSet presAssocID="{3CD2E04A-B9F4-4AC1-96DC-D7C5596DABB3}" presName="Name30" presStyleCnt="0"/>
      <dgm:spPr/>
    </dgm:pt>
    <dgm:pt modelId="{74262111-E7C3-43E5-A442-E170DB50D546}" type="pres">
      <dgm:prSet presAssocID="{3CD2E04A-B9F4-4AC1-96DC-D7C5596DABB3}" presName="level2Shape" presStyleLbl="node2" presStyleIdx="1" presStyleCnt="3"/>
      <dgm:spPr/>
    </dgm:pt>
    <dgm:pt modelId="{B5D6D3FF-723F-4FB6-BAD2-4C0776602D9E}" type="pres">
      <dgm:prSet presAssocID="{3CD2E04A-B9F4-4AC1-96DC-D7C5596DABB3}" presName="hierChild3" presStyleCnt="0"/>
      <dgm:spPr/>
    </dgm:pt>
    <dgm:pt modelId="{09E6D413-C8F7-460F-A209-9B7708D7AB40}" type="pres">
      <dgm:prSet presAssocID="{B775D58D-8691-454B-8FB6-B20A6B246CBF}" presName="Name25" presStyleLbl="parChTrans1D3" presStyleIdx="1" presStyleCnt="3"/>
      <dgm:spPr/>
    </dgm:pt>
    <dgm:pt modelId="{879B3957-C9F8-4564-B5BA-326323B732D5}" type="pres">
      <dgm:prSet presAssocID="{B775D58D-8691-454B-8FB6-B20A6B246CBF}" presName="connTx" presStyleLbl="parChTrans1D3" presStyleIdx="1" presStyleCnt="3"/>
      <dgm:spPr/>
    </dgm:pt>
    <dgm:pt modelId="{4348D379-70E5-4937-A530-60DC28D6D317}" type="pres">
      <dgm:prSet presAssocID="{C222F0AC-7C1D-4007-9688-27CAA0BF482A}" presName="Name30" presStyleCnt="0"/>
      <dgm:spPr/>
    </dgm:pt>
    <dgm:pt modelId="{8C974ACA-1E7E-4CF3-8889-96E24154EC20}" type="pres">
      <dgm:prSet presAssocID="{C222F0AC-7C1D-4007-9688-27CAA0BF482A}" presName="level2Shape" presStyleLbl="node3" presStyleIdx="1" presStyleCnt="3"/>
      <dgm:spPr/>
    </dgm:pt>
    <dgm:pt modelId="{EE1660BD-0094-4C40-B4F2-2A18AA711FEA}" type="pres">
      <dgm:prSet presAssocID="{C222F0AC-7C1D-4007-9688-27CAA0BF482A}" presName="hierChild3" presStyleCnt="0"/>
      <dgm:spPr/>
    </dgm:pt>
    <dgm:pt modelId="{3372CB7B-DD61-4E86-9AA7-CE7447C51255}" type="pres">
      <dgm:prSet presAssocID="{C2030B0D-92E3-4BB9-82FF-8B69884C5828}" presName="Name25" presStyleLbl="parChTrans1D4" presStyleIdx="5" presStyleCnt="16"/>
      <dgm:spPr/>
    </dgm:pt>
    <dgm:pt modelId="{9ED777F1-67CC-4A81-BA5B-3B6D248CCCEA}" type="pres">
      <dgm:prSet presAssocID="{C2030B0D-92E3-4BB9-82FF-8B69884C5828}" presName="connTx" presStyleLbl="parChTrans1D4" presStyleIdx="5" presStyleCnt="16"/>
      <dgm:spPr/>
    </dgm:pt>
    <dgm:pt modelId="{7D2CBAFA-5556-42E1-8712-E02C8EEB640A}" type="pres">
      <dgm:prSet presAssocID="{16A57316-CC68-469A-B740-598F1DB676F5}" presName="Name30" presStyleCnt="0"/>
      <dgm:spPr/>
    </dgm:pt>
    <dgm:pt modelId="{444156DA-B948-4AF8-AEF1-A795A162A730}" type="pres">
      <dgm:prSet presAssocID="{16A57316-CC68-469A-B740-598F1DB676F5}" presName="level2Shape" presStyleLbl="node4" presStyleIdx="5" presStyleCnt="16"/>
      <dgm:spPr/>
    </dgm:pt>
    <dgm:pt modelId="{B981A974-920A-4197-AAFA-6158B052457B}" type="pres">
      <dgm:prSet presAssocID="{16A57316-CC68-469A-B740-598F1DB676F5}" presName="hierChild3" presStyleCnt="0"/>
      <dgm:spPr/>
    </dgm:pt>
    <dgm:pt modelId="{E9524853-31A2-4984-A4B9-AD2C948BBFF3}" type="pres">
      <dgm:prSet presAssocID="{214D4380-FDBA-4BD9-B5DC-40BE4284FD86}" presName="Name25" presStyleLbl="parChTrans1D4" presStyleIdx="6" presStyleCnt="16"/>
      <dgm:spPr/>
    </dgm:pt>
    <dgm:pt modelId="{846710C8-4C44-409D-872D-08B75E9D48DE}" type="pres">
      <dgm:prSet presAssocID="{214D4380-FDBA-4BD9-B5DC-40BE4284FD86}" presName="connTx" presStyleLbl="parChTrans1D4" presStyleIdx="6" presStyleCnt="16"/>
      <dgm:spPr/>
    </dgm:pt>
    <dgm:pt modelId="{D65997E9-4021-42C2-ACD8-65E29A83C0A8}" type="pres">
      <dgm:prSet presAssocID="{4EEF1CF2-B05C-4967-859B-800D1214EBB6}" presName="Name30" presStyleCnt="0"/>
      <dgm:spPr/>
    </dgm:pt>
    <dgm:pt modelId="{61E326DD-96AE-47D2-9DEB-8380248175A0}" type="pres">
      <dgm:prSet presAssocID="{4EEF1CF2-B05C-4967-859B-800D1214EBB6}" presName="level2Shape" presStyleLbl="node4" presStyleIdx="6" presStyleCnt="16"/>
      <dgm:spPr/>
    </dgm:pt>
    <dgm:pt modelId="{8867D5C4-7EF3-4F42-9044-481FF0BB715B}" type="pres">
      <dgm:prSet presAssocID="{4EEF1CF2-B05C-4967-859B-800D1214EBB6}" presName="hierChild3" presStyleCnt="0"/>
      <dgm:spPr/>
    </dgm:pt>
    <dgm:pt modelId="{C81E08D2-2217-4AA5-A2D3-7C7CEC3DE47A}" type="pres">
      <dgm:prSet presAssocID="{C35D22BE-90D3-443A-B285-FC9ACF3D77E8}" presName="Name25" presStyleLbl="parChTrans1D4" presStyleIdx="7" presStyleCnt="16"/>
      <dgm:spPr/>
    </dgm:pt>
    <dgm:pt modelId="{C42D5412-318A-4DDA-941E-814848702665}" type="pres">
      <dgm:prSet presAssocID="{C35D22BE-90D3-443A-B285-FC9ACF3D77E8}" presName="connTx" presStyleLbl="parChTrans1D4" presStyleIdx="7" presStyleCnt="16"/>
      <dgm:spPr/>
    </dgm:pt>
    <dgm:pt modelId="{F0BCBD8A-74DD-4CFB-9153-3A0A4A99F25A}" type="pres">
      <dgm:prSet presAssocID="{9C8272E5-520A-44FD-9720-C2B081F91B2A}" presName="Name30" presStyleCnt="0"/>
      <dgm:spPr/>
    </dgm:pt>
    <dgm:pt modelId="{05BDA40B-B356-44EF-97E2-C603910F19C2}" type="pres">
      <dgm:prSet presAssocID="{9C8272E5-520A-44FD-9720-C2B081F91B2A}" presName="level2Shape" presStyleLbl="node4" presStyleIdx="7" presStyleCnt="16"/>
      <dgm:spPr/>
    </dgm:pt>
    <dgm:pt modelId="{17C26674-01C5-4A15-8F40-2D23443D4BBC}" type="pres">
      <dgm:prSet presAssocID="{9C8272E5-520A-44FD-9720-C2B081F91B2A}" presName="hierChild3" presStyleCnt="0"/>
      <dgm:spPr/>
    </dgm:pt>
    <dgm:pt modelId="{7FE5D4C2-0386-4CE1-8987-8AB0B873AF28}" type="pres">
      <dgm:prSet presAssocID="{A73C5A6F-2909-4A38-993A-68E5B9B3A350}" presName="Name25" presStyleLbl="parChTrans1D4" presStyleIdx="8" presStyleCnt="16"/>
      <dgm:spPr/>
    </dgm:pt>
    <dgm:pt modelId="{EBDECFE5-DB9C-4A72-85D5-21EBD2AA6547}" type="pres">
      <dgm:prSet presAssocID="{A73C5A6F-2909-4A38-993A-68E5B9B3A350}" presName="connTx" presStyleLbl="parChTrans1D4" presStyleIdx="8" presStyleCnt="16"/>
      <dgm:spPr/>
    </dgm:pt>
    <dgm:pt modelId="{48CA3F30-242B-44B8-80A0-63EC872D8B15}" type="pres">
      <dgm:prSet presAssocID="{0187FE90-DE60-4C20-9C64-558FB49F7D28}" presName="Name30" presStyleCnt="0"/>
      <dgm:spPr/>
    </dgm:pt>
    <dgm:pt modelId="{C944D69D-8469-4597-B05E-CD82BBB28729}" type="pres">
      <dgm:prSet presAssocID="{0187FE90-DE60-4C20-9C64-558FB49F7D28}" presName="level2Shape" presStyleLbl="node4" presStyleIdx="8" presStyleCnt="16"/>
      <dgm:spPr/>
    </dgm:pt>
    <dgm:pt modelId="{17365D8A-282F-4CF6-9DFB-94756D0F5A14}" type="pres">
      <dgm:prSet presAssocID="{0187FE90-DE60-4C20-9C64-558FB49F7D28}" presName="hierChild3" presStyleCnt="0"/>
      <dgm:spPr/>
    </dgm:pt>
    <dgm:pt modelId="{C7217F01-6603-4E3B-89F0-1D2697FB42E4}" type="pres">
      <dgm:prSet presAssocID="{9BB44BE2-6F05-4C82-B117-01866249D1FF}" presName="Name25" presStyleLbl="parChTrans1D2" presStyleIdx="2" presStyleCnt="3"/>
      <dgm:spPr/>
    </dgm:pt>
    <dgm:pt modelId="{60C070B7-DA91-4C67-AB94-078587F9520D}" type="pres">
      <dgm:prSet presAssocID="{9BB44BE2-6F05-4C82-B117-01866249D1FF}" presName="connTx" presStyleLbl="parChTrans1D2" presStyleIdx="2" presStyleCnt="3"/>
      <dgm:spPr/>
    </dgm:pt>
    <dgm:pt modelId="{B8BCD121-78C4-4E81-A2EC-0B9FB258342F}" type="pres">
      <dgm:prSet presAssocID="{6E869E90-08D5-4D8E-B5E7-08D0EFCDA242}" presName="Name30" presStyleCnt="0"/>
      <dgm:spPr/>
    </dgm:pt>
    <dgm:pt modelId="{84D17DED-2AAD-460A-9A9F-D485AF483D96}" type="pres">
      <dgm:prSet presAssocID="{6E869E90-08D5-4D8E-B5E7-08D0EFCDA242}" presName="level2Shape" presStyleLbl="node2" presStyleIdx="2" presStyleCnt="3"/>
      <dgm:spPr/>
    </dgm:pt>
    <dgm:pt modelId="{8D28E979-116D-48CB-9AE1-AB7ECA8A2F09}" type="pres">
      <dgm:prSet presAssocID="{6E869E90-08D5-4D8E-B5E7-08D0EFCDA242}" presName="hierChild3" presStyleCnt="0"/>
      <dgm:spPr/>
    </dgm:pt>
    <dgm:pt modelId="{0BE8BDAC-028B-4B2B-8B43-A1936D5196C8}" type="pres">
      <dgm:prSet presAssocID="{E289B66A-51E9-4BCD-8ECB-D656367A2A02}" presName="Name25" presStyleLbl="parChTrans1D3" presStyleIdx="2" presStyleCnt="3"/>
      <dgm:spPr/>
    </dgm:pt>
    <dgm:pt modelId="{514034FC-620A-4B50-BCC4-2053CF89DD45}" type="pres">
      <dgm:prSet presAssocID="{E289B66A-51E9-4BCD-8ECB-D656367A2A02}" presName="connTx" presStyleLbl="parChTrans1D3" presStyleIdx="2" presStyleCnt="3"/>
      <dgm:spPr/>
    </dgm:pt>
    <dgm:pt modelId="{D2FA0C42-2FF1-4673-82CE-9B558CFC6893}" type="pres">
      <dgm:prSet presAssocID="{A77D70AE-C457-4A0B-A0D5-5FE4C3FB42F5}" presName="Name30" presStyleCnt="0"/>
      <dgm:spPr/>
    </dgm:pt>
    <dgm:pt modelId="{0BD5B255-32D8-492D-8145-43A40489E327}" type="pres">
      <dgm:prSet presAssocID="{A77D70AE-C457-4A0B-A0D5-5FE4C3FB42F5}" presName="level2Shape" presStyleLbl="node3" presStyleIdx="2" presStyleCnt="3"/>
      <dgm:spPr/>
    </dgm:pt>
    <dgm:pt modelId="{4BE94160-521E-4476-9815-214EFFAB6B4D}" type="pres">
      <dgm:prSet presAssocID="{A77D70AE-C457-4A0B-A0D5-5FE4C3FB42F5}" presName="hierChild3" presStyleCnt="0"/>
      <dgm:spPr/>
    </dgm:pt>
    <dgm:pt modelId="{5E2CA5F0-6EDB-43B2-A107-0061A8DFE1E7}" type="pres">
      <dgm:prSet presAssocID="{2C2CEBB0-68EF-4C75-A94C-8E0C318772CA}" presName="Name25" presStyleLbl="parChTrans1D4" presStyleIdx="9" presStyleCnt="16"/>
      <dgm:spPr/>
    </dgm:pt>
    <dgm:pt modelId="{727284C4-5D3A-42D6-9E93-3D33AA3B1940}" type="pres">
      <dgm:prSet presAssocID="{2C2CEBB0-68EF-4C75-A94C-8E0C318772CA}" presName="connTx" presStyleLbl="parChTrans1D4" presStyleIdx="9" presStyleCnt="16"/>
      <dgm:spPr/>
    </dgm:pt>
    <dgm:pt modelId="{73CA87C0-DFE2-46BB-A045-E155FCF56B53}" type="pres">
      <dgm:prSet presAssocID="{39C54EB5-8D33-4F67-ABFE-3D598BF2E0CD}" presName="Name30" presStyleCnt="0"/>
      <dgm:spPr/>
    </dgm:pt>
    <dgm:pt modelId="{C486FC47-D7D2-4488-B170-D2EE3F6A70E1}" type="pres">
      <dgm:prSet presAssocID="{39C54EB5-8D33-4F67-ABFE-3D598BF2E0CD}" presName="level2Shape" presStyleLbl="node4" presStyleIdx="9" presStyleCnt="16"/>
      <dgm:spPr/>
    </dgm:pt>
    <dgm:pt modelId="{0121ABB6-11C3-4C75-90B6-DCC7CA911F60}" type="pres">
      <dgm:prSet presAssocID="{39C54EB5-8D33-4F67-ABFE-3D598BF2E0CD}" presName="hierChild3" presStyleCnt="0"/>
      <dgm:spPr/>
    </dgm:pt>
    <dgm:pt modelId="{62C14F1E-42EB-45E1-876B-6F88FA1EE635}" type="pres">
      <dgm:prSet presAssocID="{E3427103-77AA-457E-8B06-764E7469BC19}" presName="Name25" presStyleLbl="parChTrans1D4" presStyleIdx="10" presStyleCnt="16"/>
      <dgm:spPr/>
    </dgm:pt>
    <dgm:pt modelId="{1625FA8D-1DCE-4910-B63F-2A00832BECCE}" type="pres">
      <dgm:prSet presAssocID="{E3427103-77AA-457E-8B06-764E7469BC19}" presName="connTx" presStyleLbl="parChTrans1D4" presStyleIdx="10" presStyleCnt="16"/>
      <dgm:spPr/>
    </dgm:pt>
    <dgm:pt modelId="{970A0CB3-AE26-4061-8F40-F0A94ED67620}" type="pres">
      <dgm:prSet presAssocID="{B25B4A93-9100-4A99-AA4C-C2BC4EA05C04}" presName="Name30" presStyleCnt="0"/>
      <dgm:spPr/>
    </dgm:pt>
    <dgm:pt modelId="{4D543170-AB5D-481E-AE28-7C318C9E1D00}" type="pres">
      <dgm:prSet presAssocID="{B25B4A93-9100-4A99-AA4C-C2BC4EA05C04}" presName="level2Shape" presStyleLbl="node4" presStyleIdx="10" presStyleCnt="16"/>
      <dgm:spPr/>
    </dgm:pt>
    <dgm:pt modelId="{C21DE573-C296-4C2E-9620-D9CDBA0E0222}" type="pres">
      <dgm:prSet presAssocID="{B25B4A93-9100-4A99-AA4C-C2BC4EA05C04}" presName="hierChild3" presStyleCnt="0"/>
      <dgm:spPr/>
    </dgm:pt>
    <dgm:pt modelId="{1E337061-9AD5-4BEF-9A2E-496BD8016888}" type="pres">
      <dgm:prSet presAssocID="{239A6B93-B420-4473-AFD8-8C76CB8E84FB}" presName="Name25" presStyleLbl="parChTrans1D4" presStyleIdx="11" presStyleCnt="16"/>
      <dgm:spPr/>
    </dgm:pt>
    <dgm:pt modelId="{DA601191-2BF0-4A7A-8527-06A1A4687AF2}" type="pres">
      <dgm:prSet presAssocID="{239A6B93-B420-4473-AFD8-8C76CB8E84FB}" presName="connTx" presStyleLbl="parChTrans1D4" presStyleIdx="11" presStyleCnt="16"/>
      <dgm:spPr/>
    </dgm:pt>
    <dgm:pt modelId="{151AE3C0-7911-40BA-BB1E-63E8FF69D1D6}" type="pres">
      <dgm:prSet presAssocID="{BCA8218D-9958-43B0-8E7A-95A84BC4EF00}" presName="Name30" presStyleCnt="0"/>
      <dgm:spPr/>
    </dgm:pt>
    <dgm:pt modelId="{4009E22F-7A76-4372-8313-87DC2650C5A5}" type="pres">
      <dgm:prSet presAssocID="{BCA8218D-9958-43B0-8E7A-95A84BC4EF00}" presName="level2Shape" presStyleLbl="node4" presStyleIdx="11" presStyleCnt="16"/>
      <dgm:spPr/>
    </dgm:pt>
    <dgm:pt modelId="{D85BEA96-001C-4351-946E-2EDDE2FCB17E}" type="pres">
      <dgm:prSet presAssocID="{BCA8218D-9958-43B0-8E7A-95A84BC4EF00}" presName="hierChild3" presStyleCnt="0"/>
      <dgm:spPr/>
    </dgm:pt>
    <dgm:pt modelId="{F8753328-F67C-451E-AFD5-BAE04E9BDED4}" type="pres">
      <dgm:prSet presAssocID="{C63FE8F6-2AF4-4BB2-B338-1EC4BE64D73C}" presName="Name25" presStyleLbl="parChTrans1D4" presStyleIdx="12" presStyleCnt="16"/>
      <dgm:spPr/>
    </dgm:pt>
    <dgm:pt modelId="{BC936C2A-0668-42A4-9AAF-855FCDB3AFEE}" type="pres">
      <dgm:prSet presAssocID="{C63FE8F6-2AF4-4BB2-B338-1EC4BE64D73C}" presName="connTx" presStyleLbl="parChTrans1D4" presStyleIdx="12" presStyleCnt="16"/>
      <dgm:spPr/>
    </dgm:pt>
    <dgm:pt modelId="{5617EFA0-74EC-47C3-A0A6-69971EC1F8F9}" type="pres">
      <dgm:prSet presAssocID="{2D02BEAE-2468-4011-AD6D-36B18AC9C6C9}" presName="Name30" presStyleCnt="0"/>
      <dgm:spPr/>
    </dgm:pt>
    <dgm:pt modelId="{D47CF43F-6F9E-47BD-81E8-560FD4404FCF}" type="pres">
      <dgm:prSet presAssocID="{2D02BEAE-2468-4011-AD6D-36B18AC9C6C9}" presName="level2Shape" presStyleLbl="node4" presStyleIdx="12" presStyleCnt="16"/>
      <dgm:spPr/>
    </dgm:pt>
    <dgm:pt modelId="{1E8756D1-E1BC-454D-92AF-DC24E7F52966}" type="pres">
      <dgm:prSet presAssocID="{2D02BEAE-2468-4011-AD6D-36B18AC9C6C9}" presName="hierChild3" presStyleCnt="0"/>
      <dgm:spPr/>
    </dgm:pt>
    <dgm:pt modelId="{24A64180-58B2-4E3F-BBAB-2837C5AB8639}" type="pres">
      <dgm:prSet presAssocID="{5670667F-7BD7-4080-88F7-B683FAA79E76}" presName="Name25" presStyleLbl="parChTrans1D4" presStyleIdx="13" presStyleCnt="16"/>
      <dgm:spPr/>
    </dgm:pt>
    <dgm:pt modelId="{3EB58BFC-177D-4BF5-AA82-0DFC1EA58282}" type="pres">
      <dgm:prSet presAssocID="{5670667F-7BD7-4080-88F7-B683FAA79E76}" presName="connTx" presStyleLbl="parChTrans1D4" presStyleIdx="13" presStyleCnt="16"/>
      <dgm:spPr/>
    </dgm:pt>
    <dgm:pt modelId="{125A59BF-7344-43BE-AF29-EE6C4BBE2A2A}" type="pres">
      <dgm:prSet presAssocID="{5978E3B3-05D9-4516-9F1A-089E2032C36D}" presName="Name30" presStyleCnt="0"/>
      <dgm:spPr/>
    </dgm:pt>
    <dgm:pt modelId="{7ACDEFAC-5793-4FF4-953F-CFFCA3EDB168}" type="pres">
      <dgm:prSet presAssocID="{5978E3B3-05D9-4516-9F1A-089E2032C36D}" presName="level2Shape" presStyleLbl="node4" presStyleIdx="13" presStyleCnt="16"/>
      <dgm:spPr/>
    </dgm:pt>
    <dgm:pt modelId="{D6B995DA-CE8E-4ECA-9CEB-D39A3CB3391F}" type="pres">
      <dgm:prSet presAssocID="{5978E3B3-05D9-4516-9F1A-089E2032C36D}" presName="hierChild3" presStyleCnt="0"/>
      <dgm:spPr/>
    </dgm:pt>
    <dgm:pt modelId="{9E417FBA-69DC-4D02-871B-2636F8F66360}" type="pres">
      <dgm:prSet presAssocID="{89306BAA-8513-4DBF-B414-90EE61FA3CBE}" presName="Name25" presStyleLbl="parChTrans1D4" presStyleIdx="14" presStyleCnt="16"/>
      <dgm:spPr/>
    </dgm:pt>
    <dgm:pt modelId="{952D35C7-D61E-4B4C-88E4-3E2915467478}" type="pres">
      <dgm:prSet presAssocID="{89306BAA-8513-4DBF-B414-90EE61FA3CBE}" presName="connTx" presStyleLbl="parChTrans1D4" presStyleIdx="14" presStyleCnt="16"/>
      <dgm:spPr/>
    </dgm:pt>
    <dgm:pt modelId="{0E39CFBA-C941-4FEC-B55A-5EEFF292DB57}" type="pres">
      <dgm:prSet presAssocID="{FCBDD13B-0A10-4974-9263-649F5091F1A0}" presName="Name30" presStyleCnt="0"/>
      <dgm:spPr/>
    </dgm:pt>
    <dgm:pt modelId="{A44620A8-01E9-44DF-8B5A-F7953C4A7468}" type="pres">
      <dgm:prSet presAssocID="{FCBDD13B-0A10-4974-9263-649F5091F1A0}" presName="level2Shape" presStyleLbl="node4" presStyleIdx="14" presStyleCnt="16"/>
      <dgm:spPr/>
    </dgm:pt>
    <dgm:pt modelId="{88B60DA1-C203-4990-933F-A13F4F6D0653}" type="pres">
      <dgm:prSet presAssocID="{FCBDD13B-0A10-4974-9263-649F5091F1A0}" presName="hierChild3" presStyleCnt="0"/>
      <dgm:spPr/>
    </dgm:pt>
    <dgm:pt modelId="{2C62AF3E-4942-4621-A810-350EAC5558FF}" type="pres">
      <dgm:prSet presAssocID="{48BBEF75-F6FB-4B40-9906-0A8C82A5EC3A}" presName="Name25" presStyleLbl="parChTrans1D4" presStyleIdx="15" presStyleCnt="16"/>
      <dgm:spPr/>
    </dgm:pt>
    <dgm:pt modelId="{BAB8827F-B000-471C-B322-7C85BDAE9721}" type="pres">
      <dgm:prSet presAssocID="{48BBEF75-F6FB-4B40-9906-0A8C82A5EC3A}" presName="connTx" presStyleLbl="parChTrans1D4" presStyleIdx="15" presStyleCnt="16"/>
      <dgm:spPr/>
    </dgm:pt>
    <dgm:pt modelId="{C207B727-7FB2-4FAA-B926-A874D440FEDA}" type="pres">
      <dgm:prSet presAssocID="{C6FBC65A-4006-4D1A-873A-6D8765B30314}" presName="Name30" presStyleCnt="0"/>
      <dgm:spPr/>
    </dgm:pt>
    <dgm:pt modelId="{8700431F-A44E-4F5D-8D75-45B4C9442CAA}" type="pres">
      <dgm:prSet presAssocID="{C6FBC65A-4006-4D1A-873A-6D8765B30314}" presName="level2Shape" presStyleLbl="node4" presStyleIdx="15" presStyleCnt="16"/>
      <dgm:spPr/>
    </dgm:pt>
    <dgm:pt modelId="{3C992E32-1CB3-46D6-9833-5FB1FF8EAFA9}" type="pres">
      <dgm:prSet presAssocID="{C6FBC65A-4006-4D1A-873A-6D8765B30314}" presName="hierChild3" presStyleCnt="0"/>
      <dgm:spPr/>
    </dgm:pt>
    <dgm:pt modelId="{91CA2A44-6FCB-4DCC-ADD3-697F2C5DA6B9}" type="pres">
      <dgm:prSet presAssocID="{DA4720FB-8EC4-42DA-AEEB-2DC827D3A0FA}" presName="bgShapesFlow" presStyleCnt="0"/>
      <dgm:spPr/>
    </dgm:pt>
    <dgm:pt modelId="{4A0337D3-5A86-4A1A-81DB-1EE052DE046F}" type="pres">
      <dgm:prSet presAssocID="{16EE2C2C-EF24-4F84-8E59-76B7396A12CC}" presName="rectComp" presStyleCnt="0"/>
      <dgm:spPr/>
    </dgm:pt>
    <dgm:pt modelId="{FC34E641-94F7-48C8-94F2-D861485908A6}" type="pres">
      <dgm:prSet presAssocID="{16EE2C2C-EF24-4F84-8E59-76B7396A12CC}" presName="bgRect" presStyleLbl="bgShp" presStyleIdx="0" presStyleCnt="3"/>
      <dgm:spPr/>
    </dgm:pt>
    <dgm:pt modelId="{C02559F7-4E7C-48C2-A050-B5C5BEBED2ED}" type="pres">
      <dgm:prSet presAssocID="{16EE2C2C-EF24-4F84-8E59-76B7396A12CC}" presName="bgRectTx" presStyleLbl="bgShp" presStyleIdx="0" presStyleCnt="3">
        <dgm:presLayoutVars>
          <dgm:bulletEnabled val="1"/>
        </dgm:presLayoutVars>
      </dgm:prSet>
      <dgm:spPr/>
    </dgm:pt>
    <dgm:pt modelId="{AB697099-302F-4F82-BE73-1AB092E15EBD}" type="pres">
      <dgm:prSet presAssocID="{16EE2C2C-EF24-4F84-8E59-76B7396A12CC}" presName="spComp" presStyleCnt="0"/>
      <dgm:spPr/>
    </dgm:pt>
    <dgm:pt modelId="{99C0BDF4-39D5-47A8-90F4-232BBA36ABC1}" type="pres">
      <dgm:prSet presAssocID="{16EE2C2C-EF24-4F84-8E59-76B7396A12CC}" presName="hSp" presStyleCnt="0"/>
      <dgm:spPr/>
    </dgm:pt>
    <dgm:pt modelId="{301973DB-9AC6-4D42-A516-35FD613B60F9}" type="pres">
      <dgm:prSet presAssocID="{E5A85577-B85C-4C5B-AA07-8E1FB2E6D899}" presName="rectComp" presStyleCnt="0"/>
      <dgm:spPr/>
    </dgm:pt>
    <dgm:pt modelId="{B7FB1B7B-1CD0-4327-BF9B-2C74442922F1}" type="pres">
      <dgm:prSet presAssocID="{E5A85577-B85C-4C5B-AA07-8E1FB2E6D899}" presName="bgRect" presStyleLbl="bgShp" presStyleIdx="1" presStyleCnt="3" custScaleX="116900" custLinFactNeighborX="-15158" custLinFactNeighborY="675"/>
      <dgm:spPr/>
    </dgm:pt>
    <dgm:pt modelId="{F2CA1D80-7916-410D-9349-E472CE0F5D7C}" type="pres">
      <dgm:prSet presAssocID="{E5A85577-B85C-4C5B-AA07-8E1FB2E6D899}" presName="bgRectTx" presStyleLbl="bgShp" presStyleIdx="1" presStyleCnt="3">
        <dgm:presLayoutVars>
          <dgm:bulletEnabled val="1"/>
        </dgm:presLayoutVars>
      </dgm:prSet>
      <dgm:spPr/>
    </dgm:pt>
    <dgm:pt modelId="{7ABACB55-E358-4EB6-ABAF-232750EE379F}" type="pres">
      <dgm:prSet presAssocID="{E5A85577-B85C-4C5B-AA07-8E1FB2E6D899}" presName="spComp" presStyleCnt="0"/>
      <dgm:spPr/>
    </dgm:pt>
    <dgm:pt modelId="{7AF6CB44-C9CF-4A25-B390-5FF708646955}" type="pres">
      <dgm:prSet presAssocID="{E5A85577-B85C-4C5B-AA07-8E1FB2E6D899}" presName="hSp" presStyleCnt="0"/>
      <dgm:spPr/>
    </dgm:pt>
    <dgm:pt modelId="{0DD931E0-D521-4880-8DC1-37522136C69D}" type="pres">
      <dgm:prSet presAssocID="{862609F5-A04B-443C-9DEC-DA654157D507}" presName="rectComp" presStyleCnt="0"/>
      <dgm:spPr/>
    </dgm:pt>
    <dgm:pt modelId="{7FEF7462-20C5-410C-B6F6-98AAA2C18069}" type="pres">
      <dgm:prSet presAssocID="{862609F5-A04B-443C-9DEC-DA654157D507}" presName="bgRect" presStyleLbl="bgShp" presStyleIdx="2" presStyleCnt="3" custScaleX="118056" custLinFactNeighborX="-16830" custLinFactNeighborY="1481"/>
      <dgm:spPr/>
    </dgm:pt>
    <dgm:pt modelId="{07972C04-2868-4100-AF2D-BA5D8EF0382F}" type="pres">
      <dgm:prSet presAssocID="{862609F5-A04B-443C-9DEC-DA654157D507}" presName="bgRectTx" presStyleLbl="bgShp" presStyleIdx="2" presStyleCnt="3">
        <dgm:presLayoutVars>
          <dgm:bulletEnabled val="1"/>
        </dgm:presLayoutVars>
      </dgm:prSet>
      <dgm:spPr/>
    </dgm:pt>
  </dgm:ptLst>
  <dgm:cxnLst>
    <dgm:cxn modelId="{5DB1E000-2F47-44AD-9348-C69D9DD6EE31}" type="presOf" srcId="{C4059383-E1FF-4559-AE5E-44808334D6A5}" destId="{97E79C04-FAD4-4133-9FD3-A12CE4E2117A}" srcOrd="0" destOrd="0" presId="urn:microsoft.com/office/officeart/2005/8/layout/hierarchy5"/>
    <dgm:cxn modelId="{6C58BC04-3463-4DAA-8C40-82CCBCBAF56A}" type="presOf" srcId="{B775D58D-8691-454B-8FB6-B20A6B246CBF}" destId="{09E6D413-C8F7-460F-A209-9B7708D7AB40}" srcOrd="0" destOrd="0" presId="urn:microsoft.com/office/officeart/2005/8/layout/hierarchy5"/>
    <dgm:cxn modelId="{02D3F207-F429-46B8-9B52-1B7924F83870}" type="presOf" srcId="{16A57316-CC68-469A-B740-598F1DB676F5}" destId="{444156DA-B948-4AF8-AEF1-A795A162A730}" srcOrd="0" destOrd="0" presId="urn:microsoft.com/office/officeart/2005/8/layout/hierarchy5"/>
    <dgm:cxn modelId="{2A60800D-25D9-41E9-B05F-04C2FCD9309D}" srcId="{16A57316-CC68-469A-B740-598F1DB676F5}" destId="{4EEF1CF2-B05C-4967-859B-800D1214EBB6}" srcOrd="0" destOrd="0" parTransId="{214D4380-FDBA-4BD9-B5DC-40BE4284FD86}" sibTransId="{29897247-734D-4972-A6F6-8C72DF7379B9}"/>
    <dgm:cxn modelId="{A9D9B20D-03A7-425E-A2B8-C95FC0F428E9}" type="presOf" srcId="{48BBEF75-F6FB-4B40-9906-0A8C82A5EC3A}" destId="{BAB8827F-B000-471C-B322-7C85BDAE9721}" srcOrd="1" destOrd="0" presId="urn:microsoft.com/office/officeart/2005/8/layout/hierarchy5"/>
    <dgm:cxn modelId="{DE01DA0D-1189-480F-BEFC-46D0165CC06B}" type="presOf" srcId="{C2030B0D-92E3-4BB9-82FF-8B69884C5828}" destId="{3372CB7B-DD61-4E86-9AA7-CE7447C51255}" srcOrd="0" destOrd="0" presId="urn:microsoft.com/office/officeart/2005/8/layout/hierarchy5"/>
    <dgm:cxn modelId="{80BAE60D-ADC8-4955-B108-096A68231103}" type="presOf" srcId="{C63FE8F6-2AF4-4BB2-B338-1EC4BE64D73C}" destId="{BC936C2A-0668-42A4-9AAF-855FCDB3AFEE}" srcOrd="1" destOrd="0" presId="urn:microsoft.com/office/officeart/2005/8/layout/hierarchy5"/>
    <dgm:cxn modelId="{AEEA610F-7B1B-414B-9A1B-AFB3C1C8F88D}" type="presOf" srcId="{3CD2E04A-B9F4-4AC1-96DC-D7C5596DABB3}" destId="{74262111-E7C3-43E5-A442-E170DB50D546}" srcOrd="0" destOrd="0" presId="urn:microsoft.com/office/officeart/2005/8/layout/hierarchy5"/>
    <dgm:cxn modelId="{AA66E614-9F5D-4DB5-A10F-5BCB0F30C4B5}" srcId="{C4059383-E1FF-4559-AE5E-44808334D6A5}" destId="{C034161C-29D2-418F-BBCC-262512FE6D08}" srcOrd="0" destOrd="0" parTransId="{401B43B8-45ED-49CA-8E82-9374DE2D1A41}" sibTransId="{FEABA478-147B-4FB4-9984-4DEE6D115647}"/>
    <dgm:cxn modelId="{2D963B15-535A-4323-BBD3-A01094317956}" srcId="{39C54EB5-8D33-4F67-ABFE-3D598BF2E0CD}" destId="{B25B4A93-9100-4A99-AA4C-C2BC4EA05C04}" srcOrd="0" destOrd="0" parTransId="{E3427103-77AA-457E-8B06-764E7469BC19}" sibTransId="{4C265002-15E7-4B67-B737-806B96366D59}"/>
    <dgm:cxn modelId="{0E442E17-AF12-48D5-8D0A-B7476B067AD2}" type="presOf" srcId="{239A6B93-B420-4473-AFD8-8C76CB8E84FB}" destId="{DA601191-2BF0-4A7A-8527-06A1A4687AF2}" srcOrd="1" destOrd="0" presId="urn:microsoft.com/office/officeart/2005/8/layout/hierarchy5"/>
    <dgm:cxn modelId="{30AF071B-310D-4808-AF81-3DE9CCE6B076}" type="presOf" srcId="{B775D58D-8691-454B-8FB6-B20A6B246CBF}" destId="{879B3957-C9F8-4564-B5BA-326323B732D5}" srcOrd="1" destOrd="0" presId="urn:microsoft.com/office/officeart/2005/8/layout/hierarchy5"/>
    <dgm:cxn modelId="{BDBD4A1E-58C3-4A9C-B36D-510546A610C0}" type="presOf" srcId="{E3427103-77AA-457E-8B06-764E7469BC19}" destId="{1625FA8D-1DCE-4910-B63F-2A00832BECCE}" srcOrd="1" destOrd="0" presId="urn:microsoft.com/office/officeart/2005/8/layout/hierarchy5"/>
    <dgm:cxn modelId="{8E019B2E-3E47-4BF3-99D3-30C64110851C}" type="presOf" srcId="{C034161C-29D2-418F-BBCC-262512FE6D08}" destId="{3BD12680-83DB-4C67-B5C8-49D762F38079}" srcOrd="0" destOrd="0" presId="urn:microsoft.com/office/officeart/2005/8/layout/hierarchy5"/>
    <dgm:cxn modelId="{0C941F2F-47CA-4D96-AD1D-3172509471E9}" type="presOf" srcId="{FCBDD13B-0A10-4974-9263-649F5091F1A0}" destId="{A44620A8-01E9-44DF-8B5A-F7953C4A7468}" srcOrd="0" destOrd="0" presId="urn:microsoft.com/office/officeart/2005/8/layout/hierarchy5"/>
    <dgm:cxn modelId="{5F570C31-3160-429A-A5A5-B1E618185D3B}" type="presOf" srcId="{9C8272E5-520A-44FD-9720-C2B081F91B2A}" destId="{05BDA40B-B356-44EF-97E2-C603910F19C2}" srcOrd="0" destOrd="0" presId="urn:microsoft.com/office/officeart/2005/8/layout/hierarchy5"/>
    <dgm:cxn modelId="{E8686832-34DA-4C3C-B327-FF373F7B2AC4}" type="presOf" srcId="{53A5883E-002D-4CCD-81D7-37105957DE78}" destId="{CEB21F55-8624-4E6F-9AD9-FDC7175AD88F}" srcOrd="0" destOrd="0" presId="urn:microsoft.com/office/officeart/2005/8/layout/hierarchy5"/>
    <dgm:cxn modelId="{8C5A8937-1F5F-42C0-AE7A-77B38F5547A5}" type="presOf" srcId="{16EE2C2C-EF24-4F84-8E59-76B7396A12CC}" destId="{C02559F7-4E7C-48C2-A050-B5C5BEBED2ED}" srcOrd="1" destOrd="0" presId="urn:microsoft.com/office/officeart/2005/8/layout/hierarchy5"/>
    <dgm:cxn modelId="{F85CD73A-D943-4CAE-97BF-AF3254BEC23E}" type="presOf" srcId="{C6FBC65A-4006-4D1A-873A-6D8765B30314}" destId="{8700431F-A44E-4F5D-8D75-45B4C9442CAA}" srcOrd="0" destOrd="0" presId="urn:microsoft.com/office/officeart/2005/8/layout/hierarchy5"/>
    <dgm:cxn modelId="{5F53923E-34FF-45D2-8D6E-6E2488AF843E}" srcId="{65399720-9F0D-4E1F-966E-0B96274BDBF4}" destId="{53A5883E-002D-4CCD-81D7-37105957DE78}" srcOrd="0" destOrd="0" parTransId="{5BEC7E27-7292-4E95-B8AC-8D211FD6C389}" sibTransId="{FCA5F386-9845-4175-B2A0-4FD880AE6005}"/>
    <dgm:cxn modelId="{917B405E-F024-4238-9FCA-16BC2E930334}" srcId="{9C8272E5-520A-44FD-9720-C2B081F91B2A}" destId="{0187FE90-DE60-4C20-9C64-558FB49F7D28}" srcOrd="0" destOrd="0" parTransId="{A73C5A6F-2909-4A38-993A-68E5B9B3A350}" sibTransId="{13739E73-B8B9-4227-942B-2B4087C1994C}"/>
    <dgm:cxn modelId="{70430742-4596-47A7-B40E-79330CBCD6A6}" type="presOf" srcId="{94E80451-2EAE-4619-83BB-34150BF9E965}" destId="{BE712193-9A53-442C-B7BB-98BE319E4B77}" srcOrd="0" destOrd="0" presId="urn:microsoft.com/office/officeart/2005/8/layout/hierarchy5"/>
    <dgm:cxn modelId="{ACFE6B64-BAEC-44F0-A1D1-E9A43E58902C}" type="presOf" srcId="{2D02BEAE-2468-4011-AD6D-36B18AC9C6C9}" destId="{D47CF43F-6F9E-47BD-81E8-560FD4404FCF}" srcOrd="0" destOrd="0" presId="urn:microsoft.com/office/officeart/2005/8/layout/hierarchy5"/>
    <dgm:cxn modelId="{DA7B4B67-0B06-4EF0-9601-BBB2CAD8DFD4}" srcId="{DA4720FB-8EC4-42DA-AEEB-2DC827D3A0FA}" destId="{862609F5-A04B-443C-9DEC-DA654157D507}" srcOrd="3" destOrd="0" parTransId="{B7566EE3-4246-4811-9EA3-7E7745A236A6}" sibTransId="{85D61F16-B2BE-4297-9C39-A0495503C022}"/>
    <dgm:cxn modelId="{6D9D1368-B7C9-46ED-8D55-A02666D20BFD}" srcId="{FCBDD13B-0A10-4974-9263-649F5091F1A0}" destId="{C6FBC65A-4006-4D1A-873A-6D8765B30314}" srcOrd="0" destOrd="0" parTransId="{48BBEF75-F6FB-4B40-9906-0A8C82A5EC3A}" sibTransId="{91AA8876-3FA3-4C37-A465-D1A7B02AE183}"/>
    <dgm:cxn modelId="{DCEE4768-5A0E-4F9B-8931-A6D774CF7554}" srcId="{BCA8218D-9958-43B0-8E7A-95A84BC4EF00}" destId="{2D02BEAE-2468-4011-AD6D-36B18AC9C6C9}" srcOrd="0" destOrd="0" parTransId="{C63FE8F6-2AF4-4BB2-B338-1EC4BE64D73C}" sibTransId="{048B1ADB-8832-4BB4-83CF-BE1DF42C3FFA}"/>
    <dgm:cxn modelId="{0554EA69-F0C3-4682-B4DB-5CCB416132C3}" type="presOf" srcId="{DA4720FB-8EC4-42DA-AEEB-2DC827D3A0FA}" destId="{1F9AAAFC-D311-4A62-B605-749BEB541C9B}" srcOrd="0" destOrd="0" presId="urn:microsoft.com/office/officeart/2005/8/layout/hierarchy5"/>
    <dgm:cxn modelId="{58B3C24A-AD02-430A-9A5B-82E80BC88B88}" type="presOf" srcId="{A73C5A6F-2909-4A38-993A-68E5B9B3A350}" destId="{EBDECFE5-DB9C-4A72-85D5-21EBD2AA6547}" srcOrd="1" destOrd="0" presId="urn:microsoft.com/office/officeart/2005/8/layout/hierarchy5"/>
    <dgm:cxn modelId="{A3F88D4B-DB12-4E80-AD1B-69D105E303C9}" type="presOf" srcId="{E289B66A-51E9-4BCD-8ECB-D656367A2A02}" destId="{0BE8BDAC-028B-4B2B-8B43-A1936D5196C8}" srcOrd="0" destOrd="0" presId="urn:microsoft.com/office/officeart/2005/8/layout/hierarchy5"/>
    <dgm:cxn modelId="{B22AB44B-A00F-4A80-B283-38B280D501DE}" srcId="{577BEF3D-4626-43A7-A31B-DB0773474CD3}" destId="{B9781893-5B9A-48E8-B68D-518934BD4AF7}" srcOrd="0" destOrd="0" parTransId="{5C10A8E9-5E8A-46FC-9156-DBBB784C24E9}" sibTransId="{8E14E416-5DF7-4D8A-9CEE-1536D2BDCCAA}"/>
    <dgm:cxn modelId="{ACD8636C-E3F9-47A6-A905-576888C754FF}" type="presOf" srcId="{5670667F-7BD7-4080-88F7-B683FAA79E76}" destId="{3EB58BFC-177D-4BF5-AA82-0DFC1EA58282}" srcOrd="1" destOrd="0" presId="urn:microsoft.com/office/officeart/2005/8/layout/hierarchy5"/>
    <dgm:cxn modelId="{0211E76C-8F9E-4A57-BE22-7BE04BDE6EA1}" type="presOf" srcId="{2C2CEBB0-68EF-4C75-A94C-8E0C318772CA}" destId="{727284C4-5D3A-42D6-9E93-3D33AA3B1940}" srcOrd="1" destOrd="0" presId="urn:microsoft.com/office/officeart/2005/8/layout/hierarchy5"/>
    <dgm:cxn modelId="{106F424D-26D8-445B-AA4F-1FFD386292CA}" type="presOf" srcId="{C2030B0D-92E3-4BB9-82FF-8B69884C5828}" destId="{9ED777F1-67CC-4A81-BA5B-3B6D248CCCEA}" srcOrd="1" destOrd="0" presId="urn:microsoft.com/office/officeart/2005/8/layout/hierarchy5"/>
    <dgm:cxn modelId="{23219B4D-9612-4BB1-8A11-9BE2F6DA1A54}" type="presOf" srcId="{214D4380-FDBA-4BD9-B5DC-40BE4284FD86}" destId="{846710C8-4C44-409D-872D-08B75E9D48DE}" srcOrd="1" destOrd="0" presId="urn:microsoft.com/office/officeart/2005/8/layout/hierarchy5"/>
    <dgm:cxn modelId="{CD4AB34D-8A80-4E0E-A45E-37A5DF52E2B2}" srcId="{A77D70AE-C457-4A0B-A0D5-5FE4C3FB42F5}" destId="{39C54EB5-8D33-4F67-ABFE-3D598BF2E0CD}" srcOrd="0" destOrd="0" parTransId="{2C2CEBB0-68EF-4C75-A94C-8E0C318772CA}" sibTransId="{12A5E34C-38AA-4845-8623-1B2F065FB4E8}"/>
    <dgm:cxn modelId="{B307AE4F-7B1E-40DE-85A4-8DC57958B73E}" type="presOf" srcId="{C35D22BE-90D3-443A-B285-FC9ACF3D77E8}" destId="{C81E08D2-2217-4AA5-A2D3-7C7CEC3DE47A}" srcOrd="0" destOrd="0" presId="urn:microsoft.com/office/officeart/2005/8/layout/hierarchy5"/>
    <dgm:cxn modelId="{110A7771-EFD7-4DD4-9B29-E9DFFF63DAAD}" srcId="{DA4720FB-8EC4-42DA-AEEB-2DC827D3A0FA}" destId="{D7B9CC17-DBDD-4626-83DB-B4407A834775}" srcOrd="0" destOrd="0" parTransId="{34AEF325-6067-4CA8-9E15-96D2A41DB30B}" sibTransId="{6CC3418D-5888-4315-AB19-5A54EE4B1BEA}"/>
    <dgm:cxn modelId="{D69B2252-A98D-41DA-8571-07B2CD1EF513}" type="presOf" srcId="{48BBEF75-F6FB-4B40-9906-0A8C82A5EC3A}" destId="{2C62AF3E-4942-4621-A810-350EAC5558FF}" srcOrd="0" destOrd="0" presId="urn:microsoft.com/office/officeart/2005/8/layout/hierarchy5"/>
    <dgm:cxn modelId="{3E348572-5C33-42F9-834A-4D1010CF6039}" srcId="{B25B4A93-9100-4A99-AA4C-C2BC4EA05C04}" destId="{BCA8218D-9958-43B0-8E7A-95A84BC4EF00}" srcOrd="0" destOrd="0" parTransId="{239A6B93-B420-4473-AFD8-8C76CB8E84FB}" sibTransId="{19155C84-7D7D-4C02-8BAE-B14E2FE855EC}"/>
    <dgm:cxn modelId="{1808BA74-C137-4985-8BCB-26C6FDBAC925}" srcId="{2D02BEAE-2468-4011-AD6D-36B18AC9C6C9}" destId="{5978E3B3-05D9-4516-9F1A-089E2032C36D}" srcOrd="0" destOrd="0" parTransId="{5670667F-7BD7-4080-88F7-B683FAA79E76}" sibTransId="{1427C455-C076-4FDF-89A1-B2F049F9796F}"/>
    <dgm:cxn modelId="{51A20376-BEBA-486B-A354-7B796E48AADC}" type="presOf" srcId="{B25B4A93-9100-4A99-AA4C-C2BC4EA05C04}" destId="{4D543170-AB5D-481E-AE28-7C318C9E1D00}" srcOrd="0" destOrd="0" presId="urn:microsoft.com/office/officeart/2005/8/layout/hierarchy5"/>
    <dgm:cxn modelId="{996B0556-EA84-4497-8172-161FC6E72505}" type="presOf" srcId="{5BEC7E27-7292-4E95-B8AC-8D211FD6C389}" destId="{BF85E733-50E8-4B64-90AD-8483C7A272FF}" srcOrd="0" destOrd="0" presId="urn:microsoft.com/office/officeart/2005/8/layout/hierarchy5"/>
    <dgm:cxn modelId="{F3306657-F2F8-4FCD-A3C4-8CC20814DB71}" type="presOf" srcId="{65399720-9F0D-4E1F-966E-0B96274BDBF4}" destId="{F5031FF9-3E43-4D1A-A0EF-BE3E58C5BE10}" srcOrd="0" destOrd="0" presId="urn:microsoft.com/office/officeart/2005/8/layout/hierarchy5"/>
    <dgm:cxn modelId="{C2EA3659-C4F5-4A84-A358-C77943A3F2B4}" srcId="{53A5883E-002D-4CCD-81D7-37105957DE78}" destId="{C4059383-E1FF-4559-AE5E-44808334D6A5}" srcOrd="0" destOrd="0" parTransId="{F6758F62-4A9E-451C-8CD1-0D11B0EF7D1D}" sibTransId="{D78E3731-B8E1-4731-BBE5-7F7BA2640462}"/>
    <dgm:cxn modelId="{AD6B3E59-79D3-4F3E-8544-A5EC5A652959}" type="presOf" srcId="{5670667F-7BD7-4080-88F7-B683FAA79E76}" destId="{24A64180-58B2-4E3F-BBAB-2837C5AB8639}" srcOrd="0" destOrd="0" presId="urn:microsoft.com/office/officeart/2005/8/layout/hierarchy5"/>
    <dgm:cxn modelId="{A7A64559-6C57-4D68-BA32-587C72A8B78E}" srcId="{3CD2E04A-B9F4-4AC1-96DC-D7C5596DABB3}" destId="{C222F0AC-7C1D-4007-9688-27CAA0BF482A}" srcOrd="0" destOrd="0" parTransId="{B775D58D-8691-454B-8FB6-B20A6B246CBF}" sibTransId="{ADE4ADB9-3164-4F69-A4C4-A14E28F605C2}"/>
    <dgm:cxn modelId="{4FEE6959-EC57-49E7-B9D3-5A373FD3B422}" type="presOf" srcId="{BF7E08A6-ED1F-4A39-9829-121D06922C6A}" destId="{985C8792-A503-45C0-8C23-B81AEA1D9FDA}" srcOrd="0" destOrd="0" presId="urn:microsoft.com/office/officeart/2005/8/layout/hierarchy5"/>
    <dgm:cxn modelId="{16078459-CB5C-429F-ADD7-CE5B65385FCF}" type="presOf" srcId="{E5A85577-B85C-4C5B-AA07-8E1FB2E6D899}" destId="{F2CA1D80-7916-410D-9349-E472CE0F5D7C}" srcOrd="1" destOrd="0" presId="urn:microsoft.com/office/officeart/2005/8/layout/hierarchy5"/>
    <dgm:cxn modelId="{AF26147A-85E6-47C0-8941-D0D04949628A}" type="presOf" srcId="{BCA8218D-9958-43B0-8E7A-95A84BC4EF00}" destId="{4009E22F-7A76-4372-8313-87DC2650C5A5}" srcOrd="0" destOrd="0" presId="urn:microsoft.com/office/officeart/2005/8/layout/hierarchy5"/>
    <dgm:cxn modelId="{DD98C17B-E8D7-42E6-A960-57566194794D}" srcId="{B9781893-5B9A-48E8-B68D-518934BD4AF7}" destId="{65399720-9F0D-4E1F-966E-0B96274BDBF4}" srcOrd="0" destOrd="0" parTransId="{0472AFB5-C10A-489C-8C09-5DBFAAC990BD}" sibTransId="{8A619741-ADA9-4527-9973-0093939AA1D2}"/>
    <dgm:cxn modelId="{50E0CA7D-91FD-42C1-83FD-A01AC85B3AC6}" type="presOf" srcId="{9BB44BE2-6F05-4C82-B117-01866249D1FF}" destId="{C7217F01-6603-4E3B-89F0-1D2697FB42E4}" srcOrd="0" destOrd="0" presId="urn:microsoft.com/office/officeart/2005/8/layout/hierarchy5"/>
    <dgm:cxn modelId="{ADC24584-C8A4-4A96-8AEC-D89B4C46D849}" type="presOf" srcId="{5C10A8E9-5E8A-46FC-9156-DBBB784C24E9}" destId="{A887319C-65DE-43CC-88D3-458C525FECA8}" srcOrd="1" destOrd="0" presId="urn:microsoft.com/office/officeart/2005/8/layout/hierarchy5"/>
    <dgm:cxn modelId="{5328B184-89AD-4F69-94C1-AF3A77859758}" type="presOf" srcId="{94E80451-2EAE-4619-83BB-34150BF9E965}" destId="{1B48191F-2915-468A-8F6D-5B05A6C0CBE4}" srcOrd="1" destOrd="0" presId="urn:microsoft.com/office/officeart/2005/8/layout/hierarchy5"/>
    <dgm:cxn modelId="{3CDDE984-2A9D-4F7B-A149-8B62764A5CA4}" type="presOf" srcId="{6740FDC6-A128-44FA-BED8-55BAFDC5A735}" destId="{2AAF5376-8EB8-4E1C-90DA-96C56E842A33}" srcOrd="1" destOrd="0" presId="urn:microsoft.com/office/officeart/2005/8/layout/hierarchy5"/>
    <dgm:cxn modelId="{B5341486-E3F9-43AD-8A63-903E9151D776}" srcId="{D7B9CC17-DBDD-4626-83DB-B4407A834775}" destId="{3CD2E04A-B9F4-4AC1-96DC-D7C5596DABB3}" srcOrd="1" destOrd="0" parTransId="{94E80451-2EAE-4619-83BB-34150BF9E965}" sibTransId="{FC75B5ED-F5E1-47A9-B073-11A0B24B564D}"/>
    <dgm:cxn modelId="{3A871289-6EEA-4C90-86CE-34F1E2F8EA5C}" srcId="{5978E3B3-05D9-4516-9F1A-089E2032C36D}" destId="{FCBDD13B-0A10-4974-9263-649F5091F1A0}" srcOrd="0" destOrd="0" parTransId="{89306BAA-8513-4DBF-B414-90EE61FA3CBE}" sibTransId="{0BF61F25-A84D-4802-B8D5-4B9DA474F171}"/>
    <dgm:cxn modelId="{54986B8D-092F-40D2-A3A0-0826C8376128}" type="presOf" srcId="{0472AFB5-C10A-489C-8C09-5DBFAAC990BD}" destId="{BC7D2B2F-874B-4597-BDF9-F5E6AAF7BE74}" srcOrd="1" destOrd="0" presId="urn:microsoft.com/office/officeart/2005/8/layout/hierarchy5"/>
    <dgm:cxn modelId="{D683FE99-F66B-4C72-8B4D-40C03F1E0084}" type="presOf" srcId="{401B43B8-45ED-49CA-8E82-9374DE2D1A41}" destId="{98384189-C0EC-4C45-9FFF-72CBD97D7491}" srcOrd="1" destOrd="0" presId="urn:microsoft.com/office/officeart/2005/8/layout/hierarchy5"/>
    <dgm:cxn modelId="{58C5E79D-A490-45E1-9ACC-A88C50C3B528}" type="presOf" srcId="{03936B0F-8998-4D77-9A25-FCE2C9717B19}" destId="{D13C892C-AFD9-4CBF-AB29-75C174F13545}" srcOrd="0" destOrd="0" presId="urn:microsoft.com/office/officeart/2005/8/layout/hierarchy5"/>
    <dgm:cxn modelId="{4E470BA0-1E94-471D-90BD-9016CD06F85F}" type="presOf" srcId="{16EE2C2C-EF24-4F84-8E59-76B7396A12CC}" destId="{FC34E641-94F7-48C8-94F2-D861485908A6}" srcOrd="0" destOrd="0" presId="urn:microsoft.com/office/officeart/2005/8/layout/hierarchy5"/>
    <dgm:cxn modelId="{482CD1A2-B577-4CB1-B70B-BDF8A559F278}" srcId="{4EEF1CF2-B05C-4967-859B-800D1214EBB6}" destId="{9C8272E5-520A-44FD-9720-C2B081F91B2A}" srcOrd="0" destOrd="0" parTransId="{C35D22BE-90D3-443A-B285-FC9ACF3D77E8}" sibTransId="{51DDB5DF-9AE4-4D78-A9E1-20B538DD9A59}"/>
    <dgm:cxn modelId="{76B693AB-EC5F-4971-BF42-DD59E4CD5696}" type="presOf" srcId="{C63FE8F6-2AF4-4BB2-B338-1EC4BE64D73C}" destId="{F8753328-F67C-451E-AFD5-BAE04E9BDED4}" srcOrd="0" destOrd="0" presId="urn:microsoft.com/office/officeart/2005/8/layout/hierarchy5"/>
    <dgm:cxn modelId="{3FE69EAF-B348-409A-A7CF-F686726F3883}" type="presOf" srcId="{E289B66A-51E9-4BCD-8ECB-D656367A2A02}" destId="{514034FC-620A-4B50-BCC4-2053CF89DD45}" srcOrd="1" destOrd="0" presId="urn:microsoft.com/office/officeart/2005/8/layout/hierarchy5"/>
    <dgm:cxn modelId="{0065BEB3-43C1-4EC9-A766-9DF945DFA307}" srcId="{C034161C-29D2-418F-BBCC-262512FE6D08}" destId="{03936B0F-8998-4D77-9A25-FCE2C9717B19}" srcOrd="0" destOrd="0" parTransId="{6740FDC6-A128-44FA-BED8-55BAFDC5A735}" sibTransId="{ED070FC3-0854-4586-8B73-BA90C60E0BA4}"/>
    <dgm:cxn modelId="{93618EB9-D3AC-4D59-8E5B-321B1A42E5B6}" type="presOf" srcId="{862609F5-A04B-443C-9DEC-DA654157D507}" destId="{07972C04-2868-4100-AF2D-BA5D8EF0382F}" srcOrd="1" destOrd="0" presId="urn:microsoft.com/office/officeart/2005/8/layout/hierarchy5"/>
    <dgm:cxn modelId="{265B42BA-1C24-4598-904B-D57826A1DB78}" srcId="{DA4720FB-8EC4-42DA-AEEB-2DC827D3A0FA}" destId="{E5A85577-B85C-4C5B-AA07-8E1FB2E6D899}" srcOrd="2" destOrd="0" parTransId="{BBC7CC80-29F4-41E2-8760-295532C46C5C}" sibTransId="{00D81F15-B15C-4FE4-B5B5-D10FDABF1683}"/>
    <dgm:cxn modelId="{405D1BBB-3C43-4C4F-B30E-87D84709301B}" type="presOf" srcId="{89306BAA-8513-4DBF-B414-90EE61FA3CBE}" destId="{952D35C7-D61E-4B4C-88E4-3E2915467478}" srcOrd="1" destOrd="0" presId="urn:microsoft.com/office/officeart/2005/8/layout/hierarchy5"/>
    <dgm:cxn modelId="{313700BD-6CC7-436E-9D4A-E174B2DCEDF6}" type="presOf" srcId="{2C2CEBB0-68EF-4C75-A94C-8E0C318772CA}" destId="{5E2CA5F0-6EDB-43B2-A107-0061A8DFE1E7}" srcOrd="0" destOrd="0" presId="urn:microsoft.com/office/officeart/2005/8/layout/hierarchy5"/>
    <dgm:cxn modelId="{D1B335BD-054A-4953-BB81-7F013E7B73EB}" type="presOf" srcId="{E5A85577-B85C-4C5B-AA07-8E1FB2E6D899}" destId="{B7FB1B7B-1CD0-4327-BF9B-2C74442922F1}" srcOrd="0" destOrd="0" presId="urn:microsoft.com/office/officeart/2005/8/layout/hierarchy5"/>
    <dgm:cxn modelId="{C43561BE-9801-405E-8010-72F43D4780DD}" type="presOf" srcId="{9BB44BE2-6F05-4C82-B117-01866249D1FF}" destId="{60C070B7-DA91-4C67-AB94-078587F9520D}" srcOrd="1" destOrd="0" presId="urn:microsoft.com/office/officeart/2005/8/layout/hierarchy5"/>
    <dgm:cxn modelId="{CE9861BE-B439-465A-A21C-9D2BE6F45AA7}" type="presOf" srcId="{C222F0AC-7C1D-4007-9688-27CAA0BF482A}" destId="{8C974ACA-1E7E-4CF3-8889-96E24154EC20}" srcOrd="0" destOrd="0" presId="urn:microsoft.com/office/officeart/2005/8/layout/hierarchy5"/>
    <dgm:cxn modelId="{4A9F65BE-90C9-46DB-AB01-933AFCF4671D}" type="presOf" srcId="{A73C5A6F-2909-4A38-993A-68E5B9B3A350}" destId="{7FE5D4C2-0386-4CE1-8987-8AB0B873AF28}" srcOrd="0" destOrd="0" presId="urn:microsoft.com/office/officeart/2005/8/layout/hierarchy5"/>
    <dgm:cxn modelId="{80D2B6BE-67B0-43A8-96AC-3C10E2EE823F}" type="presOf" srcId="{239A6B93-B420-4473-AFD8-8C76CB8E84FB}" destId="{1E337061-9AD5-4BEF-9A2E-496BD8016888}" srcOrd="0" destOrd="0" presId="urn:microsoft.com/office/officeart/2005/8/layout/hierarchy5"/>
    <dgm:cxn modelId="{3C4C91C0-8E24-4456-A513-27ECF2E69398}" type="presOf" srcId="{39C54EB5-8D33-4F67-ABFE-3D598BF2E0CD}" destId="{C486FC47-D7D2-4488-B170-D2EE3F6A70E1}" srcOrd="0" destOrd="0" presId="urn:microsoft.com/office/officeart/2005/8/layout/hierarchy5"/>
    <dgm:cxn modelId="{474567C8-21CF-4B0F-AFB1-1574C43E17B7}" type="presOf" srcId="{E3427103-77AA-457E-8B06-764E7469BC19}" destId="{62C14F1E-42EB-45E1-876B-6F88FA1EE635}" srcOrd="0" destOrd="0" presId="urn:microsoft.com/office/officeart/2005/8/layout/hierarchy5"/>
    <dgm:cxn modelId="{CAA491C8-45CB-4439-BCBF-1204AF056BCC}" type="presOf" srcId="{5BEC7E27-7292-4E95-B8AC-8D211FD6C389}" destId="{49955483-501A-4173-8A58-758367790489}" srcOrd="1" destOrd="0" presId="urn:microsoft.com/office/officeart/2005/8/layout/hierarchy5"/>
    <dgm:cxn modelId="{246A62CA-641A-445C-9174-DD34582E8C20}" type="presOf" srcId="{214D4380-FDBA-4BD9-B5DC-40BE4284FD86}" destId="{E9524853-31A2-4984-A4B9-AD2C948BBFF3}" srcOrd="0" destOrd="0" presId="urn:microsoft.com/office/officeart/2005/8/layout/hierarchy5"/>
    <dgm:cxn modelId="{D32F8FCA-759B-4924-8167-580622896B7F}" srcId="{DA4720FB-8EC4-42DA-AEEB-2DC827D3A0FA}" destId="{16EE2C2C-EF24-4F84-8E59-76B7396A12CC}" srcOrd="1" destOrd="0" parTransId="{5426011D-ADA2-4CAE-A96F-A15CC1395428}" sibTransId="{5B1DB89D-B3A3-4AC1-B282-A829AB6F6D4A}"/>
    <dgm:cxn modelId="{3978E6D2-E085-4B81-9853-0868EBE2A43F}" srcId="{D7B9CC17-DBDD-4626-83DB-B4407A834775}" destId="{577BEF3D-4626-43A7-A31B-DB0773474CD3}" srcOrd="0" destOrd="0" parTransId="{BF7E08A6-ED1F-4A39-9829-121D06922C6A}" sibTransId="{2BEE982D-FB5C-4B0D-BAB7-2F0915E45EB9}"/>
    <dgm:cxn modelId="{448C98D3-C0D0-43BD-A68D-1299DBD208D1}" type="presOf" srcId="{C35D22BE-90D3-443A-B285-FC9ACF3D77E8}" destId="{C42D5412-318A-4DDA-941E-814848702665}" srcOrd="1" destOrd="0" presId="urn:microsoft.com/office/officeart/2005/8/layout/hierarchy5"/>
    <dgm:cxn modelId="{1549F2D3-044F-4E79-89F5-518E1D08FC4D}" type="presOf" srcId="{401B43B8-45ED-49CA-8E82-9374DE2D1A41}" destId="{BDD64490-0422-4012-B10F-89CD310286D7}" srcOrd="0" destOrd="0" presId="urn:microsoft.com/office/officeart/2005/8/layout/hierarchy5"/>
    <dgm:cxn modelId="{2EC525D4-9CC8-4743-8179-C65D5185DF5C}" type="presOf" srcId="{B9781893-5B9A-48E8-B68D-518934BD4AF7}" destId="{97F3AFB1-EC3D-4482-955F-B82C2EE2F9D7}" srcOrd="0" destOrd="0" presId="urn:microsoft.com/office/officeart/2005/8/layout/hierarchy5"/>
    <dgm:cxn modelId="{D6AD6BD7-B1A5-4BE3-B134-FBE88AEED475}" type="presOf" srcId="{5978E3B3-05D9-4516-9F1A-089E2032C36D}" destId="{7ACDEFAC-5793-4FF4-953F-CFFCA3EDB168}" srcOrd="0" destOrd="0" presId="urn:microsoft.com/office/officeart/2005/8/layout/hierarchy5"/>
    <dgm:cxn modelId="{4B705FD9-2C42-4976-810E-E241058B6539}" type="presOf" srcId="{577BEF3D-4626-43A7-A31B-DB0773474CD3}" destId="{75D5B841-72C3-42BF-A29B-50BDBBA565D1}" srcOrd="0" destOrd="0" presId="urn:microsoft.com/office/officeart/2005/8/layout/hierarchy5"/>
    <dgm:cxn modelId="{AAB950DB-23D3-42FE-971B-7FA2C668DD0B}" type="presOf" srcId="{D7B9CC17-DBDD-4626-83DB-B4407A834775}" destId="{FCF2D019-0CDC-4150-A30C-4DCA2BB3E6AE}" srcOrd="0" destOrd="0" presId="urn:microsoft.com/office/officeart/2005/8/layout/hierarchy5"/>
    <dgm:cxn modelId="{4147DADB-7C95-4778-AF10-379D381472E6}" type="presOf" srcId="{F6758F62-4A9E-451C-8CD1-0D11B0EF7D1D}" destId="{59C673F7-A88C-4A0E-AB6F-BE284DEA96E6}" srcOrd="0" destOrd="0" presId="urn:microsoft.com/office/officeart/2005/8/layout/hierarchy5"/>
    <dgm:cxn modelId="{27EF87DE-AE47-41F4-804D-71F3C59BD9BD}" srcId="{6E869E90-08D5-4D8E-B5E7-08D0EFCDA242}" destId="{A77D70AE-C457-4A0B-A0D5-5FE4C3FB42F5}" srcOrd="0" destOrd="0" parTransId="{E289B66A-51E9-4BCD-8ECB-D656367A2A02}" sibTransId="{CAA7A314-F276-4719-A126-FFE73098F14D}"/>
    <dgm:cxn modelId="{153BD2DE-5F72-46F0-95E0-B9F42AB007AC}" type="presOf" srcId="{A77D70AE-C457-4A0B-A0D5-5FE4C3FB42F5}" destId="{0BD5B255-32D8-492D-8145-43A40489E327}" srcOrd="0" destOrd="0" presId="urn:microsoft.com/office/officeart/2005/8/layout/hierarchy5"/>
    <dgm:cxn modelId="{DCA1A1E0-6D57-48C8-84D7-9F134315A494}" type="presOf" srcId="{6740FDC6-A128-44FA-BED8-55BAFDC5A735}" destId="{CA31BD26-2FB5-43B8-9900-D0F28DE1F273}" srcOrd="0" destOrd="0" presId="urn:microsoft.com/office/officeart/2005/8/layout/hierarchy5"/>
    <dgm:cxn modelId="{1AFF85E2-6F4D-4415-8707-E9F36DD9A619}" type="presOf" srcId="{0187FE90-DE60-4C20-9C64-558FB49F7D28}" destId="{C944D69D-8469-4597-B05E-CD82BBB28729}" srcOrd="0" destOrd="0" presId="urn:microsoft.com/office/officeart/2005/8/layout/hierarchy5"/>
    <dgm:cxn modelId="{4D7DD2E2-D589-4F90-AFDF-849ED2F3346B}" type="presOf" srcId="{89306BAA-8513-4DBF-B414-90EE61FA3CBE}" destId="{9E417FBA-69DC-4D02-871B-2636F8F66360}" srcOrd="0" destOrd="0" presId="urn:microsoft.com/office/officeart/2005/8/layout/hierarchy5"/>
    <dgm:cxn modelId="{E379B1E3-8604-4AAF-A0B3-FCD3C2A9014A}" srcId="{D7B9CC17-DBDD-4626-83DB-B4407A834775}" destId="{6E869E90-08D5-4D8E-B5E7-08D0EFCDA242}" srcOrd="2" destOrd="0" parTransId="{9BB44BE2-6F05-4C82-B117-01866249D1FF}" sibTransId="{5B4041D8-5E15-4B0B-A28F-447AFAF14BCD}"/>
    <dgm:cxn modelId="{02D251E4-320A-4615-B69E-C61C4898F279}" type="presOf" srcId="{BF7E08A6-ED1F-4A39-9829-121D06922C6A}" destId="{BC8E875F-1646-49D4-8550-0DBD7A43C3AE}" srcOrd="1" destOrd="0" presId="urn:microsoft.com/office/officeart/2005/8/layout/hierarchy5"/>
    <dgm:cxn modelId="{A392B0E5-8CE5-47D9-AE7B-C890ABE315AD}" type="presOf" srcId="{0472AFB5-C10A-489C-8C09-5DBFAAC990BD}" destId="{85A79C66-BDF6-4142-8146-CDD4EE101CA9}" srcOrd="0" destOrd="0" presId="urn:microsoft.com/office/officeart/2005/8/layout/hierarchy5"/>
    <dgm:cxn modelId="{06D937EB-5E2E-44B1-9F77-49650317BA2C}" type="presOf" srcId="{5C10A8E9-5E8A-46FC-9156-DBBB784C24E9}" destId="{61FAB87F-3E2D-4C6E-B90F-92F8D59D9174}" srcOrd="0" destOrd="0" presId="urn:microsoft.com/office/officeart/2005/8/layout/hierarchy5"/>
    <dgm:cxn modelId="{17682BEE-8A66-4F24-99A4-3D84E3C055E9}" type="presOf" srcId="{862609F5-A04B-443C-9DEC-DA654157D507}" destId="{7FEF7462-20C5-410C-B6F6-98AAA2C18069}" srcOrd="0" destOrd="0" presId="urn:microsoft.com/office/officeart/2005/8/layout/hierarchy5"/>
    <dgm:cxn modelId="{37C916F0-26EF-4A11-8666-C80A26BC0DF6}" srcId="{C222F0AC-7C1D-4007-9688-27CAA0BF482A}" destId="{16A57316-CC68-469A-B740-598F1DB676F5}" srcOrd="0" destOrd="0" parTransId="{C2030B0D-92E3-4BB9-82FF-8B69884C5828}" sibTransId="{C49EE6E4-CADA-498B-B39E-C8B34231E27D}"/>
    <dgm:cxn modelId="{4BAA65F0-8C06-4D4B-A994-AAD02607B408}" type="presOf" srcId="{F6758F62-4A9E-451C-8CD1-0D11B0EF7D1D}" destId="{0ED5D176-91FF-4D60-B14E-D1072EC9C455}" srcOrd="1" destOrd="0" presId="urn:microsoft.com/office/officeart/2005/8/layout/hierarchy5"/>
    <dgm:cxn modelId="{098048FA-EEB8-490D-84C1-76AB3AB1B41B}" type="presOf" srcId="{6E869E90-08D5-4D8E-B5E7-08D0EFCDA242}" destId="{84D17DED-2AAD-460A-9A9F-D485AF483D96}" srcOrd="0" destOrd="0" presId="urn:microsoft.com/office/officeart/2005/8/layout/hierarchy5"/>
    <dgm:cxn modelId="{CABE64FD-7D52-4DCD-AD76-7C843F98F0A0}" type="presOf" srcId="{4EEF1CF2-B05C-4967-859B-800D1214EBB6}" destId="{61E326DD-96AE-47D2-9DEB-8380248175A0}" srcOrd="0" destOrd="0" presId="urn:microsoft.com/office/officeart/2005/8/layout/hierarchy5"/>
    <dgm:cxn modelId="{D191C58F-F8DB-426F-B966-37554042D88D}" type="presParOf" srcId="{1F9AAAFC-D311-4A62-B605-749BEB541C9B}" destId="{5A8002C0-5F65-4DC1-A9D5-D0DF9212D664}" srcOrd="0" destOrd="0" presId="urn:microsoft.com/office/officeart/2005/8/layout/hierarchy5"/>
    <dgm:cxn modelId="{5D4C71E6-9017-4097-8689-71119ED411B4}" type="presParOf" srcId="{5A8002C0-5F65-4DC1-A9D5-D0DF9212D664}" destId="{FCF6136C-3522-4DFA-8485-7B629327CD23}" srcOrd="0" destOrd="0" presId="urn:microsoft.com/office/officeart/2005/8/layout/hierarchy5"/>
    <dgm:cxn modelId="{4E52C85B-F3E4-441B-88BC-22FF13ABFE71}" type="presParOf" srcId="{5A8002C0-5F65-4DC1-A9D5-D0DF9212D664}" destId="{BFC814B7-7991-4C5B-B578-FBBA5A73618F}" srcOrd="1" destOrd="0" presId="urn:microsoft.com/office/officeart/2005/8/layout/hierarchy5"/>
    <dgm:cxn modelId="{CCF32B93-DC3B-49E8-85DF-3B12F27ADCA0}" type="presParOf" srcId="{BFC814B7-7991-4C5B-B578-FBBA5A73618F}" destId="{4218164E-2FB4-4E85-B31A-0EEED15F8FDC}" srcOrd="0" destOrd="0" presId="urn:microsoft.com/office/officeart/2005/8/layout/hierarchy5"/>
    <dgm:cxn modelId="{25234F68-BF48-4C66-9D38-A57813ECD41C}" type="presParOf" srcId="{4218164E-2FB4-4E85-B31A-0EEED15F8FDC}" destId="{FCF2D019-0CDC-4150-A30C-4DCA2BB3E6AE}" srcOrd="0" destOrd="0" presId="urn:microsoft.com/office/officeart/2005/8/layout/hierarchy5"/>
    <dgm:cxn modelId="{33F9142C-5EB9-4122-9926-5C5399B41C76}" type="presParOf" srcId="{4218164E-2FB4-4E85-B31A-0EEED15F8FDC}" destId="{F4DEAB9A-5758-4B33-B981-390876814D18}" srcOrd="1" destOrd="0" presId="urn:microsoft.com/office/officeart/2005/8/layout/hierarchy5"/>
    <dgm:cxn modelId="{0FA67CAB-097D-46F6-989B-AA6653372D40}" type="presParOf" srcId="{F4DEAB9A-5758-4B33-B981-390876814D18}" destId="{985C8792-A503-45C0-8C23-B81AEA1D9FDA}" srcOrd="0" destOrd="0" presId="urn:microsoft.com/office/officeart/2005/8/layout/hierarchy5"/>
    <dgm:cxn modelId="{C9653F8B-0D09-42DD-A7B1-ADA10273D8AE}" type="presParOf" srcId="{985C8792-A503-45C0-8C23-B81AEA1D9FDA}" destId="{BC8E875F-1646-49D4-8550-0DBD7A43C3AE}" srcOrd="0" destOrd="0" presId="urn:microsoft.com/office/officeart/2005/8/layout/hierarchy5"/>
    <dgm:cxn modelId="{56AE65D2-1194-4448-89C5-80865D4413E2}" type="presParOf" srcId="{F4DEAB9A-5758-4B33-B981-390876814D18}" destId="{BAFB9666-37A2-4D43-AF4C-EFD8C5802CA5}" srcOrd="1" destOrd="0" presId="urn:microsoft.com/office/officeart/2005/8/layout/hierarchy5"/>
    <dgm:cxn modelId="{0ED6C242-38B1-4E2E-897F-2F4BF88AE7B4}" type="presParOf" srcId="{BAFB9666-37A2-4D43-AF4C-EFD8C5802CA5}" destId="{75D5B841-72C3-42BF-A29B-50BDBBA565D1}" srcOrd="0" destOrd="0" presId="urn:microsoft.com/office/officeart/2005/8/layout/hierarchy5"/>
    <dgm:cxn modelId="{329C6357-70AC-429E-85DF-B63F71C54ED0}" type="presParOf" srcId="{BAFB9666-37A2-4D43-AF4C-EFD8C5802CA5}" destId="{451CD6B1-96E1-404C-909E-6CD29B534756}" srcOrd="1" destOrd="0" presId="urn:microsoft.com/office/officeart/2005/8/layout/hierarchy5"/>
    <dgm:cxn modelId="{34BB0B63-D5D1-4DB5-9B0E-3885578E669F}" type="presParOf" srcId="{451CD6B1-96E1-404C-909E-6CD29B534756}" destId="{61FAB87F-3E2D-4C6E-B90F-92F8D59D9174}" srcOrd="0" destOrd="0" presId="urn:microsoft.com/office/officeart/2005/8/layout/hierarchy5"/>
    <dgm:cxn modelId="{A9D4C94B-7808-4533-BD4E-387F90D40B3F}" type="presParOf" srcId="{61FAB87F-3E2D-4C6E-B90F-92F8D59D9174}" destId="{A887319C-65DE-43CC-88D3-458C525FECA8}" srcOrd="0" destOrd="0" presId="urn:microsoft.com/office/officeart/2005/8/layout/hierarchy5"/>
    <dgm:cxn modelId="{79140184-EB68-4AB7-9BF8-C98EB6D4498C}" type="presParOf" srcId="{451CD6B1-96E1-404C-909E-6CD29B534756}" destId="{08D326C1-7371-465C-9C01-3D6A01661EDD}" srcOrd="1" destOrd="0" presId="urn:microsoft.com/office/officeart/2005/8/layout/hierarchy5"/>
    <dgm:cxn modelId="{DB8B06A7-A2C2-4922-AFC9-0AE1103D6C54}" type="presParOf" srcId="{08D326C1-7371-465C-9C01-3D6A01661EDD}" destId="{97F3AFB1-EC3D-4482-955F-B82C2EE2F9D7}" srcOrd="0" destOrd="0" presId="urn:microsoft.com/office/officeart/2005/8/layout/hierarchy5"/>
    <dgm:cxn modelId="{E50B1B33-B23B-48C3-8ADC-82F4ECA0B72A}" type="presParOf" srcId="{08D326C1-7371-465C-9C01-3D6A01661EDD}" destId="{076C1569-69C2-49CE-915A-11A45E297EF6}" srcOrd="1" destOrd="0" presId="urn:microsoft.com/office/officeart/2005/8/layout/hierarchy5"/>
    <dgm:cxn modelId="{2E6BE325-CEB4-450A-B248-1FCA7B69D138}" type="presParOf" srcId="{076C1569-69C2-49CE-915A-11A45E297EF6}" destId="{85A79C66-BDF6-4142-8146-CDD4EE101CA9}" srcOrd="0" destOrd="0" presId="urn:microsoft.com/office/officeart/2005/8/layout/hierarchy5"/>
    <dgm:cxn modelId="{3E0B73F7-8A47-4536-829C-1063528E6253}" type="presParOf" srcId="{85A79C66-BDF6-4142-8146-CDD4EE101CA9}" destId="{BC7D2B2F-874B-4597-BDF9-F5E6AAF7BE74}" srcOrd="0" destOrd="0" presId="urn:microsoft.com/office/officeart/2005/8/layout/hierarchy5"/>
    <dgm:cxn modelId="{D3517CF3-2079-4F4D-A433-DD84DCAE21A4}" type="presParOf" srcId="{076C1569-69C2-49CE-915A-11A45E297EF6}" destId="{D649E14D-31DD-4B42-AA07-0B28E9699E3D}" srcOrd="1" destOrd="0" presId="urn:microsoft.com/office/officeart/2005/8/layout/hierarchy5"/>
    <dgm:cxn modelId="{44E866DB-A59E-4555-A1FF-63FED7055952}" type="presParOf" srcId="{D649E14D-31DD-4B42-AA07-0B28E9699E3D}" destId="{F5031FF9-3E43-4D1A-A0EF-BE3E58C5BE10}" srcOrd="0" destOrd="0" presId="urn:microsoft.com/office/officeart/2005/8/layout/hierarchy5"/>
    <dgm:cxn modelId="{D9D9959D-FFAC-4EB7-A4C0-1C246ED66177}" type="presParOf" srcId="{D649E14D-31DD-4B42-AA07-0B28E9699E3D}" destId="{5817082F-F4E1-4755-A016-7F3114D029D1}" srcOrd="1" destOrd="0" presId="urn:microsoft.com/office/officeart/2005/8/layout/hierarchy5"/>
    <dgm:cxn modelId="{1E4B7CEC-4B5F-47E5-9319-64DD588C73F7}" type="presParOf" srcId="{5817082F-F4E1-4755-A016-7F3114D029D1}" destId="{BF85E733-50E8-4B64-90AD-8483C7A272FF}" srcOrd="0" destOrd="0" presId="urn:microsoft.com/office/officeart/2005/8/layout/hierarchy5"/>
    <dgm:cxn modelId="{E389A2FB-EC68-4597-B2AC-C9E17B91A54A}" type="presParOf" srcId="{BF85E733-50E8-4B64-90AD-8483C7A272FF}" destId="{49955483-501A-4173-8A58-758367790489}" srcOrd="0" destOrd="0" presId="urn:microsoft.com/office/officeart/2005/8/layout/hierarchy5"/>
    <dgm:cxn modelId="{B3C8534E-F553-4FB6-B7EB-66F11416E352}" type="presParOf" srcId="{5817082F-F4E1-4755-A016-7F3114D029D1}" destId="{24E704FE-8F04-43AD-8068-AD8FD121002E}" srcOrd="1" destOrd="0" presId="urn:microsoft.com/office/officeart/2005/8/layout/hierarchy5"/>
    <dgm:cxn modelId="{241EA99E-68F0-4095-8E51-037544A0DADF}" type="presParOf" srcId="{24E704FE-8F04-43AD-8068-AD8FD121002E}" destId="{CEB21F55-8624-4E6F-9AD9-FDC7175AD88F}" srcOrd="0" destOrd="0" presId="urn:microsoft.com/office/officeart/2005/8/layout/hierarchy5"/>
    <dgm:cxn modelId="{6A8FA8A4-3EB9-4EB3-B554-63C0E7BD5429}" type="presParOf" srcId="{24E704FE-8F04-43AD-8068-AD8FD121002E}" destId="{394AF0B2-1FAE-4FC8-A067-F270034E1B25}" srcOrd="1" destOrd="0" presId="urn:microsoft.com/office/officeart/2005/8/layout/hierarchy5"/>
    <dgm:cxn modelId="{9DA81134-255A-4D1D-9126-FEDFA97CFE10}" type="presParOf" srcId="{394AF0B2-1FAE-4FC8-A067-F270034E1B25}" destId="{59C673F7-A88C-4A0E-AB6F-BE284DEA96E6}" srcOrd="0" destOrd="0" presId="urn:microsoft.com/office/officeart/2005/8/layout/hierarchy5"/>
    <dgm:cxn modelId="{D6D712CB-3AED-4CCD-A37F-2975C633C175}" type="presParOf" srcId="{59C673F7-A88C-4A0E-AB6F-BE284DEA96E6}" destId="{0ED5D176-91FF-4D60-B14E-D1072EC9C455}" srcOrd="0" destOrd="0" presId="urn:microsoft.com/office/officeart/2005/8/layout/hierarchy5"/>
    <dgm:cxn modelId="{70CEC13A-7910-4BC9-A5C4-68E87837E799}" type="presParOf" srcId="{394AF0B2-1FAE-4FC8-A067-F270034E1B25}" destId="{32628764-7832-4005-87D4-49C3D4AA26F3}" srcOrd="1" destOrd="0" presId="urn:microsoft.com/office/officeart/2005/8/layout/hierarchy5"/>
    <dgm:cxn modelId="{2CA74D06-A58D-4DD2-BB4F-37A11711A4AB}" type="presParOf" srcId="{32628764-7832-4005-87D4-49C3D4AA26F3}" destId="{97E79C04-FAD4-4133-9FD3-A12CE4E2117A}" srcOrd="0" destOrd="0" presId="urn:microsoft.com/office/officeart/2005/8/layout/hierarchy5"/>
    <dgm:cxn modelId="{86305BEF-6E79-4612-92D7-606E18A5692B}" type="presParOf" srcId="{32628764-7832-4005-87D4-49C3D4AA26F3}" destId="{9D986530-4492-4C29-BABA-6E7850454044}" srcOrd="1" destOrd="0" presId="urn:microsoft.com/office/officeart/2005/8/layout/hierarchy5"/>
    <dgm:cxn modelId="{2ECA1869-4369-4301-B966-B48C23C0FEAF}" type="presParOf" srcId="{9D986530-4492-4C29-BABA-6E7850454044}" destId="{BDD64490-0422-4012-B10F-89CD310286D7}" srcOrd="0" destOrd="0" presId="urn:microsoft.com/office/officeart/2005/8/layout/hierarchy5"/>
    <dgm:cxn modelId="{596E1222-8D3B-4A3F-A888-0DE823F015D4}" type="presParOf" srcId="{BDD64490-0422-4012-B10F-89CD310286D7}" destId="{98384189-C0EC-4C45-9FFF-72CBD97D7491}" srcOrd="0" destOrd="0" presId="urn:microsoft.com/office/officeart/2005/8/layout/hierarchy5"/>
    <dgm:cxn modelId="{04548FA6-CBE8-4CB0-A0D5-055038360DF4}" type="presParOf" srcId="{9D986530-4492-4C29-BABA-6E7850454044}" destId="{C08E9599-4ABE-4670-A7F2-C440230F9490}" srcOrd="1" destOrd="0" presId="urn:microsoft.com/office/officeart/2005/8/layout/hierarchy5"/>
    <dgm:cxn modelId="{3389CF23-4518-4034-A3C1-FAF69B207140}" type="presParOf" srcId="{C08E9599-4ABE-4670-A7F2-C440230F9490}" destId="{3BD12680-83DB-4C67-B5C8-49D762F38079}" srcOrd="0" destOrd="0" presId="urn:microsoft.com/office/officeart/2005/8/layout/hierarchy5"/>
    <dgm:cxn modelId="{7C02B4C0-8A26-4B0D-A04C-5296276DD32A}" type="presParOf" srcId="{C08E9599-4ABE-4670-A7F2-C440230F9490}" destId="{8D053645-627C-4FC1-A4B3-1BC9306277FC}" srcOrd="1" destOrd="0" presId="urn:microsoft.com/office/officeart/2005/8/layout/hierarchy5"/>
    <dgm:cxn modelId="{A503BA12-16C4-4943-A845-3328660B249A}" type="presParOf" srcId="{8D053645-627C-4FC1-A4B3-1BC9306277FC}" destId="{CA31BD26-2FB5-43B8-9900-D0F28DE1F273}" srcOrd="0" destOrd="0" presId="urn:microsoft.com/office/officeart/2005/8/layout/hierarchy5"/>
    <dgm:cxn modelId="{D685C28E-8984-4A6E-AEC7-9B70E51F9657}" type="presParOf" srcId="{CA31BD26-2FB5-43B8-9900-D0F28DE1F273}" destId="{2AAF5376-8EB8-4E1C-90DA-96C56E842A33}" srcOrd="0" destOrd="0" presId="urn:microsoft.com/office/officeart/2005/8/layout/hierarchy5"/>
    <dgm:cxn modelId="{AE404BEB-B6F8-4C60-BA4D-3DE28FCF7F7B}" type="presParOf" srcId="{8D053645-627C-4FC1-A4B3-1BC9306277FC}" destId="{140CFB1D-9266-4D8F-A1DD-BE420937A282}" srcOrd="1" destOrd="0" presId="urn:microsoft.com/office/officeart/2005/8/layout/hierarchy5"/>
    <dgm:cxn modelId="{4F9B65E3-EAD5-48AB-8BAB-C6384969F902}" type="presParOf" srcId="{140CFB1D-9266-4D8F-A1DD-BE420937A282}" destId="{D13C892C-AFD9-4CBF-AB29-75C174F13545}" srcOrd="0" destOrd="0" presId="urn:microsoft.com/office/officeart/2005/8/layout/hierarchy5"/>
    <dgm:cxn modelId="{894463AA-C984-4080-8969-6AEAEA18DD61}" type="presParOf" srcId="{140CFB1D-9266-4D8F-A1DD-BE420937A282}" destId="{DE382E75-5608-49CB-8FF6-0D0F26ABF0D1}" srcOrd="1" destOrd="0" presId="urn:microsoft.com/office/officeart/2005/8/layout/hierarchy5"/>
    <dgm:cxn modelId="{CB839057-A84B-4891-A0B3-3BAEB15DB5CF}" type="presParOf" srcId="{F4DEAB9A-5758-4B33-B981-390876814D18}" destId="{BE712193-9A53-442C-B7BB-98BE319E4B77}" srcOrd="2" destOrd="0" presId="urn:microsoft.com/office/officeart/2005/8/layout/hierarchy5"/>
    <dgm:cxn modelId="{033ECC32-A093-4FD7-903B-7D0D8816BABD}" type="presParOf" srcId="{BE712193-9A53-442C-B7BB-98BE319E4B77}" destId="{1B48191F-2915-468A-8F6D-5B05A6C0CBE4}" srcOrd="0" destOrd="0" presId="urn:microsoft.com/office/officeart/2005/8/layout/hierarchy5"/>
    <dgm:cxn modelId="{2732BBA4-11E3-4040-9C21-674A91A1595E}" type="presParOf" srcId="{F4DEAB9A-5758-4B33-B981-390876814D18}" destId="{F4E621E0-9AB2-4B41-BEF4-CB4523BA3437}" srcOrd="3" destOrd="0" presId="urn:microsoft.com/office/officeart/2005/8/layout/hierarchy5"/>
    <dgm:cxn modelId="{307E067B-5219-4147-8331-6625214C0F96}" type="presParOf" srcId="{F4E621E0-9AB2-4B41-BEF4-CB4523BA3437}" destId="{74262111-E7C3-43E5-A442-E170DB50D546}" srcOrd="0" destOrd="0" presId="urn:microsoft.com/office/officeart/2005/8/layout/hierarchy5"/>
    <dgm:cxn modelId="{EE0A8172-D61B-46BC-9C47-E209A3214E69}" type="presParOf" srcId="{F4E621E0-9AB2-4B41-BEF4-CB4523BA3437}" destId="{B5D6D3FF-723F-4FB6-BAD2-4C0776602D9E}" srcOrd="1" destOrd="0" presId="urn:microsoft.com/office/officeart/2005/8/layout/hierarchy5"/>
    <dgm:cxn modelId="{C2B0162A-F6DB-49AB-BE7C-A0B77A5B39B5}" type="presParOf" srcId="{B5D6D3FF-723F-4FB6-BAD2-4C0776602D9E}" destId="{09E6D413-C8F7-460F-A209-9B7708D7AB40}" srcOrd="0" destOrd="0" presId="urn:microsoft.com/office/officeart/2005/8/layout/hierarchy5"/>
    <dgm:cxn modelId="{EA1FF563-1596-4856-A6D6-D24C04E24953}" type="presParOf" srcId="{09E6D413-C8F7-460F-A209-9B7708D7AB40}" destId="{879B3957-C9F8-4564-B5BA-326323B732D5}" srcOrd="0" destOrd="0" presId="urn:microsoft.com/office/officeart/2005/8/layout/hierarchy5"/>
    <dgm:cxn modelId="{CFEB8689-04B5-480A-AFFF-53421CFA767C}" type="presParOf" srcId="{B5D6D3FF-723F-4FB6-BAD2-4C0776602D9E}" destId="{4348D379-70E5-4937-A530-60DC28D6D317}" srcOrd="1" destOrd="0" presId="urn:microsoft.com/office/officeart/2005/8/layout/hierarchy5"/>
    <dgm:cxn modelId="{6657303B-1624-40DF-B99B-E0833AD5034A}" type="presParOf" srcId="{4348D379-70E5-4937-A530-60DC28D6D317}" destId="{8C974ACA-1E7E-4CF3-8889-96E24154EC20}" srcOrd="0" destOrd="0" presId="urn:microsoft.com/office/officeart/2005/8/layout/hierarchy5"/>
    <dgm:cxn modelId="{9C7A232C-BB63-4290-888E-9C014ED89A5C}" type="presParOf" srcId="{4348D379-70E5-4937-A530-60DC28D6D317}" destId="{EE1660BD-0094-4C40-B4F2-2A18AA711FEA}" srcOrd="1" destOrd="0" presId="urn:microsoft.com/office/officeart/2005/8/layout/hierarchy5"/>
    <dgm:cxn modelId="{4C4F1BD1-CA76-4A4F-9178-51B32523FCCF}" type="presParOf" srcId="{EE1660BD-0094-4C40-B4F2-2A18AA711FEA}" destId="{3372CB7B-DD61-4E86-9AA7-CE7447C51255}" srcOrd="0" destOrd="0" presId="urn:microsoft.com/office/officeart/2005/8/layout/hierarchy5"/>
    <dgm:cxn modelId="{B4B8A4FD-9B8A-4C4B-8624-4E08B22C34D2}" type="presParOf" srcId="{3372CB7B-DD61-4E86-9AA7-CE7447C51255}" destId="{9ED777F1-67CC-4A81-BA5B-3B6D248CCCEA}" srcOrd="0" destOrd="0" presId="urn:microsoft.com/office/officeart/2005/8/layout/hierarchy5"/>
    <dgm:cxn modelId="{4ADEB95C-B760-42FB-8080-70F7BFB88DF2}" type="presParOf" srcId="{EE1660BD-0094-4C40-B4F2-2A18AA711FEA}" destId="{7D2CBAFA-5556-42E1-8712-E02C8EEB640A}" srcOrd="1" destOrd="0" presId="urn:microsoft.com/office/officeart/2005/8/layout/hierarchy5"/>
    <dgm:cxn modelId="{974B7CC9-EFF4-43F1-A3C9-642D5F0E38E3}" type="presParOf" srcId="{7D2CBAFA-5556-42E1-8712-E02C8EEB640A}" destId="{444156DA-B948-4AF8-AEF1-A795A162A730}" srcOrd="0" destOrd="0" presId="urn:microsoft.com/office/officeart/2005/8/layout/hierarchy5"/>
    <dgm:cxn modelId="{C2D2BB60-66C4-4855-9842-0281AFC19843}" type="presParOf" srcId="{7D2CBAFA-5556-42E1-8712-E02C8EEB640A}" destId="{B981A974-920A-4197-AAFA-6158B052457B}" srcOrd="1" destOrd="0" presId="urn:microsoft.com/office/officeart/2005/8/layout/hierarchy5"/>
    <dgm:cxn modelId="{19FEC0B3-739C-4E4E-8A6F-C8D9CA425512}" type="presParOf" srcId="{B981A974-920A-4197-AAFA-6158B052457B}" destId="{E9524853-31A2-4984-A4B9-AD2C948BBFF3}" srcOrd="0" destOrd="0" presId="urn:microsoft.com/office/officeart/2005/8/layout/hierarchy5"/>
    <dgm:cxn modelId="{B1F33CBF-527B-4739-B6E5-25446D2F91AD}" type="presParOf" srcId="{E9524853-31A2-4984-A4B9-AD2C948BBFF3}" destId="{846710C8-4C44-409D-872D-08B75E9D48DE}" srcOrd="0" destOrd="0" presId="urn:microsoft.com/office/officeart/2005/8/layout/hierarchy5"/>
    <dgm:cxn modelId="{A3BEA397-D15D-4666-9635-FA715A9664F7}" type="presParOf" srcId="{B981A974-920A-4197-AAFA-6158B052457B}" destId="{D65997E9-4021-42C2-ACD8-65E29A83C0A8}" srcOrd="1" destOrd="0" presId="urn:microsoft.com/office/officeart/2005/8/layout/hierarchy5"/>
    <dgm:cxn modelId="{55B539A9-D1BA-4B19-9347-535F52730EAA}" type="presParOf" srcId="{D65997E9-4021-42C2-ACD8-65E29A83C0A8}" destId="{61E326DD-96AE-47D2-9DEB-8380248175A0}" srcOrd="0" destOrd="0" presId="urn:microsoft.com/office/officeart/2005/8/layout/hierarchy5"/>
    <dgm:cxn modelId="{7A2FE9B0-C568-415B-AE69-00F6163A6F46}" type="presParOf" srcId="{D65997E9-4021-42C2-ACD8-65E29A83C0A8}" destId="{8867D5C4-7EF3-4F42-9044-481FF0BB715B}" srcOrd="1" destOrd="0" presId="urn:microsoft.com/office/officeart/2005/8/layout/hierarchy5"/>
    <dgm:cxn modelId="{16A06F10-DE53-41E9-920C-B0ED087802B5}" type="presParOf" srcId="{8867D5C4-7EF3-4F42-9044-481FF0BB715B}" destId="{C81E08D2-2217-4AA5-A2D3-7C7CEC3DE47A}" srcOrd="0" destOrd="0" presId="urn:microsoft.com/office/officeart/2005/8/layout/hierarchy5"/>
    <dgm:cxn modelId="{CE9B1135-0494-4D3E-AB5D-64ECB36C2EB6}" type="presParOf" srcId="{C81E08D2-2217-4AA5-A2D3-7C7CEC3DE47A}" destId="{C42D5412-318A-4DDA-941E-814848702665}" srcOrd="0" destOrd="0" presId="urn:microsoft.com/office/officeart/2005/8/layout/hierarchy5"/>
    <dgm:cxn modelId="{5E0CECEC-F658-46A0-8373-CB5AAA732E57}" type="presParOf" srcId="{8867D5C4-7EF3-4F42-9044-481FF0BB715B}" destId="{F0BCBD8A-74DD-4CFB-9153-3A0A4A99F25A}" srcOrd="1" destOrd="0" presId="urn:microsoft.com/office/officeart/2005/8/layout/hierarchy5"/>
    <dgm:cxn modelId="{B0C11376-1B41-4736-BACC-7A6FEBDE1569}" type="presParOf" srcId="{F0BCBD8A-74DD-4CFB-9153-3A0A4A99F25A}" destId="{05BDA40B-B356-44EF-97E2-C603910F19C2}" srcOrd="0" destOrd="0" presId="urn:microsoft.com/office/officeart/2005/8/layout/hierarchy5"/>
    <dgm:cxn modelId="{7040973D-FD9A-4604-9681-DC44146F603F}" type="presParOf" srcId="{F0BCBD8A-74DD-4CFB-9153-3A0A4A99F25A}" destId="{17C26674-01C5-4A15-8F40-2D23443D4BBC}" srcOrd="1" destOrd="0" presId="urn:microsoft.com/office/officeart/2005/8/layout/hierarchy5"/>
    <dgm:cxn modelId="{DFD2573A-9146-40A8-A07D-0666F3825CB0}" type="presParOf" srcId="{17C26674-01C5-4A15-8F40-2D23443D4BBC}" destId="{7FE5D4C2-0386-4CE1-8987-8AB0B873AF28}" srcOrd="0" destOrd="0" presId="urn:microsoft.com/office/officeart/2005/8/layout/hierarchy5"/>
    <dgm:cxn modelId="{C230FFB0-AE24-4C2B-8547-27303ABA4E9B}" type="presParOf" srcId="{7FE5D4C2-0386-4CE1-8987-8AB0B873AF28}" destId="{EBDECFE5-DB9C-4A72-85D5-21EBD2AA6547}" srcOrd="0" destOrd="0" presId="urn:microsoft.com/office/officeart/2005/8/layout/hierarchy5"/>
    <dgm:cxn modelId="{4DB914CA-A937-48A6-947A-A92C9AF00171}" type="presParOf" srcId="{17C26674-01C5-4A15-8F40-2D23443D4BBC}" destId="{48CA3F30-242B-44B8-80A0-63EC872D8B15}" srcOrd="1" destOrd="0" presId="urn:microsoft.com/office/officeart/2005/8/layout/hierarchy5"/>
    <dgm:cxn modelId="{6B34B623-F75E-4DAF-AB67-9FDA8FC54CEA}" type="presParOf" srcId="{48CA3F30-242B-44B8-80A0-63EC872D8B15}" destId="{C944D69D-8469-4597-B05E-CD82BBB28729}" srcOrd="0" destOrd="0" presId="urn:microsoft.com/office/officeart/2005/8/layout/hierarchy5"/>
    <dgm:cxn modelId="{6965FF48-783F-48E0-996A-D763777E7F27}" type="presParOf" srcId="{48CA3F30-242B-44B8-80A0-63EC872D8B15}" destId="{17365D8A-282F-4CF6-9DFB-94756D0F5A14}" srcOrd="1" destOrd="0" presId="urn:microsoft.com/office/officeart/2005/8/layout/hierarchy5"/>
    <dgm:cxn modelId="{3F25B6CE-ECF5-4D14-95A9-EEB8EFDA8022}" type="presParOf" srcId="{F4DEAB9A-5758-4B33-B981-390876814D18}" destId="{C7217F01-6603-4E3B-89F0-1D2697FB42E4}" srcOrd="4" destOrd="0" presId="urn:microsoft.com/office/officeart/2005/8/layout/hierarchy5"/>
    <dgm:cxn modelId="{88521A70-F758-42EC-880D-1457788398C5}" type="presParOf" srcId="{C7217F01-6603-4E3B-89F0-1D2697FB42E4}" destId="{60C070B7-DA91-4C67-AB94-078587F9520D}" srcOrd="0" destOrd="0" presId="urn:microsoft.com/office/officeart/2005/8/layout/hierarchy5"/>
    <dgm:cxn modelId="{5FA77042-CE5D-423C-913D-C07F76696FC4}" type="presParOf" srcId="{F4DEAB9A-5758-4B33-B981-390876814D18}" destId="{B8BCD121-78C4-4E81-A2EC-0B9FB258342F}" srcOrd="5" destOrd="0" presId="urn:microsoft.com/office/officeart/2005/8/layout/hierarchy5"/>
    <dgm:cxn modelId="{4190CE31-2759-4519-8DB9-C4865DDD7711}" type="presParOf" srcId="{B8BCD121-78C4-4E81-A2EC-0B9FB258342F}" destId="{84D17DED-2AAD-460A-9A9F-D485AF483D96}" srcOrd="0" destOrd="0" presId="urn:microsoft.com/office/officeart/2005/8/layout/hierarchy5"/>
    <dgm:cxn modelId="{77F3AE7D-B209-4AFE-8539-CFA2DA9E1901}" type="presParOf" srcId="{B8BCD121-78C4-4E81-A2EC-0B9FB258342F}" destId="{8D28E979-116D-48CB-9AE1-AB7ECA8A2F09}" srcOrd="1" destOrd="0" presId="urn:microsoft.com/office/officeart/2005/8/layout/hierarchy5"/>
    <dgm:cxn modelId="{C724CFD1-3983-4C3E-992B-AB764EEA55C8}" type="presParOf" srcId="{8D28E979-116D-48CB-9AE1-AB7ECA8A2F09}" destId="{0BE8BDAC-028B-4B2B-8B43-A1936D5196C8}" srcOrd="0" destOrd="0" presId="urn:microsoft.com/office/officeart/2005/8/layout/hierarchy5"/>
    <dgm:cxn modelId="{C36221C5-195A-47F8-B71A-4DF8113C8915}" type="presParOf" srcId="{0BE8BDAC-028B-4B2B-8B43-A1936D5196C8}" destId="{514034FC-620A-4B50-BCC4-2053CF89DD45}" srcOrd="0" destOrd="0" presId="urn:microsoft.com/office/officeart/2005/8/layout/hierarchy5"/>
    <dgm:cxn modelId="{4EFA1D8F-C949-4817-91BF-CDEB85C30ED0}" type="presParOf" srcId="{8D28E979-116D-48CB-9AE1-AB7ECA8A2F09}" destId="{D2FA0C42-2FF1-4673-82CE-9B558CFC6893}" srcOrd="1" destOrd="0" presId="urn:microsoft.com/office/officeart/2005/8/layout/hierarchy5"/>
    <dgm:cxn modelId="{914662A8-C8EB-4E88-A087-2F43D442F887}" type="presParOf" srcId="{D2FA0C42-2FF1-4673-82CE-9B558CFC6893}" destId="{0BD5B255-32D8-492D-8145-43A40489E327}" srcOrd="0" destOrd="0" presId="urn:microsoft.com/office/officeart/2005/8/layout/hierarchy5"/>
    <dgm:cxn modelId="{D5BE6CC6-5823-4F1C-8967-72A8ED803914}" type="presParOf" srcId="{D2FA0C42-2FF1-4673-82CE-9B558CFC6893}" destId="{4BE94160-521E-4476-9815-214EFFAB6B4D}" srcOrd="1" destOrd="0" presId="urn:microsoft.com/office/officeart/2005/8/layout/hierarchy5"/>
    <dgm:cxn modelId="{1ACE781F-8E02-414F-85FB-D7600CA588EC}" type="presParOf" srcId="{4BE94160-521E-4476-9815-214EFFAB6B4D}" destId="{5E2CA5F0-6EDB-43B2-A107-0061A8DFE1E7}" srcOrd="0" destOrd="0" presId="urn:microsoft.com/office/officeart/2005/8/layout/hierarchy5"/>
    <dgm:cxn modelId="{F3ED78DA-7D8C-4235-9D86-4FA5B2C8C1B4}" type="presParOf" srcId="{5E2CA5F0-6EDB-43B2-A107-0061A8DFE1E7}" destId="{727284C4-5D3A-42D6-9E93-3D33AA3B1940}" srcOrd="0" destOrd="0" presId="urn:microsoft.com/office/officeart/2005/8/layout/hierarchy5"/>
    <dgm:cxn modelId="{FDB38B3E-6AF6-4474-8E95-0D1845E70A1C}" type="presParOf" srcId="{4BE94160-521E-4476-9815-214EFFAB6B4D}" destId="{73CA87C0-DFE2-46BB-A045-E155FCF56B53}" srcOrd="1" destOrd="0" presId="urn:microsoft.com/office/officeart/2005/8/layout/hierarchy5"/>
    <dgm:cxn modelId="{A181B4BB-67AD-466E-B34E-A38E6749EC5E}" type="presParOf" srcId="{73CA87C0-DFE2-46BB-A045-E155FCF56B53}" destId="{C486FC47-D7D2-4488-B170-D2EE3F6A70E1}" srcOrd="0" destOrd="0" presId="urn:microsoft.com/office/officeart/2005/8/layout/hierarchy5"/>
    <dgm:cxn modelId="{930746AC-3175-4271-BC55-D2C3BE36088A}" type="presParOf" srcId="{73CA87C0-DFE2-46BB-A045-E155FCF56B53}" destId="{0121ABB6-11C3-4C75-90B6-DCC7CA911F60}" srcOrd="1" destOrd="0" presId="urn:microsoft.com/office/officeart/2005/8/layout/hierarchy5"/>
    <dgm:cxn modelId="{38B55FB8-B304-4809-8EE1-6CAB7AFA65A3}" type="presParOf" srcId="{0121ABB6-11C3-4C75-90B6-DCC7CA911F60}" destId="{62C14F1E-42EB-45E1-876B-6F88FA1EE635}" srcOrd="0" destOrd="0" presId="urn:microsoft.com/office/officeart/2005/8/layout/hierarchy5"/>
    <dgm:cxn modelId="{B37435E4-B8E3-4146-AA65-D9433075983E}" type="presParOf" srcId="{62C14F1E-42EB-45E1-876B-6F88FA1EE635}" destId="{1625FA8D-1DCE-4910-B63F-2A00832BECCE}" srcOrd="0" destOrd="0" presId="urn:microsoft.com/office/officeart/2005/8/layout/hierarchy5"/>
    <dgm:cxn modelId="{7613F8A6-BFC1-40FC-BFFB-5B10EDA48F58}" type="presParOf" srcId="{0121ABB6-11C3-4C75-90B6-DCC7CA911F60}" destId="{970A0CB3-AE26-4061-8F40-F0A94ED67620}" srcOrd="1" destOrd="0" presId="urn:microsoft.com/office/officeart/2005/8/layout/hierarchy5"/>
    <dgm:cxn modelId="{5AE540AC-F4C4-4174-BD85-2EFDF5FD1A31}" type="presParOf" srcId="{970A0CB3-AE26-4061-8F40-F0A94ED67620}" destId="{4D543170-AB5D-481E-AE28-7C318C9E1D00}" srcOrd="0" destOrd="0" presId="urn:microsoft.com/office/officeart/2005/8/layout/hierarchy5"/>
    <dgm:cxn modelId="{C28CFE0D-F5DC-4D8F-9C38-A2E4605A3442}" type="presParOf" srcId="{970A0CB3-AE26-4061-8F40-F0A94ED67620}" destId="{C21DE573-C296-4C2E-9620-D9CDBA0E0222}" srcOrd="1" destOrd="0" presId="urn:microsoft.com/office/officeart/2005/8/layout/hierarchy5"/>
    <dgm:cxn modelId="{53B5A56F-6F49-4B9B-856D-DDA1EDF5A91B}" type="presParOf" srcId="{C21DE573-C296-4C2E-9620-D9CDBA0E0222}" destId="{1E337061-9AD5-4BEF-9A2E-496BD8016888}" srcOrd="0" destOrd="0" presId="urn:microsoft.com/office/officeart/2005/8/layout/hierarchy5"/>
    <dgm:cxn modelId="{EDA0735E-78DE-4E6F-875D-A28A871273DE}" type="presParOf" srcId="{1E337061-9AD5-4BEF-9A2E-496BD8016888}" destId="{DA601191-2BF0-4A7A-8527-06A1A4687AF2}" srcOrd="0" destOrd="0" presId="urn:microsoft.com/office/officeart/2005/8/layout/hierarchy5"/>
    <dgm:cxn modelId="{1D71DD59-3813-4F54-861B-3E9BA6DE2EC3}" type="presParOf" srcId="{C21DE573-C296-4C2E-9620-D9CDBA0E0222}" destId="{151AE3C0-7911-40BA-BB1E-63E8FF69D1D6}" srcOrd="1" destOrd="0" presId="urn:microsoft.com/office/officeart/2005/8/layout/hierarchy5"/>
    <dgm:cxn modelId="{E6BBFCB4-3FFD-4848-8A11-E1898C97EE8E}" type="presParOf" srcId="{151AE3C0-7911-40BA-BB1E-63E8FF69D1D6}" destId="{4009E22F-7A76-4372-8313-87DC2650C5A5}" srcOrd="0" destOrd="0" presId="urn:microsoft.com/office/officeart/2005/8/layout/hierarchy5"/>
    <dgm:cxn modelId="{2BECE864-5C2E-48A8-A0C6-964CED9E77E5}" type="presParOf" srcId="{151AE3C0-7911-40BA-BB1E-63E8FF69D1D6}" destId="{D85BEA96-001C-4351-946E-2EDDE2FCB17E}" srcOrd="1" destOrd="0" presId="urn:microsoft.com/office/officeart/2005/8/layout/hierarchy5"/>
    <dgm:cxn modelId="{4F787E45-6C57-40CD-B49E-3781B55835B1}" type="presParOf" srcId="{D85BEA96-001C-4351-946E-2EDDE2FCB17E}" destId="{F8753328-F67C-451E-AFD5-BAE04E9BDED4}" srcOrd="0" destOrd="0" presId="urn:microsoft.com/office/officeart/2005/8/layout/hierarchy5"/>
    <dgm:cxn modelId="{9E263574-94C4-4BD3-87FC-1A24AF31CED7}" type="presParOf" srcId="{F8753328-F67C-451E-AFD5-BAE04E9BDED4}" destId="{BC936C2A-0668-42A4-9AAF-855FCDB3AFEE}" srcOrd="0" destOrd="0" presId="urn:microsoft.com/office/officeart/2005/8/layout/hierarchy5"/>
    <dgm:cxn modelId="{65193D1A-3A52-4A21-BFF9-89E9E676EA34}" type="presParOf" srcId="{D85BEA96-001C-4351-946E-2EDDE2FCB17E}" destId="{5617EFA0-74EC-47C3-A0A6-69971EC1F8F9}" srcOrd="1" destOrd="0" presId="urn:microsoft.com/office/officeart/2005/8/layout/hierarchy5"/>
    <dgm:cxn modelId="{DF5BA9AC-376C-48E6-8B5F-564C975A2A99}" type="presParOf" srcId="{5617EFA0-74EC-47C3-A0A6-69971EC1F8F9}" destId="{D47CF43F-6F9E-47BD-81E8-560FD4404FCF}" srcOrd="0" destOrd="0" presId="urn:microsoft.com/office/officeart/2005/8/layout/hierarchy5"/>
    <dgm:cxn modelId="{3827A71B-A38B-4E01-A6D0-87132A799C74}" type="presParOf" srcId="{5617EFA0-74EC-47C3-A0A6-69971EC1F8F9}" destId="{1E8756D1-E1BC-454D-92AF-DC24E7F52966}" srcOrd="1" destOrd="0" presId="urn:microsoft.com/office/officeart/2005/8/layout/hierarchy5"/>
    <dgm:cxn modelId="{7E1F2BCE-0A7D-47EF-A9E5-3B514BFFA0FA}" type="presParOf" srcId="{1E8756D1-E1BC-454D-92AF-DC24E7F52966}" destId="{24A64180-58B2-4E3F-BBAB-2837C5AB8639}" srcOrd="0" destOrd="0" presId="urn:microsoft.com/office/officeart/2005/8/layout/hierarchy5"/>
    <dgm:cxn modelId="{E0B5BCE5-1E68-44F5-B1E3-586E0F62F9C0}" type="presParOf" srcId="{24A64180-58B2-4E3F-BBAB-2837C5AB8639}" destId="{3EB58BFC-177D-4BF5-AA82-0DFC1EA58282}" srcOrd="0" destOrd="0" presId="urn:microsoft.com/office/officeart/2005/8/layout/hierarchy5"/>
    <dgm:cxn modelId="{0C21DE03-79C3-4221-A588-1B0712A06852}" type="presParOf" srcId="{1E8756D1-E1BC-454D-92AF-DC24E7F52966}" destId="{125A59BF-7344-43BE-AF29-EE6C4BBE2A2A}" srcOrd="1" destOrd="0" presId="urn:microsoft.com/office/officeart/2005/8/layout/hierarchy5"/>
    <dgm:cxn modelId="{5B8C54A8-0C87-42C8-B6F9-9884A9D43617}" type="presParOf" srcId="{125A59BF-7344-43BE-AF29-EE6C4BBE2A2A}" destId="{7ACDEFAC-5793-4FF4-953F-CFFCA3EDB168}" srcOrd="0" destOrd="0" presId="urn:microsoft.com/office/officeart/2005/8/layout/hierarchy5"/>
    <dgm:cxn modelId="{8390579B-8751-45DE-871D-92368E2788B1}" type="presParOf" srcId="{125A59BF-7344-43BE-AF29-EE6C4BBE2A2A}" destId="{D6B995DA-CE8E-4ECA-9CEB-D39A3CB3391F}" srcOrd="1" destOrd="0" presId="urn:microsoft.com/office/officeart/2005/8/layout/hierarchy5"/>
    <dgm:cxn modelId="{A6AF5781-44BA-48F4-BB6D-A8789C0B4AD7}" type="presParOf" srcId="{D6B995DA-CE8E-4ECA-9CEB-D39A3CB3391F}" destId="{9E417FBA-69DC-4D02-871B-2636F8F66360}" srcOrd="0" destOrd="0" presId="urn:microsoft.com/office/officeart/2005/8/layout/hierarchy5"/>
    <dgm:cxn modelId="{E35DF463-657F-41A9-85DC-6E2F0AD6D09B}" type="presParOf" srcId="{9E417FBA-69DC-4D02-871B-2636F8F66360}" destId="{952D35C7-D61E-4B4C-88E4-3E2915467478}" srcOrd="0" destOrd="0" presId="urn:microsoft.com/office/officeart/2005/8/layout/hierarchy5"/>
    <dgm:cxn modelId="{F07B464B-DDF2-4E91-A8B3-DC23AF739653}" type="presParOf" srcId="{D6B995DA-CE8E-4ECA-9CEB-D39A3CB3391F}" destId="{0E39CFBA-C941-4FEC-B55A-5EEFF292DB57}" srcOrd="1" destOrd="0" presId="urn:microsoft.com/office/officeart/2005/8/layout/hierarchy5"/>
    <dgm:cxn modelId="{3404B8EA-50FE-49AF-939F-766A3AA80F7C}" type="presParOf" srcId="{0E39CFBA-C941-4FEC-B55A-5EEFF292DB57}" destId="{A44620A8-01E9-44DF-8B5A-F7953C4A7468}" srcOrd="0" destOrd="0" presId="urn:microsoft.com/office/officeart/2005/8/layout/hierarchy5"/>
    <dgm:cxn modelId="{F1BCF4E1-5EFA-477E-B84B-688A90253E02}" type="presParOf" srcId="{0E39CFBA-C941-4FEC-B55A-5EEFF292DB57}" destId="{88B60DA1-C203-4990-933F-A13F4F6D0653}" srcOrd="1" destOrd="0" presId="urn:microsoft.com/office/officeart/2005/8/layout/hierarchy5"/>
    <dgm:cxn modelId="{E09CE1CA-3144-482C-843B-921495B5AA95}" type="presParOf" srcId="{88B60DA1-C203-4990-933F-A13F4F6D0653}" destId="{2C62AF3E-4942-4621-A810-350EAC5558FF}" srcOrd="0" destOrd="0" presId="urn:microsoft.com/office/officeart/2005/8/layout/hierarchy5"/>
    <dgm:cxn modelId="{5605194B-94FB-4CF2-B72E-CE688496D492}" type="presParOf" srcId="{2C62AF3E-4942-4621-A810-350EAC5558FF}" destId="{BAB8827F-B000-471C-B322-7C85BDAE9721}" srcOrd="0" destOrd="0" presId="urn:microsoft.com/office/officeart/2005/8/layout/hierarchy5"/>
    <dgm:cxn modelId="{E456F849-7257-4DE6-A382-FC13BF295320}" type="presParOf" srcId="{88B60DA1-C203-4990-933F-A13F4F6D0653}" destId="{C207B727-7FB2-4FAA-B926-A874D440FEDA}" srcOrd="1" destOrd="0" presId="urn:microsoft.com/office/officeart/2005/8/layout/hierarchy5"/>
    <dgm:cxn modelId="{6FB7CC0B-ECFE-42C1-9514-99D0D2CC1C25}" type="presParOf" srcId="{C207B727-7FB2-4FAA-B926-A874D440FEDA}" destId="{8700431F-A44E-4F5D-8D75-45B4C9442CAA}" srcOrd="0" destOrd="0" presId="urn:microsoft.com/office/officeart/2005/8/layout/hierarchy5"/>
    <dgm:cxn modelId="{E28F6500-D60F-46FD-909C-9C1B4EB4058A}" type="presParOf" srcId="{C207B727-7FB2-4FAA-B926-A874D440FEDA}" destId="{3C992E32-1CB3-46D6-9833-5FB1FF8EAFA9}" srcOrd="1" destOrd="0" presId="urn:microsoft.com/office/officeart/2005/8/layout/hierarchy5"/>
    <dgm:cxn modelId="{986EFD0F-81DD-4483-BD04-F7DFE7228C73}" type="presParOf" srcId="{1F9AAAFC-D311-4A62-B605-749BEB541C9B}" destId="{91CA2A44-6FCB-4DCC-ADD3-697F2C5DA6B9}" srcOrd="1" destOrd="0" presId="urn:microsoft.com/office/officeart/2005/8/layout/hierarchy5"/>
    <dgm:cxn modelId="{1AAFC987-7D6A-4A79-A550-7316BEEC7C13}" type="presParOf" srcId="{91CA2A44-6FCB-4DCC-ADD3-697F2C5DA6B9}" destId="{4A0337D3-5A86-4A1A-81DB-1EE052DE046F}" srcOrd="0" destOrd="0" presId="urn:microsoft.com/office/officeart/2005/8/layout/hierarchy5"/>
    <dgm:cxn modelId="{7C9A25E6-43F8-4607-8473-80EB0AB5C340}" type="presParOf" srcId="{4A0337D3-5A86-4A1A-81DB-1EE052DE046F}" destId="{FC34E641-94F7-48C8-94F2-D861485908A6}" srcOrd="0" destOrd="0" presId="urn:microsoft.com/office/officeart/2005/8/layout/hierarchy5"/>
    <dgm:cxn modelId="{C09BA962-81AC-467A-B57E-85D888234B97}" type="presParOf" srcId="{4A0337D3-5A86-4A1A-81DB-1EE052DE046F}" destId="{C02559F7-4E7C-48C2-A050-B5C5BEBED2ED}" srcOrd="1" destOrd="0" presId="urn:microsoft.com/office/officeart/2005/8/layout/hierarchy5"/>
    <dgm:cxn modelId="{B079E03A-6FC2-44FE-911B-A6DFA16DC299}" type="presParOf" srcId="{91CA2A44-6FCB-4DCC-ADD3-697F2C5DA6B9}" destId="{AB697099-302F-4F82-BE73-1AB092E15EBD}" srcOrd="1" destOrd="0" presId="urn:microsoft.com/office/officeart/2005/8/layout/hierarchy5"/>
    <dgm:cxn modelId="{6A2570D8-E5E2-4D53-A524-AE6FE5EE960D}" type="presParOf" srcId="{AB697099-302F-4F82-BE73-1AB092E15EBD}" destId="{99C0BDF4-39D5-47A8-90F4-232BBA36ABC1}" srcOrd="0" destOrd="0" presId="urn:microsoft.com/office/officeart/2005/8/layout/hierarchy5"/>
    <dgm:cxn modelId="{A54AAD03-34D0-4C0E-A407-2556787FD296}" type="presParOf" srcId="{91CA2A44-6FCB-4DCC-ADD3-697F2C5DA6B9}" destId="{301973DB-9AC6-4D42-A516-35FD613B60F9}" srcOrd="2" destOrd="0" presId="urn:microsoft.com/office/officeart/2005/8/layout/hierarchy5"/>
    <dgm:cxn modelId="{7A68CB20-D14F-4F11-AEC3-B8031CE9F9AE}" type="presParOf" srcId="{301973DB-9AC6-4D42-A516-35FD613B60F9}" destId="{B7FB1B7B-1CD0-4327-BF9B-2C74442922F1}" srcOrd="0" destOrd="0" presId="urn:microsoft.com/office/officeart/2005/8/layout/hierarchy5"/>
    <dgm:cxn modelId="{0E30D848-31F3-4ADC-9358-674A8460697B}" type="presParOf" srcId="{301973DB-9AC6-4D42-A516-35FD613B60F9}" destId="{F2CA1D80-7916-410D-9349-E472CE0F5D7C}" srcOrd="1" destOrd="0" presId="urn:microsoft.com/office/officeart/2005/8/layout/hierarchy5"/>
    <dgm:cxn modelId="{2121D5F4-654F-4B3A-B3F5-8BD191B7F74F}" type="presParOf" srcId="{91CA2A44-6FCB-4DCC-ADD3-697F2C5DA6B9}" destId="{7ABACB55-E358-4EB6-ABAF-232750EE379F}" srcOrd="3" destOrd="0" presId="urn:microsoft.com/office/officeart/2005/8/layout/hierarchy5"/>
    <dgm:cxn modelId="{C3D9ED47-5DA6-4F42-AC13-7646BC12540E}" type="presParOf" srcId="{7ABACB55-E358-4EB6-ABAF-232750EE379F}" destId="{7AF6CB44-C9CF-4A25-B390-5FF708646955}" srcOrd="0" destOrd="0" presId="urn:microsoft.com/office/officeart/2005/8/layout/hierarchy5"/>
    <dgm:cxn modelId="{96D865A5-8C11-4907-9CE9-B649B64BCDFC}" type="presParOf" srcId="{91CA2A44-6FCB-4DCC-ADD3-697F2C5DA6B9}" destId="{0DD931E0-D521-4880-8DC1-37522136C69D}" srcOrd="4" destOrd="0" presId="urn:microsoft.com/office/officeart/2005/8/layout/hierarchy5"/>
    <dgm:cxn modelId="{82A24DEB-1EDA-4A5F-B2CF-4202733AC771}" type="presParOf" srcId="{0DD931E0-D521-4880-8DC1-37522136C69D}" destId="{7FEF7462-20C5-410C-B6F6-98AAA2C18069}" srcOrd="0" destOrd="0" presId="urn:microsoft.com/office/officeart/2005/8/layout/hierarchy5"/>
    <dgm:cxn modelId="{5BB62DCE-0BB1-4778-94F5-5926F3C13236}" type="presParOf" srcId="{0DD931E0-D521-4880-8DC1-37522136C69D}" destId="{07972C04-2868-4100-AF2D-BA5D8EF0382F}" srcOrd="1" destOrd="0" presId="urn:microsoft.com/office/officeart/2005/8/layout/hierarchy5"/>
  </dgm:cxn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08977-41A0-4AFD-8BDD-FA9D8718E023}">
      <dsp:nvSpPr>
        <dsp:cNvPr id="0" name=""/>
        <dsp:cNvSpPr/>
      </dsp:nvSpPr>
      <dsp:spPr>
        <a:xfrm>
          <a:off x="808037" y="0"/>
          <a:ext cx="2530475" cy="2530475"/>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40202E6-B0D8-46B0-B3C7-C0F6F85ABCFA}">
      <dsp:nvSpPr>
        <dsp:cNvPr id="0" name=""/>
        <dsp:cNvSpPr/>
      </dsp:nvSpPr>
      <dsp:spPr>
        <a:xfrm>
          <a:off x="972518" y="164480"/>
          <a:ext cx="1012190" cy="1012190"/>
        </a:xfrm>
        <a:prstGeom prst="roundRect">
          <a:avLst/>
        </a:prstGeom>
        <a:gradFill flip="none" rotWithShape="0">
          <a:gsLst>
            <a:gs pos="0">
              <a:srgbClr val="E86D28">
                <a:shade val="30000"/>
                <a:satMod val="115000"/>
              </a:srgbClr>
            </a:gs>
            <a:gs pos="50000">
              <a:srgbClr val="E86D28">
                <a:shade val="67500"/>
                <a:satMod val="115000"/>
              </a:srgbClr>
            </a:gs>
            <a:gs pos="100000">
              <a:srgbClr val="E86D28">
                <a:shade val="100000"/>
                <a:satMod val="115000"/>
              </a:srgb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Community </a:t>
          </a:r>
        </a:p>
      </dsp:txBody>
      <dsp:txXfrm>
        <a:off x="1021929" y="213891"/>
        <a:ext cx="913368" cy="913368"/>
      </dsp:txXfrm>
    </dsp:sp>
    <dsp:sp modelId="{4BB439FB-9479-40D6-A3CE-B243AAED2B60}">
      <dsp:nvSpPr>
        <dsp:cNvPr id="0" name=""/>
        <dsp:cNvSpPr/>
      </dsp:nvSpPr>
      <dsp:spPr>
        <a:xfrm>
          <a:off x="2161841" y="164480"/>
          <a:ext cx="1012190" cy="1012190"/>
        </a:xfrm>
        <a:prstGeom prst="roundRect">
          <a:avLst/>
        </a:prstGeom>
        <a:gradFill flip="none" rotWithShape="0">
          <a:gsLst>
            <a:gs pos="0">
              <a:srgbClr val="4E9D39">
                <a:shade val="30000"/>
                <a:satMod val="115000"/>
              </a:srgbClr>
            </a:gs>
            <a:gs pos="50000">
              <a:srgbClr val="4E9D39">
                <a:shade val="67500"/>
                <a:satMod val="115000"/>
              </a:srgbClr>
            </a:gs>
            <a:gs pos="100000">
              <a:srgbClr val="4E9D39">
                <a:shade val="100000"/>
                <a:satMod val="115000"/>
              </a:srgbClr>
            </a:gs>
          </a:gsLst>
          <a:lin ang="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Environment </a:t>
          </a:r>
        </a:p>
      </dsp:txBody>
      <dsp:txXfrm>
        <a:off x="2211252" y="213891"/>
        <a:ext cx="913368" cy="913368"/>
      </dsp:txXfrm>
    </dsp:sp>
    <dsp:sp modelId="{58026464-2CCE-47AE-B061-6D5C72CF4AF3}">
      <dsp:nvSpPr>
        <dsp:cNvPr id="0" name=""/>
        <dsp:cNvSpPr/>
      </dsp:nvSpPr>
      <dsp:spPr>
        <a:xfrm>
          <a:off x="964056" y="1328408"/>
          <a:ext cx="1012190" cy="1012190"/>
        </a:xfrm>
        <a:prstGeom prst="roundRect">
          <a:avLst/>
        </a:prstGeom>
        <a:gradFill flip="none" rotWithShape="0">
          <a:gsLst>
            <a:gs pos="0">
              <a:srgbClr val="A62A2A">
                <a:shade val="30000"/>
                <a:satMod val="115000"/>
              </a:srgbClr>
            </a:gs>
            <a:gs pos="50000">
              <a:srgbClr val="A62A2A">
                <a:shade val="67500"/>
                <a:satMod val="115000"/>
              </a:srgbClr>
            </a:gs>
            <a:gs pos="100000">
              <a:srgbClr val="A62A2A">
                <a:shade val="100000"/>
                <a:satMod val="115000"/>
              </a:srgb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Economy </a:t>
          </a:r>
        </a:p>
      </dsp:txBody>
      <dsp:txXfrm>
        <a:off x="1013467" y="1377819"/>
        <a:ext cx="913368" cy="913368"/>
      </dsp:txXfrm>
    </dsp:sp>
    <dsp:sp modelId="{D35AF4AC-6753-43A1-B512-BFD0B186D181}">
      <dsp:nvSpPr>
        <dsp:cNvPr id="0" name=""/>
        <dsp:cNvSpPr/>
      </dsp:nvSpPr>
      <dsp:spPr>
        <a:xfrm>
          <a:off x="2206499" y="1333712"/>
          <a:ext cx="1012190" cy="101219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Governance </a:t>
          </a:r>
        </a:p>
      </dsp:txBody>
      <dsp:txXfrm>
        <a:off x="2255910" y="1383123"/>
        <a:ext cx="913368" cy="913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5F57D-D28D-427C-86FF-696529A44AF8}">
      <dsp:nvSpPr>
        <dsp:cNvPr id="0" name=""/>
        <dsp:cNvSpPr/>
      </dsp:nvSpPr>
      <dsp:spPr>
        <a:xfrm>
          <a:off x="505142" y="0"/>
          <a:ext cx="1992630" cy="1992630"/>
        </a:xfrm>
        <a:prstGeom prst="diamond">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dsp:style>
    </dsp:sp>
    <dsp:sp modelId="{2A0CC739-127F-4912-BE96-195639D6AB0E}">
      <dsp:nvSpPr>
        <dsp:cNvPr id="0" name=""/>
        <dsp:cNvSpPr/>
      </dsp:nvSpPr>
      <dsp:spPr>
        <a:xfrm>
          <a:off x="694442" y="189299"/>
          <a:ext cx="777125" cy="777125"/>
        </a:xfrm>
        <a:prstGeom prst="roundRect">
          <a:avLst/>
        </a:prstGeom>
        <a:gradFill flip="none" rotWithShape="0">
          <a:gsLst>
            <a:gs pos="0">
              <a:srgbClr val="E86D28">
                <a:shade val="30000"/>
                <a:satMod val="115000"/>
              </a:srgbClr>
            </a:gs>
            <a:gs pos="50000">
              <a:srgbClr val="E86D28">
                <a:shade val="67500"/>
                <a:satMod val="115000"/>
              </a:srgbClr>
            </a:gs>
            <a:gs pos="100000">
              <a:srgbClr val="E86D28">
                <a:shade val="100000"/>
                <a:satMod val="115000"/>
              </a:srgbClr>
            </a:gs>
          </a:gsLst>
          <a:lin ang="10800000" scaled="1"/>
          <a:tileRect/>
        </a:gra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Community </a:t>
          </a:r>
        </a:p>
      </dsp:txBody>
      <dsp:txXfrm>
        <a:off x="732378" y="227235"/>
        <a:ext cx="701253" cy="701253"/>
      </dsp:txXfrm>
    </dsp:sp>
    <dsp:sp modelId="{C1C2D4A7-441B-4993-9947-3E59F4DB44C9}">
      <dsp:nvSpPr>
        <dsp:cNvPr id="0" name=""/>
        <dsp:cNvSpPr/>
      </dsp:nvSpPr>
      <dsp:spPr>
        <a:xfrm>
          <a:off x="1572441" y="184940"/>
          <a:ext cx="777125" cy="777125"/>
        </a:xfrm>
        <a:prstGeom prst="roundRect">
          <a:avLst/>
        </a:prstGeom>
        <a:gradFill flip="none" rotWithShape="0">
          <a:gsLst>
            <a:gs pos="0">
              <a:srgbClr val="4E9D39">
                <a:shade val="30000"/>
                <a:satMod val="115000"/>
              </a:srgbClr>
            </a:gs>
            <a:gs pos="50000">
              <a:srgbClr val="4E9D39">
                <a:shade val="67500"/>
                <a:satMod val="115000"/>
              </a:srgbClr>
            </a:gs>
            <a:gs pos="100000">
              <a:srgbClr val="4E9D39">
                <a:shade val="100000"/>
                <a:satMod val="115000"/>
              </a:srgbClr>
            </a:gs>
          </a:gsLst>
          <a:lin ang="0" scaled="1"/>
          <a:tileRect/>
        </a:gra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Environment </a:t>
          </a:r>
        </a:p>
      </dsp:txBody>
      <dsp:txXfrm>
        <a:off x="1610377" y="222876"/>
        <a:ext cx="701253" cy="701253"/>
      </dsp:txXfrm>
    </dsp:sp>
    <dsp:sp modelId="{40FE682E-1147-4766-90D1-88F40B7BDFEA}">
      <dsp:nvSpPr>
        <dsp:cNvPr id="0" name=""/>
        <dsp:cNvSpPr/>
      </dsp:nvSpPr>
      <dsp:spPr>
        <a:xfrm>
          <a:off x="694442" y="1026204"/>
          <a:ext cx="777125" cy="777125"/>
        </a:xfrm>
        <a:prstGeom prst="roundRect">
          <a:avLst/>
        </a:prstGeom>
        <a:gradFill flip="none" rotWithShape="0">
          <a:gsLst>
            <a:gs pos="0">
              <a:srgbClr val="A4464D">
                <a:shade val="30000"/>
                <a:satMod val="115000"/>
              </a:srgbClr>
            </a:gs>
            <a:gs pos="50000">
              <a:srgbClr val="A4464D">
                <a:shade val="67500"/>
                <a:satMod val="115000"/>
              </a:srgbClr>
            </a:gs>
            <a:gs pos="100000">
              <a:srgbClr val="A4464D">
                <a:shade val="100000"/>
                <a:satMod val="115000"/>
              </a:srgb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Economy </a:t>
          </a:r>
        </a:p>
      </dsp:txBody>
      <dsp:txXfrm>
        <a:off x="732378" y="1064140"/>
        <a:ext cx="701253" cy="701253"/>
      </dsp:txXfrm>
    </dsp:sp>
    <dsp:sp modelId="{7167301B-F5D3-4F39-82AC-13B690F77A82}">
      <dsp:nvSpPr>
        <dsp:cNvPr id="0" name=""/>
        <dsp:cNvSpPr/>
      </dsp:nvSpPr>
      <dsp:spPr>
        <a:xfrm>
          <a:off x="1556790" y="1034698"/>
          <a:ext cx="777125" cy="777125"/>
        </a:xfrm>
        <a:prstGeom prst="roundRect">
          <a:avLst/>
        </a:prstGeom>
        <a:gradFill flip="none" rotWithShape="0">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lin ang="0" scaled="1"/>
          <a:tileRect/>
        </a:gra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Governance </a:t>
          </a:r>
        </a:p>
      </dsp:txBody>
      <dsp:txXfrm>
        <a:off x="1594726" y="1072634"/>
        <a:ext cx="701253" cy="7012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F7462-20C5-410C-B6F6-98AAA2C18069}">
      <dsp:nvSpPr>
        <dsp:cNvPr id="0" name=""/>
        <dsp:cNvSpPr/>
      </dsp:nvSpPr>
      <dsp:spPr>
        <a:xfrm>
          <a:off x="2076026" y="0"/>
          <a:ext cx="997008" cy="4483100"/>
        </a:xfrm>
        <a:prstGeom prst="roundRect">
          <a:avLst>
            <a:gd name="adj" fmla="val 10000"/>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b="1" kern="1200"/>
            <a:t>Departments</a:t>
          </a:r>
          <a:r>
            <a:rPr lang="en-AU" sz="1100" kern="1200"/>
            <a:t> </a:t>
          </a:r>
        </a:p>
      </dsp:txBody>
      <dsp:txXfrm>
        <a:off x="2076026" y="0"/>
        <a:ext cx="997008" cy="1344930"/>
      </dsp:txXfrm>
    </dsp:sp>
    <dsp:sp modelId="{B7FB1B7B-1CD0-4327-BF9B-2C74442922F1}">
      <dsp:nvSpPr>
        <dsp:cNvPr id="0" name=""/>
        <dsp:cNvSpPr/>
      </dsp:nvSpPr>
      <dsp:spPr>
        <a:xfrm>
          <a:off x="962147" y="0"/>
          <a:ext cx="987245" cy="448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b="1" kern="1200"/>
            <a:t>Directorates </a:t>
          </a:r>
        </a:p>
      </dsp:txBody>
      <dsp:txXfrm>
        <a:off x="962147" y="0"/>
        <a:ext cx="987245" cy="1344930"/>
      </dsp:txXfrm>
    </dsp:sp>
    <dsp:sp modelId="{FC34E641-94F7-48C8-94F2-D861485908A6}">
      <dsp:nvSpPr>
        <dsp:cNvPr id="0" name=""/>
        <dsp:cNvSpPr/>
      </dsp:nvSpPr>
      <dsp:spPr>
        <a:xfrm>
          <a:off x="104884" y="0"/>
          <a:ext cx="844521" cy="4483100"/>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334264" tIns="334264" rIns="334264" bIns="334264" numCol="1" spcCol="1270" anchor="ctr" anchorCtr="0">
          <a:noAutofit/>
        </a:bodyPr>
        <a:lstStyle/>
        <a:p>
          <a:pPr marL="0" lvl="0" indent="0" algn="ctr" defTabSz="2089150">
            <a:lnSpc>
              <a:spcPct val="90000"/>
            </a:lnSpc>
            <a:spcBef>
              <a:spcPct val="0"/>
            </a:spcBef>
            <a:spcAft>
              <a:spcPct val="35000"/>
            </a:spcAft>
            <a:buNone/>
          </a:pPr>
          <a:endParaRPr lang="en-AU" sz="4700" kern="1200"/>
        </a:p>
      </dsp:txBody>
      <dsp:txXfrm>
        <a:off x="104884" y="0"/>
        <a:ext cx="844521" cy="1344930"/>
      </dsp:txXfrm>
    </dsp:sp>
    <dsp:sp modelId="{FCF2D019-0CDC-4150-A30C-4DCA2BB3E6AE}">
      <dsp:nvSpPr>
        <dsp:cNvPr id="0" name=""/>
        <dsp:cNvSpPr/>
      </dsp:nvSpPr>
      <dsp:spPr>
        <a:xfrm>
          <a:off x="175261" y="2648411"/>
          <a:ext cx="703767" cy="351883"/>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85567" y="2658717"/>
        <a:ext cx="683155" cy="331271"/>
      </dsp:txXfrm>
    </dsp:sp>
    <dsp:sp modelId="{985C8792-A503-45C0-8C23-B81AEA1D9FDA}">
      <dsp:nvSpPr>
        <dsp:cNvPr id="0" name=""/>
        <dsp:cNvSpPr/>
      </dsp:nvSpPr>
      <dsp:spPr>
        <a:xfrm rot="18289469">
          <a:off x="773307" y="2614955"/>
          <a:ext cx="492951" cy="14128"/>
        </a:xfrm>
        <a:custGeom>
          <a:avLst/>
          <a:gdLst/>
          <a:ahLst/>
          <a:cxnLst/>
          <a:rect l="0" t="0" r="0" b="0"/>
          <a:pathLst>
            <a:path>
              <a:moveTo>
                <a:pt x="0" y="7064"/>
              </a:moveTo>
              <a:lnTo>
                <a:pt x="492951" y="706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007459" y="2609695"/>
        <a:ext cx="24647" cy="24647"/>
      </dsp:txXfrm>
    </dsp:sp>
    <dsp:sp modelId="{75D5B841-72C3-42BF-A29B-50BDBBA565D1}">
      <dsp:nvSpPr>
        <dsp:cNvPr id="0" name=""/>
        <dsp:cNvSpPr/>
      </dsp:nvSpPr>
      <dsp:spPr>
        <a:xfrm>
          <a:off x="1160536" y="2243744"/>
          <a:ext cx="703767" cy="351883"/>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Organisational  Services </a:t>
          </a:r>
        </a:p>
      </dsp:txBody>
      <dsp:txXfrm>
        <a:off x="1170842" y="2254050"/>
        <a:ext cx="683155" cy="331271"/>
      </dsp:txXfrm>
    </dsp:sp>
    <dsp:sp modelId="{61FAB87F-3E2D-4C6E-B90F-92F8D59D9174}">
      <dsp:nvSpPr>
        <dsp:cNvPr id="0" name=""/>
        <dsp:cNvSpPr/>
      </dsp:nvSpPr>
      <dsp:spPr>
        <a:xfrm>
          <a:off x="1864304" y="2412622"/>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998020" y="2412648"/>
        <a:ext cx="14075" cy="14075"/>
      </dsp:txXfrm>
    </dsp:sp>
    <dsp:sp modelId="{97F3AFB1-EC3D-4482-955F-B82C2EE2F9D7}">
      <dsp:nvSpPr>
        <dsp:cNvPr id="0" name=""/>
        <dsp:cNvSpPr/>
      </dsp:nvSpPr>
      <dsp:spPr>
        <a:xfrm>
          <a:off x="2145811" y="2243744"/>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Information Systems </a:t>
          </a:r>
        </a:p>
      </dsp:txBody>
      <dsp:txXfrm>
        <a:off x="2156117" y="2254050"/>
        <a:ext cx="683155" cy="331271"/>
      </dsp:txXfrm>
    </dsp:sp>
    <dsp:sp modelId="{85A79C66-BDF6-4142-8146-CDD4EE101CA9}">
      <dsp:nvSpPr>
        <dsp:cNvPr id="0" name=""/>
        <dsp:cNvSpPr/>
      </dsp:nvSpPr>
      <dsp:spPr>
        <a:xfrm>
          <a:off x="2849579" y="2412622"/>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83295" y="2412648"/>
        <a:ext cx="14075" cy="14075"/>
      </dsp:txXfrm>
    </dsp:sp>
    <dsp:sp modelId="{F5031FF9-3E43-4D1A-A0EF-BE3E58C5BE10}">
      <dsp:nvSpPr>
        <dsp:cNvPr id="0" name=""/>
        <dsp:cNvSpPr/>
      </dsp:nvSpPr>
      <dsp:spPr>
        <a:xfrm>
          <a:off x="3131086" y="2243744"/>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People &amp; Culture  </a:t>
          </a:r>
        </a:p>
      </dsp:txBody>
      <dsp:txXfrm>
        <a:off x="3141392" y="2254050"/>
        <a:ext cx="683155" cy="331271"/>
      </dsp:txXfrm>
    </dsp:sp>
    <dsp:sp modelId="{BF85E733-50E8-4B64-90AD-8483C7A272FF}">
      <dsp:nvSpPr>
        <dsp:cNvPr id="0" name=""/>
        <dsp:cNvSpPr/>
      </dsp:nvSpPr>
      <dsp:spPr>
        <a:xfrm>
          <a:off x="3834854" y="2412622"/>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8570" y="2412648"/>
        <a:ext cx="14075" cy="14075"/>
      </dsp:txXfrm>
    </dsp:sp>
    <dsp:sp modelId="{CEB21F55-8624-4E6F-9AD9-FDC7175AD88F}">
      <dsp:nvSpPr>
        <dsp:cNvPr id="0" name=""/>
        <dsp:cNvSpPr/>
      </dsp:nvSpPr>
      <dsp:spPr>
        <a:xfrm>
          <a:off x="4116361" y="2243744"/>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Sustainable Finance </a:t>
          </a:r>
        </a:p>
      </dsp:txBody>
      <dsp:txXfrm>
        <a:off x="4126667" y="2254050"/>
        <a:ext cx="683155" cy="331271"/>
      </dsp:txXfrm>
    </dsp:sp>
    <dsp:sp modelId="{59C673F7-A88C-4A0E-AB6F-BE284DEA96E6}">
      <dsp:nvSpPr>
        <dsp:cNvPr id="0" name=""/>
        <dsp:cNvSpPr/>
      </dsp:nvSpPr>
      <dsp:spPr>
        <a:xfrm>
          <a:off x="4820129" y="2412622"/>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953845" y="2412648"/>
        <a:ext cx="14075" cy="14075"/>
      </dsp:txXfrm>
    </dsp:sp>
    <dsp:sp modelId="{97E79C04-FAD4-4133-9FD3-A12CE4E2117A}">
      <dsp:nvSpPr>
        <dsp:cNvPr id="0" name=""/>
        <dsp:cNvSpPr/>
      </dsp:nvSpPr>
      <dsp:spPr>
        <a:xfrm>
          <a:off x="5101636" y="2243744"/>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Financial Services </a:t>
          </a:r>
        </a:p>
      </dsp:txBody>
      <dsp:txXfrm>
        <a:off x="5111942" y="2254050"/>
        <a:ext cx="683155" cy="331271"/>
      </dsp:txXfrm>
    </dsp:sp>
    <dsp:sp modelId="{BDD64490-0422-4012-B10F-89CD310286D7}">
      <dsp:nvSpPr>
        <dsp:cNvPr id="0" name=""/>
        <dsp:cNvSpPr/>
      </dsp:nvSpPr>
      <dsp:spPr>
        <a:xfrm>
          <a:off x="5805404" y="2412622"/>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5939120" y="2412648"/>
        <a:ext cx="14075" cy="14075"/>
      </dsp:txXfrm>
    </dsp:sp>
    <dsp:sp modelId="{3BD12680-83DB-4C67-B5C8-49D762F38079}">
      <dsp:nvSpPr>
        <dsp:cNvPr id="0" name=""/>
        <dsp:cNvSpPr/>
      </dsp:nvSpPr>
      <dsp:spPr>
        <a:xfrm>
          <a:off x="6086912" y="2243744"/>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Internal Ombudsman </a:t>
          </a:r>
        </a:p>
      </dsp:txBody>
      <dsp:txXfrm>
        <a:off x="6097218" y="2254050"/>
        <a:ext cx="683155" cy="331271"/>
      </dsp:txXfrm>
    </dsp:sp>
    <dsp:sp modelId="{CA31BD26-2FB5-43B8-9900-D0F28DE1F273}">
      <dsp:nvSpPr>
        <dsp:cNvPr id="0" name=""/>
        <dsp:cNvSpPr/>
      </dsp:nvSpPr>
      <dsp:spPr>
        <a:xfrm>
          <a:off x="6790679" y="2412622"/>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6924395" y="2412648"/>
        <a:ext cx="14075" cy="14075"/>
      </dsp:txXfrm>
    </dsp:sp>
    <dsp:sp modelId="{D13C892C-AFD9-4CBF-AB29-75C174F13545}">
      <dsp:nvSpPr>
        <dsp:cNvPr id="0" name=""/>
        <dsp:cNvSpPr/>
      </dsp:nvSpPr>
      <dsp:spPr>
        <a:xfrm>
          <a:off x="7072187" y="2243744"/>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Stakeholder Engagement </a:t>
          </a:r>
        </a:p>
      </dsp:txBody>
      <dsp:txXfrm>
        <a:off x="7082493" y="2254050"/>
        <a:ext cx="683155" cy="331271"/>
      </dsp:txXfrm>
    </dsp:sp>
    <dsp:sp modelId="{BE712193-9A53-442C-B7BB-98BE319E4B77}">
      <dsp:nvSpPr>
        <dsp:cNvPr id="0" name=""/>
        <dsp:cNvSpPr/>
      </dsp:nvSpPr>
      <dsp:spPr>
        <a:xfrm>
          <a:off x="879029" y="2817288"/>
          <a:ext cx="281507" cy="14128"/>
        </a:xfrm>
        <a:custGeom>
          <a:avLst/>
          <a:gdLst/>
          <a:ahLst/>
          <a:cxnLst/>
          <a:rect l="0" t="0" r="0" b="0"/>
          <a:pathLst>
            <a:path>
              <a:moveTo>
                <a:pt x="0" y="7064"/>
              </a:moveTo>
              <a:lnTo>
                <a:pt x="281507" y="706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012745" y="2817315"/>
        <a:ext cx="14075" cy="14075"/>
      </dsp:txXfrm>
    </dsp:sp>
    <dsp:sp modelId="{74262111-E7C3-43E5-A442-E170DB50D546}">
      <dsp:nvSpPr>
        <dsp:cNvPr id="0" name=""/>
        <dsp:cNvSpPr/>
      </dsp:nvSpPr>
      <dsp:spPr>
        <a:xfrm>
          <a:off x="1160536" y="2648411"/>
          <a:ext cx="703767" cy="351883"/>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Infrastructrure &amp; Planning </a:t>
          </a:r>
        </a:p>
      </dsp:txBody>
      <dsp:txXfrm>
        <a:off x="1170842" y="2658717"/>
        <a:ext cx="683155" cy="331271"/>
      </dsp:txXfrm>
    </dsp:sp>
    <dsp:sp modelId="{09E6D413-C8F7-460F-A209-9B7708D7AB40}">
      <dsp:nvSpPr>
        <dsp:cNvPr id="0" name=""/>
        <dsp:cNvSpPr/>
      </dsp:nvSpPr>
      <dsp:spPr>
        <a:xfrm>
          <a:off x="1864304" y="2817288"/>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998020" y="2817315"/>
        <a:ext cx="14075" cy="14075"/>
      </dsp:txXfrm>
    </dsp:sp>
    <dsp:sp modelId="{8C974ACA-1E7E-4CF3-8889-96E24154EC20}">
      <dsp:nvSpPr>
        <dsp:cNvPr id="0" name=""/>
        <dsp:cNvSpPr/>
      </dsp:nvSpPr>
      <dsp:spPr>
        <a:xfrm>
          <a:off x="2145811" y="2648411"/>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Water &amp; Wastewater </a:t>
          </a:r>
        </a:p>
      </dsp:txBody>
      <dsp:txXfrm>
        <a:off x="2156117" y="2658717"/>
        <a:ext cx="683155" cy="331271"/>
      </dsp:txXfrm>
    </dsp:sp>
    <dsp:sp modelId="{3372CB7B-DD61-4E86-9AA7-CE7447C51255}">
      <dsp:nvSpPr>
        <dsp:cNvPr id="0" name=""/>
        <dsp:cNvSpPr/>
      </dsp:nvSpPr>
      <dsp:spPr>
        <a:xfrm>
          <a:off x="2849579" y="2817288"/>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83295" y="2817315"/>
        <a:ext cx="14075" cy="14075"/>
      </dsp:txXfrm>
    </dsp:sp>
    <dsp:sp modelId="{444156DA-B948-4AF8-AEF1-A795A162A730}">
      <dsp:nvSpPr>
        <dsp:cNvPr id="0" name=""/>
        <dsp:cNvSpPr/>
      </dsp:nvSpPr>
      <dsp:spPr>
        <a:xfrm>
          <a:off x="3131086" y="2648411"/>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Roads &amp; Drainage </a:t>
          </a:r>
        </a:p>
      </dsp:txBody>
      <dsp:txXfrm>
        <a:off x="3141392" y="2658717"/>
        <a:ext cx="683155" cy="331271"/>
      </dsp:txXfrm>
    </dsp:sp>
    <dsp:sp modelId="{E9524853-31A2-4984-A4B9-AD2C948BBFF3}">
      <dsp:nvSpPr>
        <dsp:cNvPr id="0" name=""/>
        <dsp:cNvSpPr/>
      </dsp:nvSpPr>
      <dsp:spPr>
        <a:xfrm>
          <a:off x="3834854" y="2817288"/>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8570" y="2817315"/>
        <a:ext cx="14075" cy="14075"/>
      </dsp:txXfrm>
    </dsp:sp>
    <dsp:sp modelId="{61E326DD-96AE-47D2-9DEB-8380248175A0}">
      <dsp:nvSpPr>
        <dsp:cNvPr id="0" name=""/>
        <dsp:cNvSpPr/>
      </dsp:nvSpPr>
      <dsp:spPr>
        <a:xfrm>
          <a:off x="4116361" y="2648411"/>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Support Services </a:t>
          </a:r>
        </a:p>
      </dsp:txBody>
      <dsp:txXfrm>
        <a:off x="4126667" y="2658717"/>
        <a:ext cx="683155" cy="331271"/>
      </dsp:txXfrm>
    </dsp:sp>
    <dsp:sp modelId="{C81E08D2-2217-4AA5-A2D3-7C7CEC3DE47A}">
      <dsp:nvSpPr>
        <dsp:cNvPr id="0" name=""/>
        <dsp:cNvSpPr/>
      </dsp:nvSpPr>
      <dsp:spPr>
        <a:xfrm>
          <a:off x="4820129" y="2817288"/>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953845" y="2817315"/>
        <a:ext cx="14075" cy="14075"/>
      </dsp:txXfrm>
    </dsp:sp>
    <dsp:sp modelId="{05BDA40B-B356-44EF-97E2-C603910F19C2}">
      <dsp:nvSpPr>
        <dsp:cNvPr id="0" name=""/>
        <dsp:cNvSpPr/>
      </dsp:nvSpPr>
      <dsp:spPr>
        <a:xfrm>
          <a:off x="5101636" y="2648411"/>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Projects </a:t>
          </a:r>
        </a:p>
      </dsp:txBody>
      <dsp:txXfrm>
        <a:off x="5111942" y="2658717"/>
        <a:ext cx="683155" cy="331271"/>
      </dsp:txXfrm>
    </dsp:sp>
    <dsp:sp modelId="{7FE5D4C2-0386-4CE1-8987-8AB0B873AF28}">
      <dsp:nvSpPr>
        <dsp:cNvPr id="0" name=""/>
        <dsp:cNvSpPr/>
      </dsp:nvSpPr>
      <dsp:spPr>
        <a:xfrm>
          <a:off x="5805404" y="2817288"/>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5939120" y="2817315"/>
        <a:ext cx="14075" cy="14075"/>
      </dsp:txXfrm>
    </dsp:sp>
    <dsp:sp modelId="{C944D69D-8469-4597-B05E-CD82BBB28729}">
      <dsp:nvSpPr>
        <dsp:cNvPr id="0" name=""/>
        <dsp:cNvSpPr/>
      </dsp:nvSpPr>
      <dsp:spPr>
        <a:xfrm>
          <a:off x="6086912" y="2648411"/>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Development </a:t>
          </a:r>
        </a:p>
      </dsp:txBody>
      <dsp:txXfrm>
        <a:off x="6097218" y="2658717"/>
        <a:ext cx="683155" cy="331271"/>
      </dsp:txXfrm>
    </dsp:sp>
    <dsp:sp modelId="{C7217F01-6603-4E3B-89F0-1D2697FB42E4}">
      <dsp:nvSpPr>
        <dsp:cNvPr id="0" name=""/>
        <dsp:cNvSpPr/>
      </dsp:nvSpPr>
      <dsp:spPr>
        <a:xfrm rot="3310531">
          <a:off x="773307" y="3019622"/>
          <a:ext cx="492951" cy="14128"/>
        </a:xfrm>
        <a:custGeom>
          <a:avLst/>
          <a:gdLst/>
          <a:ahLst/>
          <a:cxnLst/>
          <a:rect l="0" t="0" r="0" b="0"/>
          <a:pathLst>
            <a:path>
              <a:moveTo>
                <a:pt x="0" y="7064"/>
              </a:moveTo>
              <a:lnTo>
                <a:pt x="492951" y="706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007459" y="3014362"/>
        <a:ext cx="24647" cy="24647"/>
      </dsp:txXfrm>
    </dsp:sp>
    <dsp:sp modelId="{84D17DED-2AAD-460A-9A9F-D485AF483D96}">
      <dsp:nvSpPr>
        <dsp:cNvPr id="0" name=""/>
        <dsp:cNvSpPr/>
      </dsp:nvSpPr>
      <dsp:spPr>
        <a:xfrm>
          <a:off x="1160536" y="3053077"/>
          <a:ext cx="703767" cy="351883"/>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Community &amp; Environment </a:t>
          </a:r>
        </a:p>
      </dsp:txBody>
      <dsp:txXfrm>
        <a:off x="1170842" y="3063383"/>
        <a:ext cx="683155" cy="331271"/>
      </dsp:txXfrm>
    </dsp:sp>
    <dsp:sp modelId="{0BE8BDAC-028B-4B2B-8B43-A1936D5196C8}">
      <dsp:nvSpPr>
        <dsp:cNvPr id="0" name=""/>
        <dsp:cNvSpPr/>
      </dsp:nvSpPr>
      <dsp:spPr>
        <a:xfrm>
          <a:off x="1864304"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998020" y="3221981"/>
        <a:ext cx="14075" cy="14075"/>
      </dsp:txXfrm>
    </dsp:sp>
    <dsp:sp modelId="{0BD5B255-32D8-492D-8145-43A40489E327}">
      <dsp:nvSpPr>
        <dsp:cNvPr id="0" name=""/>
        <dsp:cNvSpPr/>
      </dsp:nvSpPr>
      <dsp:spPr>
        <a:xfrm>
          <a:off x="2145811"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Waste &amp; Health Services </a:t>
          </a:r>
        </a:p>
      </dsp:txBody>
      <dsp:txXfrm>
        <a:off x="2156117" y="3063383"/>
        <a:ext cx="683155" cy="331271"/>
      </dsp:txXfrm>
    </dsp:sp>
    <dsp:sp modelId="{5E2CA5F0-6EDB-43B2-A107-0061A8DFE1E7}">
      <dsp:nvSpPr>
        <dsp:cNvPr id="0" name=""/>
        <dsp:cNvSpPr/>
      </dsp:nvSpPr>
      <dsp:spPr>
        <a:xfrm>
          <a:off x="2849579"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83295" y="3221981"/>
        <a:ext cx="14075" cy="14075"/>
      </dsp:txXfrm>
    </dsp:sp>
    <dsp:sp modelId="{C486FC47-D7D2-4488-B170-D2EE3F6A70E1}">
      <dsp:nvSpPr>
        <dsp:cNvPr id="0" name=""/>
        <dsp:cNvSpPr/>
      </dsp:nvSpPr>
      <dsp:spPr>
        <a:xfrm>
          <a:off x="3131086"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Parks, Sport &amp; Natural Areas </a:t>
          </a:r>
        </a:p>
      </dsp:txBody>
      <dsp:txXfrm>
        <a:off x="3141392" y="3063383"/>
        <a:ext cx="683155" cy="331271"/>
      </dsp:txXfrm>
    </dsp:sp>
    <dsp:sp modelId="{62C14F1E-42EB-45E1-876B-6F88FA1EE635}">
      <dsp:nvSpPr>
        <dsp:cNvPr id="0" name=""/>
        <dsp:cNvSpPr/>
      </dsp:nvSpPr>
      <dsp:spPr>
        <a:xfrm>
          <a:off x="3834854"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8570" y="3221981"/>
        <a:ext cx="14075" cy="14075"/>
      </dsp:txXfrm>
    </dsp:sp>
    <dsp:sp modelId="{4D543170-AB5D-481E-AE28-7C318C9E1D00}">
      <dsp:nvSpPr>
        <dsp:cNvPr id="0" name=""/>
        <dsp:cNvSpPr/>
      </dsp:nvSpPr>
      <dsp:spPr>
        <a:xfrm>
          <a:off x="4116361"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Com. Business  &amp; Ec. Develpment </a:t>
          </a:r>
        </a:p>
      </dsp:txBody>
      <dsp:txXfrm>
        <a:off x="4126667" y="3063383"/>
        <a:ext cx="683155" cy="331271"/>
      </dsp:txXfrm>
    </dsp:sp>
    <dsp:sp modelId="{1E337061-9AD5-4BEF-9A2E-496BD8016888}">
      <dsp:nvSpPr>
        <dsp:cNvPr id="0" name=""/>
        <dsp:cNvSpPr/>
      </dsp:nvSpPr>
      <dsp:spPr>
        <a:xfrm>
          <a:off x="4820129"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953845" y="3221981"/>
        <a:ext cx="14075" cy="14075"/>
      </dsp:txXfrm>
    </dsp:sp>
    <dsp:sp modelId="{4009E22F-7A76-4372-8313-87DC2650C5A5}">
      <dsp:nvSpPr>
        <dsp:cNvPr id="0" name=""/>
        <dsp:cNvSpPr/>
      </dsp:nvSpPr>
      <dsp:spPr>
        <a:xfrm>
          <a:off x="5101636"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Disaster Management </a:t>
          </a:r>
        </a:p>
      </dsp:txBody>
      <dsp:txXfrm>
        <a:off x="5111942" y="3063383"/>
        <a:ext cx="683155" cy="331271"/>
      </dsp:txXfrm>
    </dsp:sp>
    <dsp:sp modelId="{F8753328-F67C-451E-AFD5-BAE04E9BDED4}">
      <dsp:nvSpPr>
        <dsp:cNvPr id="0" name=""/>
        <dsp:cNvSpPr/>
      </dsp:nvSpPr>
      <dsp:spPr>
        <a:xfrm>
          <a:off x="5805404"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5939120" y="3221981"/>
        <a:ext cx="14075" cy="14075"/>
      </dsp:txXfrm>
    </dsp:sp>
    <dsp:sp modelId="{D47CF43F-6F9E-47BD-81E8-560FD4404FCF}">
      <dsp:nvSpPr>
        <dsp:cNvPr id="0" name=""/>
        <dsp:cNvSpPr/>
      </dsp:nvSpPr>
      <dsp:spPr>
        <a:xfrm>
          <a:off x="6086912"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Libraries, Arts &amp; Theatre </a:t>
          </a:r>
        </a:p>
      </dsp:txBody>
      <dsp:txXfrm>
        <a:off x="6097218" y="3063383"/>
        <a:ext cx="683155" cy="331271"/>
      </dsp:txXfrm>
    </dsp:sp>
    <dsp:sp modelId="{24A64180-58B2-4E3F-BBAB-2837C5AB8639}">
      <dsp:nvSpPr>
        <dsp:cNvPr id="0" name=""/>
        <dsp:cNvSpPr/>
      </dsp:nvSpPr>
      <dsp:spPr>
        <a:xfrm>
          <a:off x="6790679"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6924395" y="3221981"/>
        <a:ext cx="14075" cy="14075"/>
      </dsp:txXfrm>
    </dsp:sp>
    <dsp:sp modelId="{7ACDEFAC-5793-4FF4-953F-CFFCA3EDB168}">
      <dsp:nvSpPr>
        <dsp:cNvPr id="0" name=""/>
        <dsp:cNvSpPr/>
      </dsp:nvSpPr>
      <dsp:spPr>
        <a:xfrm>
          <a:off x="7072187"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Community  Development </a:t>
          </a:r>
        </a:p>
      </dsp:txBody>
      <dsp:txXfrm>
        <a:off x="7082493" y="3063383"/>
        <a:ext cx="683155" cy="331271"/>
      </dsp:txXfrm>
    </dsp:sp>
    <dsp:sp modelId="{9E417FBA-69DC-4D02-871B-2636F8F66360}">
      <dsp:nvSpPr>
        <dsp:cNvPr id="0" name=""/>
        <dsp:cNvSpPr/>
      </dsp:nvSpPr>
      <dsp:spPr>
        <a:xfrm>
          <a:off x="7775954"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7909670" y="3221981"/>
        <a:ext cx="14075" cy="14075"/>
      </dsp:txXfrm>
    </dsp:sp>
    <dsp:sp modelId="{A44620A8-01E9-44DF-8B5A-F7953C4A7468}">
      <dsp:nvSpPr>
        <dsp:cNvPr id="0" name=""/>
        <dsp:cNvSpPr/>
      </dsp:nvSpPr>
      <dsp:spPr>
        <a:xfrm>
          <a:off x="8057462"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Community Care </a:t>
          </a:r>
        </a:p>
      </dsp:txBody>
      <dsp:txXfrm>
        <a:off x="8067768" y="3063383"/>
        <a:ext cx="683155" cy="331271"/>
      </dsp:txXfrm>
    </dsp:sp>
    <dsp:sp modelId="{2C62AF3E-4942-4621-A810-350EAC5558FF}">
      <dsp:nvSpPr>
        <dsp:cNvPr id="0" name=""/>
        <dsp:cNvSpPr/>
      </dsp:nvSpPr>
      <dsp:spPr>
        <a:xfrm>
          <a:off x="8761230" y="3221955"/>
          <a:ext cx="281507" cy="14128"/>
        </a:xfrm>
        <a:custGeom>
          <a:avLst/>
          <a:gdLst/>
          <a:ahLst/>
          <a:cxnLst/>
          <a:rect l="0" t="0" r="0" b="0"/>
          <a:pathLst>
            <a:path>
              <a:moveTo>
                <a:pt x="0" y="7064"/>
              </a:moveTo>
              <a:lnTo>
                <a:pt x="28150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8894945" y="3221981"/>
        <a:ext cx="14075" cy="14075"/>
      </dsp:txXfrm>
    </dsp:sp>
    <dsp:sp modelId="{8700431F-A44E-4F5D-8D75-45B4C9442CAA}">
      <dsp:nvSpPr>
        <dsp:cNvPr id="0" name=""/>
        <dsp:cNvSpPr/>
      </dsp:nvSpPr>
      <dsp:spPr>
        <a:xfrm>
          <a:off x="9042737" y="3053077"/>
          <a:ext cx="703767" cy="3518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Regulatory Services </a:t>
          </a:r>
        </a:p>
      </dsp:txBody>
      <dsp:txXfrm>
        <a:off x="9053043" y="3063383"/>
        <a:ext cx="683155" cy="331271"/>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708237A269D49A286A2DB8BCE0AE6" ma:contentTypeVersion="6" ma:contentTypeDescription="Create a new document." ma:contentTypeScope="" ma:versionID="b80f041b57af71a8290e3a5227bb855d">
  <xsd:schema xmlns:xsd="http://www.w3.org/2001/XMLSchema" xmlns:xs="http://www.w3.org/2001/XMLSchema" xmlns:p="http://schemas.microsoft.com/office/2006/metadata/properties" xmlns:ns3="c5e8825e-cb65-4d1e-96cf-9064aa41f195" targetNamespace="http://schemas.microsoft.com/office/2006/metadata/properties" ma:root="true" ma:fieldsID="406a5891fca0eefb7aa3e77dff5dd2de" ns3:_="">
    <xsd:import namespace="c5e8825e-cb65-4d1e-96cf-9064aa41f1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8825e-cb65-4d1e-96cf-9064aa41f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F4FB9-0A18-48B2-BE2D-F0372A673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8825e-cb65-4d1e-96cf-9064aa41f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04952F-C623-45A9-BD3F-ED9D99641465}">
  <ds:schemaRefs>
    <ds:schemaRef ds:uri="http://schemas.microsoft.com/sharepoint/v3/contenttype/forms"/>
  </ds:schemaRefs>
</ds:datastoreItem>
</file>

<file path=customXml/itemProps3.xml><?xml version="1.0" encoding="utf-8"?>
<ds:datastoreItem xmlns:ds="http://schemas.openxmlformats.org/officeDocument/2006/customXml" ds:itemID="{61DF9BF1-1BE4-48F5-B114-5E65BE67D279}">
  <ds:schemaRefs>
    <ds:schemaRef ds:uri="http://purl.org/dc/dcmitype/"/>
    <ds:schemaRef ds:uri="c5e8825e-cb65-4d1e-96cf-9064aa41f195"/>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9389</Words>
  <Characters>53519</Characters>
  <Application>Microsoft Office Word</Application>
  <DocSecurity>4</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Bundaberg Regional Council</Company>
  <LinksUpToDate>false</LinksUpToDate>
  <CharactersWithSpaces>62783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Kresha Hodges</dc:creator>
  <cp:keywords/>
  <dc:description/>
  <cp:lastModifiedBy>Judy Hambrecht</cp:lastModifiedBy>
  <cp:revision>2</cp:revision>
  <cp:lastPrinted>2015-10-21T06:32:00Z</cp:lastPrinted>
  <dcterms:created xsi:type="dcterms:W3CDTF">2019-09-10T05:45:00Z</dcterms:created>
  <dcterms:modified xsi:type="dcterms:W3CDTF">2019-09-10T05:45:00Z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A2280912</vt:lpwstr>
  </property>
  <property fmtid="{D5CDD505-2E9C-101B-9397-08002B2CF9AE}" pid="4" name="Objective-Title">
    <vt:lpwstr>2015 -2016 1st Quarter Report (A2001472).pdf</vt:lpwstr>
  </property>
  <property fmtid="{D5CDD505-2E9C-101B-9397-08002B2CF9AE}" pid="5" name="Objective-Comment">
    <vt:lpwstr/>
  </property>
  <property fmtid="{D5CDD505-2E9C-101B-9397-08002B2CF9AE}" pid="6" name="Objective-CreationStamp">
    <vt:filetime>2015-10-22T01:27:13Z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2016-09-12T23:14:11Z</vt:filetime>
  </property>
  <property fmtid="{D5CDD505-2E9C-101B-9397-08002B2CF9AE}" pid="11" name="Objective-Owner">
    <vt:lpwstr>Kresha Hodges</vt:lpwstr>
  </property>
  <property fmtid="{D5CDD505-2E9C-101B-9397-08002B2CF9AE}" pid="12" name="Objective-Path">
    <vt:lpwstr>BRC Global Folder:Council Management:Annual &amp; Quarterly Reports:Quarterly Operational Reports:Quarterly Operational Reports 2015 - 2016:1st Quarter Report 2015 - 2016:</vt:lpwstr>
  </property>
  <property fmtid="{D5CDD505-2E9C-101B-9397-08002B2CF9AE}" pid="13" name="Objective-Parent">
    <vt:lpwstr>1st Quarter Report 2015 - 2016</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qA1022379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Fully Formatted Account ID [system]">
    <vt:lpwstr/>
  </property>
  <property fmtid="{D5CDD505-2E9C-101B-9397-08002B2CF9AE}" pid="22" name="Objective-Description/Precis [system]">
    <vt:lpwstr/>
  </property>
  <property fmtid="{D5CDD505-2E9C-101B-9397-08002B2CF9AE}" pid="23" name="Objective-NAR ID [system]">
    <vt:lpwstr/>
  </property>
  <property fmtid="{D5CDD505-2E9C-101B-9397-08002B2CF9AE}" pid="24" name="Objective-NAR Name [system]">
    <vt:lpwstr/>
  </property>
  <property fmtid="{D5CDD505-2E9C-101B-9397-08002B2CF9AE}" pid="25" name="Objective-Parcel ID [system]">
    <vt:lpwstr/>
  </property>
  <property fmtid="{D5CDD505-2E9C-101B-9397-08002B2CF9AE}" pid="26" name="Objective-Property Address [system]">
    <vt:lpwstr/>
  </property>
  <property fmtid="{D5CDD505-2E9C-101B-9397-08002B2CF9AE}" pid="27" name="Objective-Other Reference Number [system]">
    <vt:lpwstr/>
  </property>
  <property fmtid="{D5CDD505-2E9C-101B-9397-08002B2CF9AE}" pid="28" name="Objective-Asset Facility [system]">
    <vt:lpwstr/>
  </property>
  <property fmtid="{D5CDD505-2E9C-101B-9397-08002B2CF9AE}" pid="29" name="Objective-Referenced Document/s [system]">
    <vt:lpwstr/>
  </property>
  <property fmtid="{D5CDD505-2E9C-101B-9397-08002B2CF9AE}" pid="30" name="Objective-Hard-copy Sent To [system]">
    <vt:lpwstr/>
  </property>
  <property fmtid="{D5CDD505-2E9C-101B-9397-08002B2CF9AE}" pid="31" name="Objective-Hard-copy Sent [system]">
    <vt:lpwstr/>
  </property>
  <property fmtid="{D5CDD505-2E9C-101B-9397-08002B2CF9AE}" pid="32" name="Objective-Hard-copy Returned [system]">
    <vt:lpwstr/>
  </property>
  <property fmtid="{D5CDD505-2E9C-101B-9397-08002B2CF9AE}" pid="33" name="Objective-Mail Notification Sent [system]">
    <vt:lpwstr/>
  </property>
  <property fmtid="{D5CDD505-2E9C-101B-9397-08002B2CF9AE}" pid="34" name="Objective-Legal Register Number [system]">
    <vt:lpwstr/>
  </property>
  <property fmtid="{D5CDD505-2E9C-101B-9397-08002B2CF9AE}" pid="35" name="ContentTypeId">
    <vt:lpwstr>0x010100481708237A269D49A286A2DB8BCE0AE6</vt:lpwstr>
  </property>
</Properties>
</file>