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8A11" w14:textId="77777777" w:rsidR="00597699" w:rsidRPr="00597699" w:rsidRDefault="00597699" w:rsidP="00597699">
      <w:pPr>
        <w:pStyle w:val="ListParagraph"/>
        <w:keepNext/>
        <w:numPr>
          <w:ilvl w:val="0"/>
          <w:numId w:val="13"/>
        </w:numPr>
        <w:spacing w:before="100" w:after="200"/>
        <w:contextualSpacing w:val="0"/>
        <w:outlineLvl w:val="0"/>
        <w:rPr>
          <w:rFonts w:cs="Arial"/>
          <w:b/>
          <w:bCs/>
          <w:vanish/>
          <w:kern w:val="32"/>
          <w:sz w:val="32"/>
          <w:szCs w:val="32"/>
        </w:rPr>
      </w:pPr>
      <w:bookmarkStart w:id="0" w:name="_Toc30080851"/>
    </w:p>
    <w:p w14:paraId="1E4F0C02" w14:textId="77777777" w:rsidR="00597699" w:rsidRPr="00597699" w:rsidRDefault="00597699" w:rsidP="00597699">
      <w:pPr>
        <w:pStyle w:val="ListParagraph"/>
        <w:keepNext/>
        <w:numPr>
          <w:ilvl w:val="1"/>
          <w:numId w:val="13"/>
        </w:numPr>
        <w:spacing w:before="100" w:after="200"/>
        <w:contextualSpacing w:val="0"/>
        <w:outlineLvl w:val="1"/>
        <w:rPr>
          <w:rFonts w:cs="Arial"/>
          <w:b/>
          <w:bCs/>
          <w:iCs/>
          <w:vanish/>
          <w:sz w:val="28"/>
          <w:szCs w:val="28"/>
        </w:rPr>
      </w:pPr>
    </w:p>
    <w:p w14:paraId="7A0D394C" w14:textId="77777777" w:rsidR="00597699" w:rsidRPr="00597699" w:rsidRDefault="00597699" w:rsidP="00597699">
      <w:pPr>
        <w:pStyle w:val="ListParagraph"/>
        <w:keepNext/>
        <w:numPr>
          <w:ilvl w:val="1"/>
          <w:numId w:val="13"/>
        </w:numPr>
        <w:spacing w:before="100" w:after="200"/>
        <w:contextualSpacing w:val="0"/>
        <w:outlineLvl w:val="1"/>
        <w:rPr>
          <w:rFonts w:cs="Arial"/>
          <w:b/>
          <w:bCs/>
          <w:iCs/>
          <w:vanish/>
          <w:sz w:val="28"/>
          <w:szCs w:val="28"/>
        </w:rPr>
      </w:pPr>
    </w:p>
    <w:p w14:paraId="0A68D02E" w14:textId="77777777" w:rsidR="00597699" w:rsidRPr="00597699" w:rsidRDefault="00597699" w:rsidP="00597699">
      <w:pPr>
        <w:pStyle w:val="ListParagraph"/>
        <w:keepNext/>
        <w:numPr>
          <w:ilvl w:val="2"/>
          <w:numId w:val="13"/>
        </w:numPr>
        <w:spacing w:before="100" w:after="200"/>
        <w:contextualSpacing w:val="0"/>
        <w:outlineLvl w:val="2"/>
        <w:rPr>
          <w:b/>
          <w:bCs/>
          <w:vanish/>
          <w:sz w:val="24"/>
          <w:szCs w:val="26"/>
        </w:rPr>
      </w:pPr>
    </w:p>
    <w:p w14:paraId="1A552BD1" w14:textId="77777777" w:rsidR="00597699" w:rsidRPr="00597699" w:rsidRDefault="00597699" w:rsidP="00597699">
      <w:pPr>
        <w:pStyle w:val="ListParagraph"/>
        <w:keepNext/>
        <w:numPr>
          <w:ilvl w:val="2"/>
          <w:numId w:val="13"/>
        </w:numPr>
        <w:spacing w:before="100" w:after="200"/>
        <w:contextualSpacing w:val="0"/>
        <w:outlineLvl w:val="2"/>
        <w:rPr>
          <w:b/>
          <w:bCs/>
          <w:vanish/>
          <w:sz w:val="24"/>
          <w:szCs w:val="26"/>
        </w:rPr>
      </w:pPr>
    </w:p>
    <w:p w14:paraId="256A559C" w14:textId="77777777" w:rsidR="00597699" w:rsidRPr="00597699" w:rsidRDefault="00597699" w:rsidP="00597699">
      <w:pPr>
        <w:pStyle w:val="ListParagraph"/>
        <w:keepNext/>
        <w:numPr>
          <w:ilvl w:val="2"/>
          <w:numId w:val="13"/>
        </w:numPr>
        <w:spacing w:before="100" w:after="200"/>
        <w:contextualSpacing w:val="0"/>
        <w:outlineLvl w:val="2"/>
        <w:rPr>
          <w:b/>
          <w:bCs/>
          <w:vanish/>
          <w:sz w:val="24"/>
          <w:szCs w:val="26"/>
        </w:rPr>
      </w:pPr>
    </w:p>
    <w:p w14:paraId="20CAA8CE" w14:textId="77777777" w:rsidR="00597699" w:rsidRPr="00597699" w:rsidRDefault="00597699" w:rsidP="00597699">
      <w:pPr>
        <w:pStyle w:val="ListParagraph"/>
        <w:keepNext/>
        <w:numPr>
          <w:ilvl w:val="2"/>
          <w:numId w:val="13"/>
        </w:numPr>
        <w:spacing w:before="100" w:after="200"/>
        <w:contextualSpacing w:val="0"/>
        <w:outlineLvl w:val="2"/>
        <w:rPr>
          <w:b/>
          <w:bCs/>
          <w:vanish/>
          <w:sz w:val="24"/>
          <w:szCs w:val="26"/>
        </w:rPr>
      </w:pPr>
    </w:p>
    <w:p w14:paraId="319E05C2" w14:textId="7B63052E" w:rsidR="00597699" w:rsidRDefault="00597699" w:rsidP="00597699">
      <w:pPr>
        <w:pStyle w:val="Heading3"/>
        <w:ind w:right="5951"/>
      </w:pPr>
      <w:r>
        <w:t>Dwelling house code</w:t>
      </w:r>
      <w:bookmarkEnd w:id="0"/>
    </w:p>
    <w:p w14:paraId="164FBBE5" w14:textId="77777777" w:rsidR="00597699" w:rsidRDefault="00597699" w:rsidP="00597699">
      <w:pPr>
        <w:pStyle w:val="Heading4"/>
        <w:ind w:right="5951"/>
      </w:pPr>
      <w:r>
        <w:t>Application</w:t>
      </w:r>
    </w:p>
    <w:p w14:paraId="0BE8008F" w14:textId="77777777" w:rsidR="00597699" w:rsidRPr="00D74980" w:rsidRDefault="00597699" w:rsidP="00597699">
      <w:pPr>
        <w:ind w:right="5951"/>
        <w:rPr>
          <w:sz w:val="18"/>
          <w:szCs w:val="18"/>
        </w:rPr>
      </w:pPr>
      <w:r w:rsidRPr="00D74980">
        <w:rPr>
          <w:sz w:val="18"/>
          <w:szCs w:val="18"/>
        </w:rPr>
        <w:t>This code applies to development</w:t>
      </w:r>
      <w:r>
        <w:rPr>
          <w:sz w:val="18"/>
          <w:szCs w:val="18"/>
        </w:rPr>
        <w:t xml:space="preserve"> </w:t>
      </w:r>
      <w:r w:rsidRPr="00D74980">
        <w:rPr>
          <w:sz w:val="18"/>
          <w:szCs w:val="18"/>
        </w:rPr>
        <w:t xml:space="preserve">identified as requiring assessment against the Dwelling house code by the tables of assessment in </w:t>
      </w:r>
      <w:r w:rsidRPr="00D74980">
        <w:rPr>
          <w:b/>
          <w:sz w:val="18"/>
          <w:szCs w:val="18"/>
        </w:rPr>
        <w:t>Part 5 (Tables of assessment)</w:t>
      </w:r>
      <w:r w:rsidRPr="00D74980">
        <w:rPr>
          <w:sz w:val="18"/>
          <w:szCs w:val="18"/>
        </w:rPr>
        <w:t>.</w:t>
      </w:r>
    </w:p>
    <w:p w14:paraId="5E6A228C" w14:textId="77777777" w:rsidR="00597699" w:rsidRPr="00D74980" w:rsidRDefault="00597699" w:rsidP="00597699">
      <w:pPr>
        <w:ind w:right="5951"/>
        <w:rPr>
          <w:sz w:val="18"/>
          <w:szCs w:val="18"/>
        </w:rPr>
      </w:pPr>
    </w:p>
    <w:p w14:paraId="28BC4255" w14:textId="77777777" w:rsidR="00597699" w:rsidRDefault="00597699" w:rsidP="00597699">
      <w:pPr>
        <w:pStyle w:val="Heading4"/>
        <w:ind w:right="5951"/>
      </w:pPr>
      <w:r>
        <w:t>Purpose and overall outcomes</w:t>
      </w:r>
    </w:p>
    <w:p w14:paraId="594978D1" w14:textId="77777777" w:rsidR="00597699" w:rsidRPr="00D74980" w:rsidRDefault="00597699" w:rsidP="00597699">
      <w:pPr>
        <w:numPr>
          <w:ilvl w:val="0"/>
          <w:numId w:val="39"/>
        </w:numPr>
        <w:ind w:right="5951"/>
        <w:rPr>
          <w:sz w:val="18"/>
          <w:szCs w:val="18"/>
        </w:rPr>
      </w:pPr>
      <w:r w:rsidRPr="00D74980">
        <w:rPr>
          <w:sz w:val="18"/>
          <w:szCs w:val="18"/>
        </w:rPr>
        <w:t>The purpose of the Dwelling house code is to ensure that the design and siting of detached houses protects residential amenity and maintains streetscape character and that associated secondary dwellings are of an appropriate scale and intensity.</w:t>
      </w:r>
    </w:p>
    <w:p w14:paraId="72ACBDC5" w14:textId="77777777" w:rsidR="00597699" w:rsidRPr="00D74980" w:rsidRDefault="00597699" w:rsidP="00597699">
      <w:pPr>
        <w:ind w:right="5951"/>
        <w:rPr>
          <w:sz w:val="18"/>
          <w:szCs w:val="18"/>
        </w:rPr>
      </w:pPr>
    </w:p>
    <w:p w14:paraId="67F91238" w14:textId="77777777" w:rsidR="00597699" w:rsidRPr="00D74980" w:rsidRDefault="00597699" w:rsidP="00597699">
      <w:pPr>
        <w:numPr>
          <w:ilvl w:val="0"/>
          <w:numId w:val="39"/>
        </w:numPr>
        <w:ind w:right="5951"/>
        <w:rPr>
          <w:sz w:val="18"/>
          <w:szCs w:val="18"/>
        </w:rPr>
      </w:pPr>
      <w:r w:rsidRPr="00D74980">
        <w:rPr>
          <w:sz w:val="18"/>
          <w:szCs w:val="18"/>
        </w:rPr>
        <w:t>The purpose of the code will be achieved through the following overall outcomes:-</w:t>
      </w:r>
    </w:p>
    <w:p w14:paraId="593CDEA9" w14:textId="77777777" w:rsidR="00597699" w:rsidRPr="00D74980" w:rsidRDefault="00597699" w:rsidP="00597699">
      <w:pPr>
        <w:ind w:right="5951"/>
        <w:rPr>
          <w:sz w:val="18"/>
          <w:szCs w:val="18"/>
        </w:rPr>
      </w:pPr>
    </w:p>
    <w:p w14:paraId="0F36DDF4" w14:textId="77777777" w:rsidR="00597699" w:rsidRPr="00D74980" w:rsidRDefault="00597699" w:rsidP="00597699">
      <w:pPr>
        <w:numPr>
          <w:ilvl w:val="1"/>
          <w:numId w:val="39"/>
        </w:numPr>
        <w:ind w:right="5951"/>
        <w:rPr>
          <w:sz w:val="18"/>
          <w:szCs w:val="18"/>
        </w:rPr>
      </w:pPr>
      <w:r w:rsidRPr="00D74980">
        <w:rPr>
          <w:sz w:val="18"/>
          <w:szCs w:val="18"/>
        </w:rPr>
        <w:t>the building form, siting, design and use of the dwelling house is consistent with the desired amenity and character of the area;</w:t>
      </w:r>
    </w:p>
    <w:p w14:paraId="46ED83FA" w14:textId="77777777" w:rsidR="00597699" w:rsidRPr="00D74980" w:rsidRDefault="00597699" w:rsidP="00597699">
      <w:pPr>
        <w:ind w:left="567" w:right="5951"/>
        <w:rPr>
          <w:sz w:val="18"/>
          <w:szCs w:val="18"/>
        </w:rPr>
      </w:pPr>
    </w:p>
    <w:p w14:paraId="20ECD95A" w14:textId="77777777" w:rsidR="00597699" w:rsidRPr="00D74980" w:rsidRDefault="00597699" w:rsidP="00597699">
      <w:pPr>
        <w:numPr>
          <w:ilvl w:val="1"/>
          <w:numId w:val="39"/>
        </w:numPr>
        <w:ind w:right="5951"/>
        <w:rPr>
          <w:sz w:val="18"/>
          <w:szCs w:val="18"/>
        </w:rPr>
      </w:pPr>
      <w:r w:rsidRPr="00D74980">
        <w:rPr>
          <w:sz w:val="18"/>
          <w:szCs w:val="18"/>
        </w:rPr>
        <w:t xml:space="preserve">secondary dwellings are of an appropriate scale and intensity and are compatible with surrounding development; </w:t>
      </w:r>
    </w:p>
    <w:p w14:paraId="395B08C5" w14:textId="77777777" w:rsidR="00597699" w:rsidRPr="00D74980" w:rsidRDefault="00597699" w:rsidP="00597699">
      <w:pPr>
        <w:ind w:right="5951"/>
        <w:rPr>
          <w:sz w:val="18"/>
          <w:szCs w:val="18"/>
        </w:rPr>
      </w:pPr>
    </w:p>
    <w:p w14:paraId="746C3472" w14:textId="77777777" w:rsidR="00597699" w:rsidRPr="00D74980" w:rsidRDefault="00597699" w:rsidP="00597699">
      <w:pPr>
        <w:numPr>
          <w:ilvl w:val="1"/>
          <w:numId w:val="39"/>
        </w:numPr>
        <w:ind w:right="5951"/>
        <w:rPr>
          <w:sz w:val="18"/>
          <w:szCs w:val="18"/>
        </w:rPr>
      </w:pPr>
      <w:r w:rsidRPr="00D74980">
        <w:rPr>
          <w:sz w:val="18"/>
          <w:szCs w:val="18"/>
        </w:rPr>
        <w:t>dwelling houses are not at an unacceptable risk from natural hazards.</w:t>
      </w:r>
    </w:p>
    <w:p w14:paraId="7624F32B" w14:textId="77777777" w:rsidR="00597699" w:rsidRPr="00D74980" w:rsidRDefault="00597699" w:rsidP="00597699">
      <w:pPr>
        <w:ind w:right="5951"/>
        <w:rPr>
          <w:sz w:val="18"/>
          <w:szCs w:val="18"/>
        </w:rPr>
      </w:pPr>
    </w:p>
    <w:p w14:paraId="0291BF45" w14:textId="77777777" w:rsidR="00597699" w:rsidRPr="008E04FE" w:rsidRDefault="00597699" w:rsidP="00597699">
      <w:pPr>
        <w:pStyle w:val="Heading4"/>
        <w:ind w:right="5951"/>
      </w:pPr>
      <w:r>
        <w:t>Specific benchmarks for assessment</w:t>
      </w:r>
    </w:p>
    <w:p w14:paraId="2C637D47" w14:textId="77777777" w:rsidR="00597699" w:rsidRPr="00470A87" w:rsidRDefault="00597699" w:rsidP="00597699">
      <w:pPr>
        <w:pStyle w:val="Heading7"/>
        <w:ind w:right="5951"/>
      </w:pPr>
      <w:bookmarkStart w:id="1" w:name="_Toc30080879"/>
      <w:r w:rsidRPr="00470A87">
        <w:t>Requirements for development accepted subject to requirements and benchmarks for assessable development</w:t>
      </w:r>
      <w:bookmarkEnd w:id="1"/>
      <w:r w:rsidRPr="00470A87">
        <w:t xml:space="preserve"> </w:t>
      </w:r>
    </w:p>
    <w:p w14:paraId="7FC9E402" w14:textId="77777777" w:rsidR="00597699" w:rsidRDefault="00597699" w:rsidP="00597699">
      <w:pPr>
        <w:ind w:right="5951"/>
        <w:rPr>
          <w:bCs/>
          <w:iCs/>
          <w:sz w:val="16"/>
          <w:szCs w:val="16"/>
        </w:rPr>
      </w:pPr>
      <w:r>
        <w:rPr>
          <w:bCs/>
          <w:iCs/>
          <w:sz w:val="16"/>
          <w:szCs w:val="16"/>
        </w:rPr>
        <w:t>Editor’s notes—</w:t>
      </w:r>
    </w:p>
    <w:p w14:paraId="7F3D220D" w14:textId="77777777" w:rsidR="00597699" w:rsidRPr="00AA1B43" w:rsidRDefault="00597699" w:rsidP="00597699">
      <w:pPr>
        <w:pStyle w:val="ListParagraph"/>
        <w:numPr>
          <w:ilvl w:val="4"/>
          <w:numId w:val="39"/>
        </w:numPr>
        <w:tabs>
          <w:tab w:val="clear" w:pos="1800"/>
          <w:tab w:val="num" w:pos="284"/>
        </w:tabs>
        <w:ind w:left="284" w:right="5951" w:hanging="284"/>
        <w:rPr>
          <w:bCs/>
          <w:iCs/>
          <w:sz w:val="16"/>
          <w:szCs w:val="16"/>
        </w:rPr>
      </w:pPr>
      <w:r w:rsidRPr="00AA1B43">
        <w:rPr>
          <w:bCs/>
          <w:iCs/>
          <w:sz w:val="16"/>
          <w:szCs w:val="16"/>
        </w:rPr>
        <w:t xml:space="preserve">Acceptable outcomes are quantifiable standards and performance outcomes are qualitative statements for the purposes of the </w:t>
      </w:r>
      <w:r w:rsidRPr="00315902">
        <w:rPr>
          <w:bCs/>
          <w:i/>
          <w:iCs/>
          <w:sz w:val="16"/>
          <w:szCs w:val="16"/>
        </w:rPr>
        <w:t>Building Act 1975</w:t>
      </w:r>
      <w:r w:rsidRPr="00AA1B43">
        <w:rPr>
          <w:bCs/>
          <w:iCs/>
          <w:sz w:val="16"/>
          <w:szCs w:val="16"/>
        </w:rPr>
        <w:t>.</w:t>
      </w:r>
    </w:p>
    <w:p w14:paraId="67503A57" w14:textId="77777777" w:rsidR="00597699" w:rsidRPr="00AA1B43" w:rsidRDefault="00597699" w:rsidP="00597699">
      <w:pPr>
        <w:pStyle w:val="ListParagraph"/>
        <w:numPr>
          <w:ilvl w:val="4"/>
          <w:numId w:val="39"/>
        </w:numPr>
        <w:tabs>
          <w:tab w:val="clear" w:pos="1800"/>
          <w:tab w:val="num" w:pos="284"/>
        </w:tabs>
        <w:ind w:left="284" w:right="5951" w:hanging="284"/>
        <w:rPr>
          <w:bCs/>
          <w:iCs/>
          <w:sz w:val="16"/>
          <w:szCs w:val="16"/>
        </w:rPr>
      </w:pPr>
      <w:r>
        <w:rPr>
          <w:bCs/>
          <w:iCs/>
          <w:sz w:val="16"/>
          <w:szCs w:val="16"/>
        </w:rPr>
        <w:t>Where an acceptable outcome is nominated as an alternative provision, development</w:t>
      </w:r>
      <w:r w:rsidRPr="00AA1B43">
        <w:rPr>
          <w:b/>
          <w:bCs/>
          <w:iCs/>
          <w:sz w:val="16"/>
          <w:szCs w:val="16"/>
        </w:rPr>
        <w:t xml:space="preserve"> </w:t>
      </w:r>
      <w:r w:rsidRPr="00AA1B43">
        <w:rPr>
          <w:bCs/>
          <w:iCs/>
          <w:sz w:val="16"/>
          <w:szCs w:val="16"/>
        </w:rPr>
        <w:t xml:space="preserve">that does not comply with </w:t>
      </w:r>
      <w:r>
        <w:rPr>
          <w:bCs/>
          <w:iCs/>
          <w:sz w:val="16"/>
          <w:szCs w:val="16"/>
        </w:rPr>
        <w:t xml:space="preserve">one or more of </w:t>
      </w:r>
      <w:r w:rsidRPr="00AA1B43">
        <w:rPr>
          <w:bCs/>
          <w:iCs/>
          <w:sz w:val="16"/>
          <w:szCs w:val="16"/>
        </w:rPr>
        <w:t>the</w:t>
      </w:r>
      <w:r>
        <w:rPr>
          <w:bCs/>
          <w:iCs/>
          <w:sz w:val="16"/>
          <w:szCs w:val="16"/>
        </w:rPr>
        <w:t>se</w:t>
      </w:r>
      <w:r w:rsidRPr="00AA1B43">
        <w:rPr>
          <w:bCs/>
          <w:iCs/>
          <w:sz w:val="16"/>
          <w:szCs w:val="16"/>
        </w:rPr>
        <w:t xml:space="preserve"> acceptable outcomes will require referral to Council pursuant to Schedule 9</w:t>
      </w:r>
      <w:r>
        <w:rPr>
          <w:bCs/>
          <w:iCs/>
          <w:sz w:val="16"/>
          <w:szCs w:val="16"/>
        </w:rPr>
        <w:t>, Part 3, Division 2, Table 3</w:t>
      </w:r>
      <w:r w:rsidRPr="00AA1B43">
        <w:rPr>
          <w:bCs/>
          <w:iCs/>
          <w:sz w:val="16"/>
          <w:szCs w:val="16"/>
        </w:rPr>
        <w:t xml:space="preserve"> of the Regulation. </w:t>
      </w:r>
    </w:p>
    <w:p w14:paraId="0BDB11EC" w14:textId="77777777" w:rsidR="00597699" w:rsidRDefault="00597699" w:rsidP="00597699">
      <w:pPr>
        <w:pStyle w:val="ListParagraph"/>
        <w:numPr>
          <w:ilvl w:val="4"/>
          <w:numId w:val="39"/>
        </w:numPr>
        <w:tabs>
          <w:tab w:val="clear" w:pos="1800"/>
          <w:tab w:val="num" w:pos="284"/>
        </w:tabs>
        <w:ind w:left="284" w:right="5951" w:hanging="284"/>
        <w:rPr>
          <w:bCs/>
          <w:iCs/>
          <w:sz w:val="16"/>
          <w:szCs w:val="16"/>
        </w:rPr>
      </w:pPr>
      <w:r w:rsidRPr="00894C04">
        <w:rPr>
          <w:bCs/>
          <w:iCs/>
          <w:sz w:val="16"/>
          <w:szCs w:val="16"/>
        </w:rPr>
        <w:t>Acceptable outcomes A</w:t>
      </w:r>
      <w:r>
        <w:rPr>
          <w:bCs/>
          <w:iCs/>
          <w:sz w:val="16"/>
          <w:szCs w:val="16"/>
        </w:rPr>
        <w:t>O9</w:t>
      </w:r>
      <w:r w:rsidRPr="00894C04">
        <w:rPr>
          <w:bCs/>
          <w:iCs/>
          <w:sz w:val="16"/>
          <w:szCs w:val="16"/>
        </w:rPr>
        <w:t>.1 to AO</w:t>
      </w:r>
      <w:r>
        <w:rPr>
          <w:bCs/>
          <w:iCs/>
          <w:sz w:val="16"/>
          <w:szCs w:val="16"/>
        </w:rPr>
        <w:t>9</w:t>
      </w:r>
      <w:r w:rsidRPr="00894C04">
        <w:rPr>
          <w:bCs/>
          <w:iCs/>
          <w:sz w:val="16"/>
          <w:szCs w:val="16"/>
        </w:rPr>
        <w:t>.</w:t>
      </w:r>
      <w:r>
        <w:rPr>
          <w:bCs/>
          <w:iCs/>
          <w:sz w:val="16"/>
          <w:szCs w:val="16"/>
        </w:rPr>
        <w:t>5</w:t>
      </w:r>
      <w:r w:rsidRPr="00894C04">
        <w:rPr>
          <w:bCs/>
          <w:iCs/>
          <w:sz w:val="16"/>
          <w:szCs w:val="16"/>
        </w:rPr>
        <w:t xml:space="preserve"> </w:t>
      </w:r>
      <w:r>
        <w:rPr>
          <w:bCs/>
          <w:iCs/>
          <w:sz w:val="16"/>
          <w:szCs w:val="16"/>
        </w:rPr>
        <w:t xml:space="preserve">and AO10.1 to AO10.3 </w:t>
      </w:r>
      <w:r w:rsidRPr="00894C04">
        <w:rPr>
          <w:bCs/>
          <w:iCs/>
          <w:sz w:val="16"/>
          <w:szCs w:val="16"/>
        </w:rPr>
        <w:t xml:space="preserve">in Table 9.2.6.3.1 of this code are planning provisions.  Development that does not comply with one or more of these acceptable outcomes </w:t>
      </w:r>
      <w:r>
        <w:rPr>
          <w:bCs/>
          <w:iCs/>
          <w:sz w:val="16"/>
          <w:szCs w:val="16"/>
        </w:rPr>
        <w:t xml:space="preserve">will require assessment by Council as the assessment manager, except where Council is identified as a </w:t>
      </w:r>
      <w:r w:rsidRPr="00894C04">
        <w:rPr>
          <w:bCs/>
          <w:iCs/>
          <w:sz w:val="16"/>
          <w:szCs w:val="16"/>
        </w:rPr>
        <w:t xml:space="preserve">referral </w:t>
      </w:r>
      <w:r>
        <w:rPr>
          <w:bCs/>
          <w:iCs/>
          <w:sz w:val="16"/>
          <w:szCs w:val="16"/>
        </w:rPr>
        <w:t>agency pursuant to</w:t>
      </w:r>
      <w:r w:rsidRPr="00894C04">
        <w:rPr>
          <w:bCs/>
          <w:iCs/>
          <w:sz w:val="16"/>
          <w:szCs w:val="16"/>
        </w:rPr>
        <w:t xml:space="preserve"> Schedule 9, Part 3, Division 2, Table 8 of the Regulation</w:t>
      </w:r>
      <w:r>
        <w:rPr>
          <w:bCs/>
          <w:iCs/>
          <w:sz w:val="16"/>
          <w:szCs w:val="16"/>
        </w:rPr>
        <w:t>.</w:t>
      </w:r>
    </w:p>
    <w:p w14:paraId="19BA9A50" w14:textId="77777777" w:rsidR="00597699" w:rsidRPr="00894C04" w:rsidRDefault="00597699" w:rsidP="00597699">
      <w:pPr>
        <w:pStyle w:val="ListParagraph"/>
        <w:ind w:left="0"/>
        <w:rPr>
          <w:bCs/>
          <w:iCs/>
          <w:sz w:val="16"/>
          <w:szCs w:val="16"/>
        </w:rPr>
      </w:pPr>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597699" w:rsidRPr="00FD1AF3" w14:paraId="326D94BC" w14:textId="4F1787F9" w:rsidTr="00597699">
        <w:trPr>
          <w:tblHeader/>
        </w:trPr>
        <w:tc>
          <w:tcPr>
            <w:tcW w:w="4167" w:type="dxa"/>
            <w:tcBorders>
              <w:bottom w:val="single" w:sz="4" w:space="0" w:color="auto"/>
            </w:tcBorders>
            <w:shd w:val="clear" w:color="auto" w:fill="000000"/>
          </w:tcPr>
          <w:p w14:paraId="2616E14C" w14:textId="77777777" w:rsidR="00597699" w:rsidRPr="00BF12D2" w:rsidRDefault="00597699" w:rsidP="00EA3542">
            <w:pPr>
              <w:rPr>
                <w:rFonts w:cs="Arial"/>
                <w:b/>
                <w:sz w:val="18"/>
                <w:szCs w:val="18"/>
              </w:rPr>
            </w:pPr>
            <w:r w:rsidRPr="00BF12D2">
              <w:rPr>
                <w:rFonts w:cs="Arial"/>
                <w:b/>
                <w:sz w:val="18"/>
                <w:szCs w:val="18"/>
              </w:rPr>
              <w:t>P</w:t>
            </w:r>
            <w:r>
              <w:rPr>
                <w:rFonts w:cs="Arial"/>
                <w:b/>
                <w:sz w:val="18"/>
                <w:szCs w:val="18"/>
              </w:rPr>
              <w:t>erformance o</w:t>
            </w:r>
            <w:r w:rsidRPr="00BF12D2">
              <w:rPr>
                <w:rFonts w:cs="Arial"/>
                <w:b/>
                <w:sz w:val="18"/>
                <w:szCs w:val="18"/>
              </w:rPr>
              <w:t>utcomes</w:t>
            </w:r>
          </w:p>
        </w:tc>
        <w:tc>
          <w:tcPr>
            <w:tcW w:w="4338" w:type="dxa"/>
            <w:tcBorders>
              <w:bottom w:val="single" w:sz="4" w:space="0" w:color="auto"/>
            </w:tcBorders>
            <w:shd w:val="clear" w:color="auto" w:fill="000000"/>
          </w:tcPr>
          <w:p w14:paraId="56CDDB94" w14:textId="77777777" w:rsidR="00597699" w:rsidRPr="00BF12D2" w:rsidRDefault="00597699" w:rsidP="00EA3542">
            <w:pPr>
              <w:rPr>
                <w:rFonts w:cs="Arial"/>
                <w:b/>
                <w:sz w:val="18"/>
                <w:szCs w:val="18"/>
              </w:rPr>
            </w:pPr>
            <w:r>
              <w:rPr>
                <w:rFonts w:cs="Arial"/>
                <w:b/>
                <w:sz w:val="18"/>
                <w:szCs w:val="18"/>
              </w:rPr>
              <w:t>Acceptable o</w:t>
            </w:r>
            <w:r w:rsidRPr="00BF12D2">
              <w:rPr>
                <w:rFonts w:cs="Arial"/>
                <w:b/>
                <w:sz w:val="18"/>
                <w:szCs w:val="18"/>
              </w:rPr>
              <w:t>utcomes</w:t>
            </w:r>
          </w:p>
        </w:tc>
        <w:tc>
          <w:tcPr>
            <w:tcW w:w="5439" w:type="dxa"/>
            <w:tcBorders>
              <w:bottom w:val="single" w:sz="4" w:space="0" w:color="auto"/>
            </w:tcBorders>
            <w:shd w:val="clear" w:color="auto" w:fill="000000"/>
          </w:tcPr>
          <w:p w14:paraId="54C83D0D" w14:textId="2DCCA59A" w:rsidR="00597699" w:rsidRDefault="00597699" w:rsidP="00EA3542">
            <w:pPr>
              <w:rPr>
                <w:rFonts w:cs="Arial"/>
                <w:b/>
                <w:sz w:val="18"/>
                <w:szCs w:val="18"/>
              </w:rPr>
            </w:pPr>
            <w:r w:rsidRPr="00C50906">
              <w:rPr>
                <w:rFonts w:cs="Arial"/>
                <w:b/>
                <w:sz w:val="18"/>
                <w:szCs w:val="18"/>
              </w:rPr>
              <w:t>Compliance / Representations</w:t>
            </w:r>
          </w:p>
        </w:tc>
      </w:tr>
      <w:tr w:rsidR="00597699" w:rsidRPr="00567F65" w14:paraId="75D4E44E" w14:textId="20DAF8F0" w:rsidTr="00597699">
        <w:tc>
          <w:tcPr>
            <w:tcW w:w="8505" w:type="dxa"/>
            <w:gridSpan w:val="2"/>
            <w:shd w:val="clear" w:color="auto" w:fill="D9D9D9"/>
          </w:tcPr>
          <w:p w14:paraId="30EFAD37" w14:textId="77777777" w:rsidR="00597699" w:rsidRPr="00567F65" w:rsidRDefault="00597699" w:rsidP="00EA3542">
            <w:pPr>
              <w:tabs>
                <w:tab w:val="left" w:pos="1701"/>
              </w:tabs>
              <w:jc w:val="both"/>
              <w:rPr>
                <w:rFonts w:cs="Arial"/>
                <w:b/>
                <w:i/>
                <w:sz w:val="18"/>
                <w:szCs w:val="18"/>
              </w:rPr>
            </w:pPr>
            <w:r>
              <w:rPr>
                <w:rFonts w:cs="Arial"/>
                <w:b/>
                <w:i/>
                <w:sz w:val="18"/>
                <w:szCs w:val="18"/>
              </w:rPr>
              <w:t xml:space="preserve">Development footprint plan and alternative setbacks </w:t>
            </w:r>
          </w:p>
        </w:tc>
        <w:tc>
          <w:tcPr>
            <w:tcW w:w="5439" w:type="dxa"/>
            <w:shd w:val="clear" w:color="auto" w:fill="D9D9D9"/>
          </w:tcPr>
          <w:p w14:paraId="0B8CC12B" w14:textId="77777777" w:rsidR="00597699" w:rsidRDefault="00597699" w:rsidP="00EA3542">
            <w:pPr>
              <w:tabs>
                <w:tab w:val="left" w:pos="1701"/>
              </w:tabs>
              <w:jc w:val="both"/>
              <w:rPr>
                <w:rFonts w:cs="Arial"/>
                <w:b/>
                <w:i/>
                <w:sz w:val="18"/>
                <w:szCs w:val="18"/>
              </w:rPr>
            </w:pPr>
          </w:p>
        </w:tc>
      </w:tr>
      <w:tr w:rsidR="00597699" w:rsidRPr="005F652D" w14:paraId="43EEAAFB" w14:textId="31DB4804" w:rsidTr="00597699">
        <w:tc>
          <w:tcPr>
            <w:tcW w:w="4167" w:type="dxa"/>
            <w:shd w:val="clear" w:color="auto" w:fill="auto"/>
          </w:tcPr>
          <w:p w14:paraId="03476F90" w14:textId="77777777" w:rsidR="00597699" w:rsidRDefault="00597699" w:rsidP="00EA3542">
            <w:pPr>
              <w:jc w:val="both"/>
              <w:rPr>
                <w:b/>
                <w:sz w:val="18"/>
                <w:szCs w:val="18"/>
              </w:rPr>
            </w:pPr>
            <w:r>
              <w:rPr>
                <w:b/>
                <w:sz w:val="18"/>
                <w:szCs w:val="18"/>
              </w:rPr>
              <w:t>PO1</w:t>
            </w:r>
          </w:p>
          <w:p w14:paraId="668F9817" w14:textId="77777777" w:rsidR="00597699" w:rsidRDefault="00597699" w:rsidP="00EA3542">
            <w:pPr>
              <w:jc w:val="both"/>
              <w:rPr>
                <w:sz w:val="18"/>
                <w:szCs w:val="18"/>
              </w:rPr>
            </w:pPr>
            <w:r>
              <w:rPr>
                <w:sz w:val="18"/>
                <w:szCs w:val="18"/>
              </w:rPr>
              <w:t>A dwelling house</w:t>
            </w:r>
            <w:r w:rsidRPr="00591ECB">
              <w:rPr>
                <w:sz w:val="18"/>
                <w:szCs w:val="18"/>
              </w:rPr>
              <w:t xml:space="preserve"> is </w:t>
            </w:r>
            <w:r>
              <w:rPr>
                <w:sz w:val="18"/>
                <w:szCs w:val="18"/>
              </w:rPr>
              <w:t>sited to complement and be consistent with the form and character of the local area, having regard to:-</w:t>
            </w:r>
          </w:p>
          <w:p w14:paraId="2DCA8DB7" w14:textId="77777777" w:rsidR="00597699" w:rsidRDefault="00597699" w:rsidP="00597699">
            <w:pPr>
              <w:numPr>
                <w:ilvl w:val="0"/>
                <w:numId w:val="42"/>
              </w:numPr>
              <w:tabs>
                <w:tab w:val="left" w:pos="-7618"/>
              </w:tabs>
              <w:jc w:val="both"/>
              <w:rPr>
                <w:sz w:val="18"/>
                <w:szCs w:val="18"/>
              </w:rPr>
            </w:pPr>
            <w:r>
              <w:rPr>
                <w:sz w:val="18"/>
                <w:szCs w:val="18"/>
              </w:rPr>
              <w:lastRenderedPageBreak/>
              <w:t xml:space="preserve">the existing or intended built form of the locality; and </w:t>
            </w:r>
          </w:p>
          <w:p w14:paraId="4EAB6A6A" w14:textId="77777777" w:rsidR="00597699" w:rsidRDefault="00597699" w:rsidP="00597699">
            <w:pPr>
              <w:numPr>
                <w:ilvl w:val="0"/>
                <w:numId w:val="42"/>
              </w:numPr>
              <w:tabs>
                <w:tab w:val="left" w:pos="-7618"/>
              </w:tabs>
              <w:jc w:val="both"/>
              <w:rPr>
                <w:sz w:val="18"/>
                <w:szCs w:val="18"/>
              </w:rPr>
            </w:pPr>
            <w:r>
              <w:rPr>
                <w:sz w:val="18"/>
                <w:szCs w:val="18"/>
              </w:rPr>
              <w:t xml:space="preserve">the individual constraints of the site. </w:t>
            </w:r>
          </w:p>
          <w:p w14:paraId="211E428C" w14:textId="77777777" w:rsidR="00597699" w:rsidRDefault="00597699" w:rsidP="00EA3542">
            <w:pPr>
              <w:tabs>
                <w:tab w:val="left" w:pos="-7618"/>
              </w:tabs>
              <w:jc w:val="both"/>
              <w:rPr>
                <w:rFonts w:cs="Arial"/>
                <w:sz w:val="16"/>
                <w:szCs w:val="16"/>
              </w:rPr>
            </w:pPr>
          </w:p>
          <w:p w14:paraId="20EBA6C4" w14:textId="77777777" w:rsidR="00597699" w:rsidRPr="00323AFE" w:rsidRDefault="00597699" w:rsidP="00EA3542">
            <w:pPr>
              <w:tabs>
                <w:tab w:val="left" w:pos="-7618"/>
              </w:tabs>
              <w:jc w:val="both"/>
              <w:rPr>
                <w:rFonts w:cs="Arial"/>
                <w:sz w:val="16"/>
                <w:szCs w:val="16"/>
              </w:rPr>
            </w:pPr>
            <w:r w:rsidRPr="009F2D15">
              <w:rPr>
                <w:rFonts w:cs="Arial"/>
                <w:sz w:val="16"/>
                <w:szCs w:val="16"/>
              </w:rPr>
              <w:t>Note—</w:t>
            </w:r>
            <w:r>
              <w:rPr>
                <w:rFonts w:cs="Arial"/>
                <w:sz w:val="16"/>
                <w:szCs w:val="16"/>
              </w:rPr>
              <w:t>P</w:t>
            </w:r>
            <w:r w:rsidRPr="009F2D15">
              <w:rPr>
                <w:rFonts w:cs="Arial"/>
                <w:sz w:val="16"/>
                <w:szCs w:val="16"/>
              </w:rPr>
              <w:t>O1</w:t>
            </w:r>
            <w:r>
              <w:rPr>
                <w:rFonts w:cs="Arial"/>
                <w:sz w:val="16"/>
                <w:szCs w:val="16"/>
              </w:rPr>
              <w:t xml:space="preserve"> is an alternative provision</w:t>
            </w:r>
            <w:r w:rsidRPr="009F2D15">
              <w:rPr>
                <w:rFonts w:cs="Arial"/>
                <w:sz w:val="16"/>
                <w:szCs w:val="16"/>
              </w:rPr>
              <w:t xml:space="preserve"> to QDC</w:t>
            </w:r>
            <w:r>
              <w:rPr>
                <w:rFonts w:cs="Arial"/>
                <w:sz w:val="16"/>
                <w:szCs w:val="16"/>
              </w:rPr>
              <w:t xml:space="preserve"> MP1.1 and MP1.2, P1 and P2, for development involving siting a dwelling house on a site where a development footprint plan has been approved</w:t>
            </w:r>
            <w:r w:rsidRPr="009F2D15">
              <w:rPr>
                <w:rFonts w:cs="Arial"/>
                <w:sz w:val="16"/>
                <w:szCs w:val="16"/>
              </w:rPr>
              <w:t>.</w:t>
            </w:r>
          </w:p>
        </w:tc>
        <w:tc>
          <w:tcPr>
            <w:tcW w:w="4338" w:type="dxa"/>
            <w:shd w:val="clear" w:color="auto" w:fill="auto"/>
          </w:tcPr>
          <w:p w14:paraId="0B695FA2" w14:textId="77777777" w:rsidR="00597699" w:rsidRDefault="00597699" w:rsidP="00EA3542">
            <w:pPr>
              <w:jc w:val="both"/>
              <w:rPr>
                <w:rFonts w:cs="Arial"/>
                <w:b/>
                <w:sz w:val="18"/>
                <w:szCs w:val="18"/>
              </w:rPr>
            </w:pPr>
            <w:r>
              <w:rPr>
                <w:rFonts w:cs="Arial"/>
                <w:b/>
                <w:sz w:val="18"/>
                <w:szCs w:val="18"/>
              </w:rPr>
              <w:lastRenderedPageBreak/>
              <w:t>AO1</w:t>
            </w:r>
          </w:p>
          <w:p w14:paraId="648686B1" w14:textId="77777777" w:rsidR="00597699" w:rsidRPr="00991655" w:rsidRDefault="00597699" w:rsidP="00597699">
            <w:pPr>
              <w:pStyle w:val="ListParagraph"/>
              <w:numPr>
                <w:ilvl w:val="0"/>
                <w:numId w:val="49"/>
              </w:numPr>
              <w:ind w:left="336" w:hanging="336"/>
              <w:jc w:val="both"/>
              <w:rPr>
                <w:rFonts w:cs="Arial"/>
                <w:sz w:val="18"/>
                <w:szCs w:val="18"/>
              </w:rPr>
            </w:pPr>
            <w:r w:rsidRPr="00991655">
              <w:rPr>
                <w:rFonts w:cs="Arial"/>
                <w:sz w:val="18"/>
                <w:szCs w:val="18"/>
              </w:rPr>
              <w:t xml:space="preserve">Where the site has an approved development footprint plan and the plan nominates setbacks from front, side or rear property boundaries, the </w:t>
            </w:r>
            <w:r w:rsidRPr="00991655">
              <w:rPr>
                <w:rFonts w:cs="Arial"/>
                <w:sz w:val="18"/>
                <w:szCs w:val="18"/>
              </w:rPr>
              <w:lastRenderedPageBreak/>
              <w:t>dwelling house is setback in accordance with the approved plan.</w:t>
            </w:r>
          </w:p>
          <w:p w14:paraId="17EA2106" w14:textId="77777777" w:rsidR="00597699" w:rsidRDefault="00597699" w:rsidP="00EA3542">
            <w:pPr>
              <w:jc w:val="both"/>
              <w:rPr>
                <w:rFonts w:cs="Arial"/>
                <w:strike/>
                <w:sz w:val="18"/>
                <w:szCs w:val="18"/>
              </w:rPr>
            </w:pPr>
          </w:p>
          <w:p w14:paraId="0C01AC2A" w14:textId="77777777" w:rsidR="00597699" w:rsidRDefault="00597699" w:rsidP="00EA3542">
            <w:pPr>
              <w:jc w:val="both"/>
              <w:rPr>
                <w:rFonts w:cs="Arial"/>
                <w:sz w:val="18"/>
                <w:szCs w:val="18"/>
              </w:rPr>
            </w:pPr>
            <w:r w:rsidRPr="00684DB2">
              <w:rPr>
                <w:rFonts w:cs="Arial"/>
                <w:b/>
                <w:sz w:val="18"/>
                <w:szCs w:val="18"/>
              </w:rPr>
              <w:t>OR</w:t>
            </w:r>
          </w:p>
          <w:p w14:paraId="37367796" w14:textId="77777777" w:rsidR="00597699" w:rsidRDefault="00597699" w:rsidP="00EA3542">
            <w:pPr>
              <w:jc w:val="both"/>
              <w:rPr>
                <w:rFonts w:cs="Arial"/>
                <w:sz w:val="18"/>
                <w:szCs w:val="18"/>
              </w:rPr>
            </w:pPr>
          </w:p>
          <w:p w14:paraId="3F969567" w14:textId="77777777" w:rsidR="00597699" w:rsidRPr="00991655" w:rsidRDefault="00597699" w:rsidP="00597699">
            <w:pPr>
              <w:pStyle w:val="ListParagraph"/>
              <w:numPr>
                <w:ilvl w:val="0"/>
                <w:numId w:val="49"/>
              </w:numPr>
              <w:ind w:left="336" w:hanging="336"/>
              <w:jc w:val="both"/>
              <w:rPr>
                <w:rFonts w:cs="Arial"/>
                <w:sz w:val="18"/>
                <w:szCs w:val="18"/>
              </w:rPr>
            </w:pPr>
            <w:r w:rsidRPr="00991655">
              <w:rPr>
                <w:rFonts w:cs="Arial"/>
                <w:sz w:val="18"/>
                <w:szCs w:val="18"/>
              </w:rPr>
              <w:t>Where there is no approved development footprint plan that nominates setbacks from a property boundary for the site,</w:t>
            </w:r>
            <w:r>
              <w:rPr>
                <w:rFonts w:cs="Arial"/>
                <w:sz w:val="18"/>
                <w:szCs w:val="18"/>
              </w:rPr>
              <w:t xml:space="preserve"> and the site is not included in the Rural zone or Rural residential zone, t</w:t>
            </w:r>
            <w:r w:rsidRPr="00991655">
              <w:rPr>
                <w:rFonts w:cs="Arial"/>
                <w:sz w:val="18"/>
                <w:szCs w:val="18"/>
              </w:rPr>
              <w:t>he dwelling house is sited as per QDC MP1.1 and MP1.2, A1(a), (b) and (c) and A2(a), (b), (c) and (d).</w:t>
            </w:r>
          </w:p>
          <w:p w14:paraId="0EEE5714" w14:textId="77777777" w:rsidR="00597699" w:rsidRDefault="00597699" w:rsidP="00EA3542">
            <w:pPr>
              <w:tabs>
                <w:tab w:val="left" w:pos="-7618"/>
              </w:tabs>
              <w:jc w:val="both"/>
              <w:rPr>
                <w:rFonts w:cs="Arial"/>
                <w:sz w:val="18"/>
                <w:szCs w:val="18"/>
              </w:rPr>
            </w:pPr>
          </w:p>
          <w:p w14:paraId="688F58C1" w14:textId="77777777" w:rsidR="00597699" w:rsidRDefault="00597699" w:rsidP="00EA3542">
            <w:pPr>
              <w:tabs>
                <w:tab w:val="left" w:pos="-7618"/>
              </w:tabs>
              <w:jc w:val="both"/>
              <w:rPr>
                <w:rFonts w:cs="Arial"/>
                <w:sz w:val="16"/>
                <w:szCs w:val="16"/>
              </w:rPr>
            </w:pPr>
            <w:r w:rsidRPr="009F2D15">
              <w:rPr>
                <w:rFonts w:cs="Arial"/>
                <w:sz w:val="16"/>
                <w:szCs w:val="16"/>
              </w:rPr>
              <w:t>Note—AO1</w:t>
            </w:r>
            <w:r>
              <w:rPr>
                <w:rFonts w:cs="Arial"/>
                <w:sz w:val="16"/>
                <w:szCs w:val="16"/>
              </w:rPr>
              <w:t xml:space="preserve">(a) is an </w:t>
            </w:r>
            <w:r w:rsidRPr="009F2D15">
              <w:rPr>
                <w:rFonts w:cs="Arial"/>
                <w:sz w:val="16"/>
                <w:szCs w:val="16"/>
              </w:rPr>
              <w:t xml:space="preserve">alternative provision to QDC </w:t>
            </w:r>
            <w:r>
              <w:rPr>
                <w:rFonts w:cs="Arial"/>
                <w:sz w:val="16"/>
                <w:szCs w:val="16"/>
              </w:rPr>
              <w:t xml:space="preserve">MP1.1 and </w:t>
            </w:r>
            <w:r w:rsidRPr="009F2D15">
              <w:rPr>
                <w:rFonts w:cs="Arial"/>
                <w:sz w:val="16"/>
                <w:szCs w:val="16"/>
              </w:rPr>
              <w:t>MP1.2, A1(a), (b) and (c)</w:t>
            </w:r>
            <w:r>
              <w:rPr>
                <w:rFonts w:cs="Arial"/>
                <w:sz w:val="16"/>
                <w:szCs w:val="16"/>
              </w:rPr>
              <w:t xml:space="preserve">, and A2(a), (b), (c), and (d) for development involving siting a dwelling house. </w:t>
            </w:r>
          </w:p>
          <w:p w14:paraId="5E4CD0AF" w14:textId="77777777" w:rsidR="00597699" w:rsidRPr="00BC463C" w:rsidRDefault="00597699" w:rsidP="00EA3542">
            <w:pPr>
              <w:tabs>
                <w:tab w:val="left" w:pos="-7618"/>
              </w:tabs>
              <w:jc w:val="both"/>
              <w:rPr>
                <w:rFonts w:cs="Arial"/>
                <w:sz w:val="16"/>
                <w:szCs w:val="16"/>
              </w:rPr>
            </w:pPr>
            <w:r>
              <w:rPr>
                <w:rFonts w:cs="Arial"/>
                <w:sz w:val="16"/>
                <w:szCs w:val="16"/>
              </w:rPr>
              <w:t xml:space="preserve"> </w:t>
            </w:r>
          </w:p>
        </w:tc>
        <w:tc>
          <w:tcPr>
            <w:tcW w:w="5439" w:type="dxa"/>
          </w:tcPr>
          <w:p w14:paraId="4466A08A" w14:textId="77F3F4FF" w:rsidR="00597699" w:rsidRDefault="00597699" w:rsidP="00EA3542">
            <w:pPr>
              <w:jc w:val="both"/>
              <w:rPr>
                <w:rFonts w:cs="Arial"/>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 xml:space="preserve">Provide a brief description how your proposal complies with the relevant Acceptable outcome (if applicable) or a detailed </w:t>
            </w:r>
            <w:r>
              <w:rPr>
                <w:noProof/>
                <w:szCs w:val="18"/>
              </w:rPr>
              <w:lastRenderedPageBreak/>
              <w:t>analysis how compliance is achieved with the Performance outcome.</w:t>
            </w:r>
            <w:r>
              <w:rPr>
                <w:szCs w:val="18"/>
              </w:rPr>
              <w:fldChar w:fldCharType="end"/>
            </w:r>
          </w:p>
        </w:tc>
      </w:tr>
      <w:tr w:rsidR="00597699" w:rsidRPr="00FD1AF3" w14:paraId="5AB5E40E" w14:textId="302994DE" w:rsidTr="00597699">
        <w:tc>
          <w:tcPr>
            <w:tcW w:w="8505" w:type="dxa"/>
            <w:gridSpan w:val="2"/>
            <w:shd w:val="clear" w:color="auto" w:fill="D9D9D9"/>
          </w:tcPr>
          <w:p w14:paraId="36223E1E" w14:textId="77777777" w:rsidR="00597699" w:rsidRPr="00BC463C" w:rsidRDefault="00597699" w:rsidP="00EA3542">
            <w:pPr>
              <w:keepNext/>
              <w:tabs>
                <w:tab w:val="left" w:pos="1701"/>
              </w:tabs>
              <w:rPr>
                <w:rFonts w:cs="Arial"/>
                <w:b/>
                <w:i/>
                <w:sz w:val="18"/>
                <w:szCs w:val="18"/>
              </w:rPr>
            </w:pPr>
            <w:r w:rsidRPr="00BC463C">
              <w:rPr>
                <w:rFonts w:cs="Arial"/>
                <w:b/>
                <w:i/>
                <w:sz w:val="18"/>
                <w:szCs w:val="18"/>
              </w:rPr>
              <w:lastRenderedPageBreak/>
              <w:t>Building setbacks in the Rural zone and Rural residential zone</w:t>
            </w:r>
            <w:r w:rsidRPr="00BC463C">
              <w:rPr>
                <w:b/>
                <w:i/>
                <w:sz w:val="18"/>
                <w:szCs w:val="18"/>
              </w:rPr>
              <w:t xml:space="preserve"> (where there is no development footprint plan that nominates alternative setbacks for the site)</w:t>
            </w:r>
          </w:p>
        </w:tc>
        <w:tc>
          <w:tcPr>
            <w:tcW w:w="5439" w:type="dxa"/>
            <w:shd w:val="clear" w:color="auto" w:fill="D9D9D9"/>
          </w:tcPr>
          <w:p w14:paraId="4640CE1B" w14:textId="77777777" w:rsidR="00597699" w:rsidRPr="00BC463C" w:rsidRDefault="00597699" w:rsidP="00EA3542">
            <w:pPr>
              <w:keepNext/>
              <w:tabs>
                <w:tab w:val="left" w:pos="1701"/>
              </w:tabs>
              <w:rPr>
                <w:rFonts w:cs="Arial"/>
                <w:b/>
                <w:i/>
                <w:sz w:val="18"/>
                <w:szCs w:val="18"/>
              </w:rPr>
            </w:pPr>
          </w:p>
        </w:tc>
      </w:tr>
      <w:tr w:rsidR="00597699" w:rsidRPr="00FD1AF3" w14:paraId="43B47498" w14:textId="3F2FCA42" w:rsidTr="00597699">
        <w:tc>
          <w:tcPr>
            <w:tcW w:w="4167" w:type="dxa"/>
            <w:shd w:val="clear" w:color="auto" w:fill="auto"/>
          </w:tcPr>
          <w:p w14:paraId="0EFAE127" w14:textId="77777777" w:rsidR="00597699" w:rsidRDefault="00597699" w:rsidP="00EA3542">
            <w:pPr>
              <w:keepNext/>
              <w:rPr>
                <w:b/>
                <w:sz w:val="18"/>
                <w:szCs w:val="18"/>
              </w:rPr>
            </w:pPr>
            <w:r>
              <w:rPr>
                <w:b/>
                <w:sz w:val="18"/>
                <w:szCs w:val="18"/>
              </w:rPr>
              <w:t>PO2</w:t>
            </w:r>
          </w:p>
          <w:p w14:paraId="499C5681" w14:textId="77777777" w:rsidR="00597699" w:rsidRDefault="00597699" w:rsidP="00EA3542">
            <w:pPr>
              <w:rPr>
                <w:sz w:val="18"/>
                <w:szCs w:val="18"/>
              </w:rPr>
            </w:pPr>
            <w:r>
              <w:rPr>
                <w:sz w:val="18"/>
                <w:szCs w:val="18"/>
              </w:rPr>
              <w:t xml:space="preserve">Where located in </w:t>
            </w:r>
            <w:r w:rsidRPr="00591ECB">
              <w:rPr>
                <w:sz w:val="18"/>
                <w:szCs w:val="18"/>
              </w:rPr>
              <w:t>the Rural zone or Rural residential zone,</w:t>
            </w:r>
            <w:r>
              <w:rPr>
                <w:sz w:val="18"/>
                <w:szCs w:val="18"/>
              </w:rPr>
              <w:t xml:space="preserve"> a dwelling house</w:t>
            </w:r>
            <w:r w:rsidRPr="00591ECB">
              <w:rPr>
                <w:sz w:val="18"/>
                <w:szCs w:val="18"/>
              </w:rPr>
              <w:t xml:space="preserve"> is set well back from any road frontage so as to:-</w:t>
            </w:r>
          </w:p>
          <w:p w14:paraId="0DAF7BB1" w14:textId="77777777" w:rsidR="00597699" w:rsidRDefault="00597699" w:rsidP="00597699">
            <w:pPr>
              <w:numPr>
                <w:ilvl w:val="0"/>
                <w:numId w:val="50"/>
              </w:numPr>
              <w:tabs>
                <w:tab w:val="left" w:pos="-7618"/>
              </w:tabs>
              <w:rPr>
                <w:sz w:val="18"/>
                <w:szCs w:val="18"/>
              </w:rPr>
            </w:pPr>
            <w:r>
              <w:rPr>
                <w:sz w:val="18"/>
                <w:szCs w:val="18"/>
              </w:rPr>
              <w:t>maintain an open or mostly open rural landscape;</w:t>
            </w:r>
          </w:p>
          <w:p w14:paraId="2028ED33" w14:textId="77777777" w:rsidR="00597699" w:rsidRDefault="00597699" w:rsidP="00597699">
            <w:pPr>
              <w:numPr>
                <w:ilvl w:val="0"/>
                <w:numId w:val="50"/>
              </w:numPr>
              <w:tabs>
                <w:tab w:val="left" w:pos="-7618"/>
              </w:tabs>
              <w:rPr>
                <w:sz w:val="18"/>
                <w:szCs w:val="18"/>
              </w:rPr>
            </w:pPr>
            <w:r>
              <w:rPr>
                <w:sz w:val="18"/>
                <w:szCs w:val="18"/>
              </w:rPr>
              <w:t>protect the visual amenity of scenic rural roads;</w:t>
            </w:r>
          </w:p>
          <w:p w14:paraId="5D208455" w14:textId="77777777" w:rsidR="00597699" w:rsidRPr="00F70E40" w:rsidRDefault="00597699" w:rsidP="00597699">
            <w:pPr>
              <w:numPr>
                <w:ilvl w:val="0"/>
                <w:numId w:val="50"/>
              </w:numPr>
              <w:tabs>
                <w:tab w:val="left" w:pos="-7618"/>
              </w:tabs>
              <w:rPr>
                <w:sz w:val="18"/>
                <w:szCs w:val="18"/>
              </w:rPr>
            </w:pPr>
            <w:r>
              <w:rPr>
                <w:sz w:val="18"/>
                <w:szCs w:val="18"/>
              </w:rPr>
              <w:t>avoid or minimise noise or other nuisance from sealed and unsealed roads; and</w:t>
            </w:r>
          </w:p>
          <w:p w14:paraId="4381A3AB" w14:textId="77777777" w:rsidR="00597699" w:rsidRDefault="00597699" w:rsidP="00597699">
            <w:pPr>
              <w:numPr>
                <w:ilvl w:val="0"/>
                <w:numId w:val="50"/>
              </w:numPr>
              <w:tabs>
                <w:tab w:val="left" w:pos="-7618"/>
              </w:tabs>
              <w:rPr>
                <w:sz w:val="18"/>
                <w:szCs w:val="18"/>
              </w:rPr>
            </w:pPr>
            <w:r>
              <w:rPr>
                <w:sz w:val="18"/>
                <w:szCs w:val="18"/>
              </w:rPr>
              <w:t>protect the functional characteristics of the State and local road networks.</w:t>
            </w:r>
          </w:p>
          <w:p w14:paraId="5F70BB73" w14:textId="77777777" w:rsidR="00597699" w:rsidRDefault="00597699" w:rsidP="00EA3542">
            <w:pPr>
              <w:tabs>
                <w:tab w:val="left" w:pos="-7618"/>
              </w:tabs>
              <w:rPr>
                <w:rFonts w:cs="Arial"/>
                <w:sz w:val="16"/>
                <w:szCs w:val="16"/>
              </w:rPr>
            </w:pPr>
          </w:p>
          <w:p w14:paraId="02D40CF0" w14:textId="77777777" w:rsidR="00597699" w:rsidRPr="00323AFE" w:rsidRDefault="00597699" w:rsidP="00EA3542">
            <w:pPr>
              <w:tabs>
                <w:tab w:val="left" w:pos="-7618"/>
              </w:tabs>
              <w:rPr>
                <w:rFonts w:cs="Arial"/>
                <w:sz w:val="16"/>
                <w:szCs w:val="16"/>
              </w:rPr>
            </w:pPr>
            <w:r w:rsidRPr="009F2D15">
              <w:rPr>
                <w:rFonts w:cs="Arial"/>
                <w:sz w:val="16"/>
                <w:szCs w:val="16"/>
              </w:rPr>
              <w:t>Note—</w:t>
            </w:r>
            <w:r>
              <w:rPr>
                <w:rFonts w:cs="Arial"/>
                <w:sz w:val="16"/>
                <w:szCs w:val="16"/>
              </w:rPr>
              <w:t>P</w:t>
            </w:r>
            <w:r w:rsidRPr="009F2D15">
              <w:rPr>
                <w:rFonts w:cs="Arial"/>
                <w:sz w:val="16"/>
                <w:szCs w:val="16"/>
              </w:rPr>
              <w:t>O</w:t>
            </w:r>
            <w:r>
              <w:rPr>
                <w:rFonts w:cs="Arial"/>
                <w:sz w:val="16"/>
                <w:szCs w:val="16"/>
              </w:rPr>
              <w:t>2 is an alternative provision</w:t>
            </w:r>
            <w:r w:rsidRPr="009F2D15">
              <w:rPr>
                <w:rFonts w:cs="Arial"/>
                <w:sz w:val="16"/>
                <w:szCs w:val="16"/>
              </w:rPr>
              <w:t xml:space="preserve"> to QDC</w:t>
            </w:r>
            <w:r>
              <w:rPr>
                <w:rFonts w:cs="Arial"/>
                <w:sz w:val="16"/>
                <w:szCs w:val="16"/>
              </w:rPr>
              <w:t xml:space="preserve"> MP1.2, P1, for development involving siting a dwelling house in a Rural zone or Rural residential zone only</w:t>
            </w:r>
            <w:r w:rsidRPr="009F2D15">
              <w:rPr>
                <w:rFonts w:cs="Arial"/>
                <w:sz w:val="16"/>
                <w:szCs w:val="16"/>
              </w:rPr>
              <w:t>.</w:t>
            </w:r>
          </w:p>
        </w:tc>
        <w:tc>
          <w:tcPr>
            <w:tcW w:w="4338" w:type="dxa"/>
            <w:shd w:val="clear" w:color="auto" w:fill="auto"/>
          </w:tcPr>
          <w:p w14:paraId="1C0104B8" w14:textId="77777777" w:rsidR="00597699" w:rsidRDefault="00597699" w:rsidP="00EA3542">
            <w:pPr>
              <w:rPr>
                <w:rFonts w:cs="Arial"/>
                <w:b/>
                <w:sz w:val="18"/>
                <w:szCs w:val="18"/>
              </w:rPr>
            </w:pPr>
            <w:r>
              <w:rPr>
                <w:rFonts w:cs="Arial"/>
                <w:b/>
                <w:sz w:val="18"/>
                <w:szCs w:val="18"/>
              </w:rPr>
              <w:t>AO2.1</w:t>
            </w:r>
          </w:p>
          <w:p w14:paraId="6E1EBCCB" w14:textId="77777777" w:rsidR="00597699" w:rsidRDefault="00597699" w:rsidP="00EA3542">
            <w:pPr>
              <w:tabs>
                <w:tab w:val="left" w:pos="1701"/>
              </w:tabs>
              <w:rPr>
                <w:rFonts w:cs="Arial"/>
                <w:sz w:val="18"/>
                <w:szCs w:val="18"/>
              </w:rPr>
            </w:pPr>
            <w:r>
              <w:rPr>
                <w:rFonts w:cs="Arial"/>
                <w:sz w:val="18"/>
                <w:szCs w:val="18"/>
              </w:rPr>
              <w:t>Where located in the Rural zone on a lot exceeding 2ha in area, the dwelling house is setback at least:-</w:t>
            </w:r>
          </w:p>
          <w:p w14:paraId="2C3DA033" w14:textId="77777777" w:rsidR="00597699" w:rsidRDefault="00597699" w:rsidP="00597699">
            <w:pPr>
              <w:numPr>
                <w:ilvl w:val="0"/>
                <w:numId w:val="41"/>
              </w:numPr>
              <w:tabs>
                <w:tab w:val="left" w:pos="-7618"/>
              </w:tabs>
              <w:rPr>
                <w:rFonts w:cs="Arial"/>
                <w:sz w:val="18"/>
                <w:szCs w:val="18"/>
              </w:rPr>
            </w:pPr>
            <w:r>
              <w:rPr>
                <w:rFonts w:cs="Arial"/>
                <w:sz w:val="18"/>
                <w:szCs w:val="18"/>
              </w:rPr>
              <w:t>40m from a State-controlled road; or</w:t>
            </w:r>
          </w:p>
          <w:p w14:paraId="53378018" w14:textId="77777777" w:rsidR="00597699" w:rsidRDefault="00597699" w:rsidP="00597699">
            <w:pPr>
              <w:numPr>
                <w:ilvl w:val="0"/>
                <w:numId w:val="41"/>
              </w:numPr>
              <w:tabs>
                <w:tab w:val="left" w:pos="-7618"/>
              </w:tabs>
              <w:rPr>
                <w:rFonts w:cs="Arial"/>
                <w:sz w:val="18"/>
                <w:szCs w:val="18"/>
              </w:rPr>
            </w:pPr>
            <w:r>
              <w:rPr>
                <w:rFonts w:cs="Arial"/>
                <w:sz w:val="18"/>
                <w:szCs w:val="18"/>
              </w:rPr>
              <w:t>20m from any other road; or</w:t>
            </w:r>
          </w:p>
          <w:p w14:paraId="133A0212" w14:textId="77777777" w:rsidR="00597699" w:rsidRPr="00B311E5" w:rsidRDefault="00597699" w:rsidP="00597699">
            <w:pPr>
              <w:numPr>
                <w:ilvl w:val="0"/>
                <w:numId w:val="41"/>
              </w:numPr>
              <w:tabs>
                <w:tab w:val="left" w:pos="-7618"/>
              </w:tabs>
              <w:rPr>
                <w:rFonts w:cs="Arial"/>
                <w:sz w:val="18"/>
                <w:szCs w:val="18"/>
              </w:rPr>
            </w:pPr>
            <w:r w:rsidRPr="00B311E5">
              <w:rPr>
                <w:rFonts w:cs="Arial"/>
                <w:sz w:val="18"/>
                <w:szCs w:val="18"/>
              </w:rPr>
              <w:t>where there is an existing dwelling house on the site, the same distance as the existing dwelling house.</w:t>
            </w:r>
          </w:p>
          <w:p w14:paraId="336E2EDA" w14:textId="77777777" w:rsidR="00597699" w:rsidRDefault="00597699" w:rsidP="00EA3542">
            <w:pPr>
              <w:tabs>
                <w:tab w:val="left" w:pos="-7618"/>
              </w:tabs>
              <w:ind w:left="360"/>
              <w:rPr>
                <w:rFonts w:cs="Arial"/>
                <w:sz w:val="18"/>
                <w:szCs w:val="18"/>
              </w:rPr>
            </w:pPr>
          </w:p>
          <w:p w14:paraId="25083185" w14:textId="77777777" w:rsidR="00597699" w:rsidRPr="00B3705C" w:rsidRDefault="00597699" w:rsidP="00EA3542">
            <w:pPr>
              <w:tabs>
                <w:tab w:val="left" w:pos="-7618"/>
              </w:tabs>
              <w:rPr>
                <w:rFonts w:cs="Arial"/>
                <w:b/>
                <w:sz w:val="18"/>
                <w:szCs w:val="18"/>
              </w:rPr>
            </w:pPr>
            <w:r w:rsidRPr="00B3705C">
              <w:rPr>
                <w:rFonts w:cs="Arial"/>
                <w:b/>
                <w:sz w:val="18"/>
                <w:szCs w:val="18"/>
              </w:rPr>
              <w:t>AO</w:t>
            </w:r>
            <w:r>
              <w:rPr>
                <w:rFonts w:cs="Arial"/>
                <w:b/>
                <w:sz w:val="18"/>
                <w:szCs w:val="18"/>
              </w:rPr>
              <w:t>2</w:t>
            </w:r>
            <w:r w:rsidRPr="00B3705C">
              <w:rPr>
                <w:rFonts w:cs="Arial"/>
                <w:b/>
                <w:sz w:val="18"/>
                <w:szCs w:val="18"/>
              </w:rPr>
              <w:t>.2</w:t>
            </w:r>
          </w:p>
          <w:p w14:paraId="46608A5E" w14:textId="77777777" w:rsidR="00597699" w:rsidRDefault="00597699" w:rsidP="00EA3542">
            <w:pPr>
              <w:tabs>
                <w:tab w:val="left" w:pos="1701"/>
              </w:tabs>
              <w:rPr>
                <w:rFonts w:cs="Arial"/>
                <w:sz w:val="18"/>
                <w:szCs w:val="18"/>
              </w:rPr>
            </w:pPr>
            <w:r>
              <w:rPr>
                <w:rFonts w:cs="Arial"/>
                <w:sz w:val="18"/>
                <w:szCs w:val="18"/>
              </w:rPr>
              <w:t>Where located in the Rural residential zone, or on a lot not exceeding 2ha in area in the Rural zone, the dwelling house is setback at least:-</w:t>
            </w:r>
          </w:p>
          <w:p w14:paraId="00A903D5" w14:textId="77777777" w:rsidR="00597699" w:rsidRDefault="00597699" w:rsidP="00597699">
            <w:pPr>
              <w:numPr>
                <w:ilvl w:val="0"/>
                <w:numId w:val="45"/>
              </w:numPr>
              <w:tabs>
                <w:tab w:val="left" w:pos="-7618"/>
              </w:tabs>
              <w:rPr>
                <w:rFonts w:cs="Arial"/>
                <w:sz w:val="18"/>
                <w:szCs w:val="18"/>
              </w:rPr>
            </w:pPr>
            <w:r>
              <w:rPr>
                <w:rFonts w:cs="Arial"/>
                <w:sz w:val="18"/>
                <w:szCs w:val="18"/>
              </w:rPr>
              <w:t>10m from any road; or</w:t>
            </w:r>
          </w:p>
          <w:p w14:paraId="6F04A106" w14:textId="77777777" w:rsidR="00597699" w:rsidRPr="00B311E5" w:rsidRDefault="00597699" w:rsidP="00597699">
            <w:pPr>
              <w:numPr>
                <w:ilvl w:val="0"/>
                <w:numId w:val="45"/>
              </w:numPr>
              <w:tabs>
                <w:tab w:val="left" w:pos="-7618"/>
              </w:tabs>
              <w:rPr>
                <w:rFonts w:cs="Arial"/>
                <w:sz w:val="18"/>
                <w:szCs w:val="18"/>
              </w:rPr>
            </w:pPr>
            <w:r w:rsidRPr="00B311E5">
              <w:rPr>
                <w:rFonts w:cs="Arial"/>
                <w:sz w:val="18"/>
                <w:szCs w:val="18"/>
              </w:rPr>
              <w:t>where there is an existing dwelling house on the site, the same distance as the existing dwelling house.</w:t>
            </w:r>
          </w:p>
          <w:p w14:paraId="1FA24830" w14:textId="77777777" w:rsidR="00597699" w:rsidRDefault="00597699" w:rsidP="00EA3542">
            <w:pPr>
              <w:tabs>
                <w:tab w:val="left" w:pos="-7618"/>
              </w:tabs>
              <w:ind w:left="360"/>
              <w:rPr>
                <w:rFonts w:cs="Arial"/>
                <w:sz w:val="18"/>
                <w:szCs w:val="18"/>
              </w:rPr>
            </w:pPr>
          </w:p>
          <w:p w14:paraId="2FB812C2" w14:textId="77777777" w:rsidR="00597699" w:rsidRPr="009F2D15" w:rsidRDefault="00597699" w:rsidP="00EA3542">
            <w:pPr>
              <w:tabs>
                <w:tab w:val="left" w:pos="-7618"/>
              </w:tabs>
              <w:rPr>
                <w:rFonts w:cs="Arial"/>
                <w:sz w:val="16"/>
                <w:szCs w:val="16"/>
              </w:rPr>
            </w:pPr>
            <w:r w:rsidRPr="009F2D15">
              <w:rPr>
                <w:rFonts w:cs="Arial"/>
                <w:sz w:val="16"/>
                <w:szCs w:val="16"/>
              </w:rPr>
              <w:t>Note—AO</w:t>
            </w:r>
            <w:r>
              <w:rPr>
                <w:rFonts w:cs="Arial"/>
                <w:sz w:val="16"/>
                <w:szCs w:val="16"/>
              </w:rPr>
              <w:t>2</w:t>
            </w:r>
            <w:r w:rsidRPr="009F2D15">
              <w:rPr>
                <w:rFonts w:cs="Arial"/>
                <w:sz w:val="16"/>
                <w:szCs w:val="16"/>
              </w:rPr>
              <w:t>.1 and AO</w:t>
            </w:r>
            <w:r>
              <w:rPr>
                <w:rFonts w:cs="Arial"/>
                <w:sz w:val="16"/>
                <w:szCs w:val="16"/>
              </w:rPr>
              <w:t>2</w:t>
            </w:r>
            <w:r w:rsidRPr="009F2D15">
              <w:rPr>
                <w:rFonts w:cs="Arial"/>
                <w:sz w:val="16"/>
                <w:szCs w:val="16"/>
              </w:rPr>
              <w:t>.2</w:t>
            </w:r>
            <w:r>
              <w:rPr>
                <w:rFonts w:cs="Arial"/>
                <w:sz w:val="16"/>
                <w:szCs w:val="16"/>
              </w:rPr>
              <w:t xml:space="preserve"> are</w:t>
            </w:r>
            <w:r w:rsidRPr="009F2D15">
              <w:rPr>
                <w:rFonts w:cs="Arial"/>
                <w:sz w:val="16"/>
                <w:szCs w:val="16"/>
              </w:rPr>
              <w:t xml:space="preserve"> alternative provisions to QDC MP1.2, A1(a), (b) and (c)</w:t>
            </w:r>
            <w:r>
              <w:rPr>
                <w:rFonts w:cs="Arial"/>
                <w:sz w:val="16"/>
                <w:szCs w:val="16"/>
              </w:rPr>
              <w:t xml:space="preserve">, for development involving siting a dwelling house in a Rural zone or Rural residential zone only. </w:t>
            </w:r>
          </w:p>
        </w:tc>
        <w:tc>
          <w:tcPr>
            <w:tcW w:w="5439" w:type="dxa"/>
          </w:tcPr>
          <w:p w14:paraId="276F27C3" w14:textId="564583F2" w:rsidR="00597699" w:rsidRDefault="00597699" w:rsidP="00EA3542">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5447C4C1" w14:textId="6E5518E3" w:rsidTr="00597699">
        <w:tc>
          <w:tcPr>
            <w:tcW w:w="4167" w:type="dxa"/>
            <w:shd w:val="clear" w:color="auto" w:fill="auto"/>
          </w:tcPr>
          <w:p w14:paraId="7CE9B612" w14:textId="77777777" w:rsidR="00597699" w:rsidRDefault="00597699" w:rsidP="00EA3542">
            <w:pPr>
              <w:rPr>
                <w:b/>
                <w:sz w:val="18"/>
                <w:szCs w:val="18"/>
              </w:rPr>
            </w:pPr>
            <w:r>
              <w:rPr>
                <w:b/>
                <w:sz w:val="18"/>
                <w:szCs w:val="18"/>
              </w:rPr>
              <w:t>PO3</w:t>
            </w:r>
          </w:p>
          <w:p w14:paraId="2CFABBFD" w14:textId="77777777" w:rsidR="00597699" w:rsidRPr="00DB7971" w:rsidRDefault="00597699" w:rsidP="00EA3542">
            <w:pPr>
              <w:rPr>
                <w:sz w:val="18"/>
                <w:szCs w:val="18"/>
              </w:rPr>
            </w:pPr>
            <w:r>
              <w:rPr>
                <w:sz w:val="18"/>
                <w:szCs w:val="18"/>
              </w:rPr>
              <w:t>Where located in the Rural zone or Rural residential zone, a dwelling house is well back from side and rear boundaries so as to:-</w:t>
            </w:r>
          </w:p>
          <w:p w14:paraId="2A0A9EAC" w14:textId="77777777" w:rsidR="00597699" w:rsidRDefault="00597699" w:rsidP="00597699">
            <w:pPr>
              <w:numPr>
                <w:ilvl w:val="0"/>
                <w:numId w:val="43"/>
              </w:numPr>
              <w:tabs>
                <w:tab w:val="left" w:pos="-7618"/>
              </w:tabs>
              <w:rPr>
                <w:sz w:val="18"/>
                <w:szCs w:val="18"/>
              </w:rPr>
            </w:pPr>
            <w:r w:rsidRPr="00A3736F">
              <w:rPr>
                <w:rFonts w:cs="Arial"/>
                <w:sz w:val="18"/>
                <w:szCs w:val="18"/>
              </w:rPr>
              <w:lastRenderedPageBreak/>
              <w:t>preserve</w:t>
            </w:r>
            <w:r>
              <w:rPr>
                <w:sz w:val="18"/>
                <w:szCs w:val="18"/>
              </w:rPr>
              <w:t xml:space="preserve"> the low intensity character and amenity of the area; and</w:t>
            </w:r>
          </w:p>
          <w:p w14:paraId="7475E414" w14:textId="77777777" w:rsidR="00597699" w:rsidRPr="00DB7971" w:rsidRDefault="00597699" w:rsidP="00597699">
            <w:pPr>
              <w:numPr>
                <w:ilvl w:val="0"/>
                <w:numId w:val="43"/>
              </w:numPr>
              <w:tabs>
                <w:tab w:val="left" w:pos="-7618"/>
              </w:tabs>
              <w:rPr>
                <w:sz w:val="18"/>
                <w:szCs w:val="18"/>
              </w:rPr>
            </w:pPr>
            <w:r>
              <w:rPr>
                <w:sz w:val="18"/>
                <w:szCs w:val="18"/>
              </w:rPr>
              <w:t xml:space="preserve">maintain a high level of privacy between neighbouring premises. </w:t>
            </w:r>
          </w:p>
          <w:p w14:paraId="69BBCAED" w14:textId="77777777" w:rsidR="00597699" w:rsidRDefault="00597699" w:rsidP="00EA3542">
            <w:pPr>
              <w:rPr>
                <w:sz w:val="18"/>
                <w:szCs w:val="18"/>
              </w:rPr>
            </w:pPr>
          </w:p>
          <w:p w14:paraId="6464C315" w14:textId="77777777" w:rsidR="00597699" w:rsidRPr="00A3736F" w:rsidRDefault="00597699" w:rsidP="00EA3542">
            <w:pPr>
              <w:rPr>
                <w:sz w:val="18"/>
                <w:szCs w:val="18"/>
              </w:rPr>
            </w:pPr>
            <w:r w:rsidRPr="009F2D15">
              <w:rPr>
                <w:rFonts w:cs="Arial"/>
                <w:sz w:val="16"/>
                <w:szCs w:val="16"/>
              </w:rPr>
              <w:t>Note—</w:t>
            </w:r>
            <w:r>
              <w:rPr>
                <w:rFonts w:cs="Arial"/>
                <w:sz w:val="16"/>
                <w:szCs w:val="16"/>
              </w:rPr>
              <w:t>PO3 is an alternative provision</w:t>
            </w:r>
            <w:r w:rsidRPr="009F2D15">
              <w:rPr>
                <w:rFonts w:cs="Arial"/>
                <w:sz w:val="16"/>
                <w:szCs w:val="16"/>
              </w:rPr>
              <w:t xml:space="preserve"> to QDC</w:t>
            </w:r>
            <w:r>
              <w:rPr>
                <w:rFonts w:cs="Arial"/>
                <w:sz w:val="16"/>
                <w:szCs w:val="16"/>
              </w:rPr>
              <w:t xml:space="preserve"> MP1.2, P2, for development involving siting a dwelling house in a Rural zone or Rural residential zone only.</w:t>
            </w:r>
          </w:p>
        </w:tc>
        <w:tc>
          <w:tcPr>
            <w:tcW w:w="4338" w:type="dxa"/>
            <w:shd w:val="clear" w:color="auto" w:fill="auto"/>
          </w:tcPr>
          <w:p w14:paraId="089CE66E" w14:textId="77777777" w:rsidR="00597699" w:rsidRDefault="00597699" w:rsidP="00EA3542">
            <w:pPr>
              <w:rPr>
                <w:rFonts w:cs="Arial"/>
                <w:b/>
                <w:sz w:val="18"/>
                <w:szCs w:val="18"/>
              </w:rPr>
            </w:pPr>
            <w:r>
              <w:rPr>
                <w:rFonts w:cs="Arial"/>
                <w:b/>
                <w:sz w:val="18"/>
                <w:szCs w:val="18"/>
              </w:rPr>
              <w:lastRenderedPageBreak/>
              <w:t>AO3</w:t>
            </w:r>
          </w:p>
          <w:p w14:paraId="0640CFB9" w14:textId="77777777" w:rsidR="00597699" w:rsidRDefault="00597699" w:rsidP="00EA3542">
            <w:pPr>
              <w:tabs>
                <w:tab w:val="left" w:pos="1701"/>
              </w:tabs>
              <w:rPr>
                <w:rFonts w:cs="Arial"/>
                <w:sz w:val="18"/>
                <w:szCs w:val="18"/>
              </w:rPr>
            </w:pPr>
            <w:r>
              <w:rPr>
                <w:rFonts w:cs="Arial"/>
                <w:sz w:val="18"/>
                <w:szCs w:val="18"/>
              </w:rPr>
              <w:t>Where located in the Rural zone or Rural residential zone, the dwelling house is setback from any side or rear boundary in accordance with the following:-</w:t>
            </w:r>
          </w:p>
          <w:p w14:paraId="7F6DA3CD" w14:textId="77777777" w:rsidR="00597699" w:rsidRDefault="00597699" w:rsidP="00597699">
            <w:pPr>
              <w:numPr>
                <w:ilvl w:val="0"/>
                <w:numId w:val="44"/>
              </w:numPr>
              <w:tabs>
                <w:tab w:val="left" w:pos="-7618"/>
              </w:tabs>
              <w:rPr>
                <w:rFonts w:cs="Arial"/>
                <w:sz w:val="18"/>
                <w:szCs w:val="18"/>
              </w:rPr>
            </w:pPr>
            <w:r>
              <w:rPr>
                <w:rFonts w:cs="Arial"/>
                <w:sz w:val="18"/>
                <w:szCs w:val="18"/>
              </w:rPr>
              <w:lastRenderedPageBreak/>
              <w:t>a minimum of 10m where the lot is more than 2ha in area; or</w:t>
            </w:r>
          </w:p>
          <w:p w14:paraId="2C31E722" w14:textId="77777777" w:rsidR="00597699" w:rsidRPr="00B311E5" w:rsidRDefault="00597699" w:rsidP="00597699">
            <w:pPr>
              <w:numPr>
                <w:ilvl w:val="0"/>
                <w:numId w:val="44"/>
              </w:numPr>
              <w:tabs>
                <w:tab w:val="left" w:pos="-7618"/>
              </w:tabs>
              <w:rPr>
                <w:rFonts w:cs="Arial"/>
                <w:sz w:val="18"/>
                <w:szCs w:val="18"/>
              </w:rPr>
            </w:pPr>
            <w:r w:rsidRPr="00B311E5">
              <w:rPr>
                <w:rFonts w:cs="Arial"/>
                <w:sz w:val="18"/>
                <w:szCs w:val="18"/>
              </w:rPr>
              <w:t xml:space="preserve">a minimum of 3m where the lot is not more than 2ha in area. </w:t>
            </w:r>
          </w:p>
          <w:p w14:paraId="117CE057" w14:textId="77777777" w:rsidR="00597699" w:rsidRDefault="00597699" w:rsidP="00EA3542">
            <w:pPr>
              <w:tabs>
                <w:tab w:val="left" w:pos="-7618"/>
              </w:tabs>
              <w:ind w:left="360"/>
              <w:rPr>
                <w:rFonts w:cs="Arial"/>
                <w:sz w:val="18"/>
                <w:szCs w:val="18"/>
              </w:rPr>
            </w:pPr>
          </w:p>
          <w:p w14:paraId="7EB72D0A" w14:textId="77777777" w:rsidR="00597699" w:rsidRPr="009F2D15" w:rsidRDefault="00597699" w:rsidP="00EA3542">
            <w:pPr>
              <w:tabs>
                <w:tab w:val="left" w:pos="-7618"/>
              </w:tabs>
              <w:rPr>
                <w:rFonts w:cs="Arial"/>
                <w:sz w:val="16"/>
                <w:szCs w:val="16"/>
              </w:rPr>
            </w:pPr>
            <w:r w:rsidRPr="009F2D15">
              <w:rPr>
                <w:rFonts w:cs="Arial"/>
                <w:sz w:val="16"/>
                <w:szCs w:val="16"/>
              </w:rPr>
              <w:t>Note—AO</w:t>
            </w:r>
            <w:r>
              <w:rPr>
                <w:rFonts w:cs="Arial"/>
                <w:sz w:val="16"/>
                <w:szCs w:val="16"/>
              </w:rPr>
              <w:t>3</w:t>
            </w:r>
            <w:r w:rsidRPr="009F2D15">
              <w:rPr>
                <w:rFonts w:cs="Arial"/>
                <w:sz w:val="16"/>
                <w:szCs w:val="16"/>
              </w:rPr>
              <w:t xml:space="preserve"> </w:t>
            </w:r>
            <w:r>
              <w:rPr>
                <w:rFonts w:cs="Arial"/>
                <w:sz w:val="16"/>
                <w:szCs w:val="16"/>
              </w:rPr>
              <w:t xml:space="preserve">is an </w:t>
            </w:r>
            <w:r w:rsidRPr="009F2D15">
              <w:rPr>
                <w:rFonts w:cs="Arial"/>
                <w:sz w:val="16"/>
                <w:szCs w:val="16"/>
              </w:rPr>
              <w:t>alternative provision to QDC</w:t>
            </w:r>
            <w:r>
              <w:rPr>
                <w:rFonts w:cs="Arial"/>
                <w:sz w:val="16"/>
                <w:szCs w:val="16"/>
              </w:rPr>
              <w:t xml:space="preserve"> MP1.2, A2, for development involving siting a dwelling house in a Rural zone or Rural residential zone only.</w:t>
            </w:r>
          </w:p>
        </w:tc>
        <w:tc>
          <w:tcPr>
            <w:tcW w:w="5439" w:type="dxa"/>
          </w:tcPr>
          <w:p w14:paraId="51A8AD62" w14:textId="43E3BE58" w:rsidR="00597699" w:rsidRDefault="00597699" w:rsidP="00EA3542">
            <w:pPr>
              <w:rPr>
                <w:rFonts w:cs="Arial"/>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1149D013" w14:textId="4F105840" w:rsidTr="00597699">
        <w:tc>
          <w:tcPr>
            <w:tcW w:w="8505" w:type="dxa"/>
            <w:gridSpan w:val="2"/>
            <w:shd w:val="clear" w:color="auto" w:fill="D9D9D9"/>
          </w:tcPr>
          <w:p w14:paraId="6053FE26" w14:textId="77777777" w:rsidR="00597699" w:rsidRPr="00567F65" w:rsidRDefault="00597699" w:rsidP="00EA3542">
            <w:pPr>
              <w:tabs>
                <w:tab w:val="left" w:pos="1701"/>
              </w:tabs>
              <w:rPr>
                <w:rFonts w:cs="Arial"/>
                <w:b/>
                <w:i/>
                <w:sz w:val="18"/>
                <w:szCs w:val="18"/>
              </w:rPr>
            </w:pPr>
            <w:r>
              <w:rPr>
                <w:rFonts w:cs="Arial"/>
                <w:b/>
                <w:i/>
                <w:sz w:val="18"/>
                <w:szCs w:val="18"/>
              </w:rPr>
              <w:lastRenderedPageBreak/>
              <w:t>Building height</w:t>
            </w:r>
          </w:p>
        </w:tc>
        <w:tc>
          <w:tcPr>
            <w:tcW w:w="5439" w:type="dxa"/>
            <w:shd w:val="clear" w:color="auto" w:fill="D9D9D9"/>
          </w:tcPr>
          <w:p w14:paraId="41166C50" w14:textId="77777777" w:rsidR="00597699" w:rsidRDefault="00597699" w:rsidP="00EA3542">
            <w:pPr>
              <w:tabs>
                <w:tab w:val="left" w:pos="1701"/>
              </w:tabs>
              <w:rPr>
                <w:rFonts w:cs="Arial"/>
                <w:b/>
                <w:i/>
                <w:sz w:val="18"/>
                <w:szCs w:val="18"/>
              </w:rPr>
            </w:pPr>
          </w:p>
        </w:tc>
      </w:tr>
      <w:tr w:rsidR="00597699" w:rsidRPr="00FD1AF3" w14:paraId="4557EC40" w14:textId="14460378" w:rsidTr="00597699">
        <w:tc>
          <w:tcPr>
            <w:tcW w:w="4167" w:type="dxa"/>
            <w:shd w:val="clear" w:color="auto" w:fill="auto"/>
          </w:tcPr>
          <w:p w14:paraId="57C01B54" w14:textId="77777777" w:rsidR="00597699" w:rsidRDefault="00597699" w:rsidP="00EA3542">
            <w:pPr>
              <w:rPr>
                <w:b/>
                <w:sz w:val="18"/>
                <w:szCs w:val="18"/>
              </w:rPr>
            </w:pPr>
            <w:r>
              <w:rPr>
                <w:b/>
                <w:sz w:val="18"/>
                <w:szCs w:val="18"/>
              </w:rPr>
              <w:t>PO4</w:t>
            </w:r>
          </w:p>
          <w:p w14:paraId="7FE548B8" w14:textId="77777777" w:rsidR="00597699" w:rsidRDefault="00597699" w:rsidP="00EA3542">
            <w:pPr>
              <w:rPr>
                <w:sz w:val="18"/>
                <w:szCs w:val="18"/>
              </w:rPr>
            </w:pPr>
            <w:r>
              <w:rPr>
                <w:sz w:val="18"/>
                <w:szCs w:val="18"/>
              </w:rPr>
              <w:t>As per QDC MP 1.1, P4 and QDC MP 1.2, P4.</w:t>
            </w:r>
          </w:p>
          <w:p w14:paraId="1A23A791" w14:textId="77777777" w:rsidR="00597699" w:rsidRDefault="00597699" w:rsidP="00EA3542">
            <w:pPr>
              <w:rPr>
                <w:sz w:val="18"/>
                <w:szCs w:val="18"/>
              </w:rPr>
            </w:pPr>
          </w:p>
          <w:p w14:paraId="64E02EBB" w14:textId="77777777" w:rsidR="00597699" w:rsidRPr="0021349F" w:rsidRDefault="00597699" w:rsidP="00EA3542">
            <w:pPr>
              <w:rPr>
                <w:sz w:val="16"/>
                <w:szCs w:val="16"/>
              </w:rPr>
            </w:pPr>
            <w:r>
              <w:rPr>
                <w:sz w:val="16"/>
                <w:szCs w:val="16"/>
              </w:rPr>
              <w:t>Editor’s n</w:t>
            </w:r>
            <w:r w:rsidRPr="0021349F">
              <w:rPr>
                <w:sz w:val="16"/>
                <w:szCs w:val="16"/>
              </w:rPr>
              <w:t>ote—as specified in the Flood hazard overlay code, an alternative provision applies to building height for premises subject to the Flood hazard overlay.</w:t>
            </w:r>
          </w:p>
        </w:tc>
        <w:tc>
          <w:tcPr>
            <w:tcW w:w="4338" w:type="dxa"/>
            <w:shd w:val="clear" w:color="auto" w:fill="auto"/>
          </w:tcPr>
          <w:p w14:paraId="076D9999" w14:textId="77777777" w:rsidR="00597699" w:rsidRDefault="00597699" w:rsidP="00EA3542">
            <w:pPr>
              <w:rPr>
                <w:rFonts w:cs="Arial"/>
                <w:b/>
                <w:sz w:val="18"/>
                <w:szCs w:val="18"/>
              </w:rPr>
            </w:pPr>
            <w:r>
              <w:rPr>
                <w:rFonts w:cs="Arial"/>
                <w:b/>
                <w:sz w:val="18"/>
                <w:szCs w:val="18"/>
              </w:rPr>
              <w:t>AO4</w:t>
            </w:r>
          </w:p>
          <w:p w14:paraId="12AA3802" w14:textId="77777777" w:rsidR="00597699" w:rsidRDefault="00597699" w:rsidP="00597699">
            <w:pPr>
              <w:pStyle w:val="ListParagraph"/>
              <w:numPr>
                <w:ilvl w:val="4"/>
                <w:numId w:val="34"/>
              </w:numPr>
              <w:tabs>
                <w:tab w:val="clear" w:pos="1800"/>
                <w:tab w:val="num" w:pos="336"/>
              </w:tabs>
              <w:ind w:left="336" w:hanging="336"/>
              <w:rPr>
                <w:rFonts w:cs="Arial"/>
                <w:sz w:val="18"/>
                <w:szCs w:val="18"/>
              </w:rPr>
            </w:pPr>
            <w:r w:rsidRPr="00991655">
              <w:rPr>
                <w:rFonts w:cs="Arial"/>
                <w:sz w:val="18"/>
                <w:szCs w:val="18"/>
              </w:rPr>
              <w:t>Where the site has an approved development footprint plan and the plan nominates an envelope for the height of buildings or structures on a site, the dwelling house is located within the approved building envelope.</w:t>
            </w:r>
          </w:p>
          <w:p w14:paraId="27336BC3" w14:textId="77777777" w:rsidR="00597699" w:rsidRDefault="00597699" w:rsidP="00EA3542">
            <w:pPr>
              <w:rPr>
                <w:rFonts w:cs="Arial"/>
                <w:sz w:val="18"/>
                <w:szCs w:val="18"/>
              </w:rPr>
            </w:pPr>
          </w:p>
          <w:p w14:paraId="7AB9D2CE" w14:textId="77777777" w:rsidR="00597699" w:rsidRPr="00991655" w:rsidRDefault="00597699" w:rsidP="00EA3542">
            <w:pPr>
              <w:rPr>
                <w:rFonts w:cs="Arial"/>
                <w:b/>
                <w:sz w:val="18"/>
                <w:szCs w:val="18"/>
              </w:rPr>
            </w:pPr>
            <w:r w:rsidRPr="00991655">
              <w:rPr>
                <w:rFonts w:cs="Arial"/>
                <w:b/>
                <w:sz w:val="18"/>
                <w:szCs w:val="18"/>
              </w:rPr>
              <w:t>OR</w:t>
            </w:r>
          </w:p>
          <w:p w14:paraId="45D9272A" w14:textId="77777777" w:rsidR="00597699" w:rsidRPr="00991655" w:rsidRDefault="00597699" w:rsidP="00EA3542">
            <w:pPr>
              <w:rPr>
                <w:rFonts w:cs="Arial"/>
                <w:sz w:val="18"/>
                <w:szCs w:val="18"/>
              </w:rPr>
            </w:pPr>
          </w:p>
          <w:p w14:paraId="36C059B0" w14:textId="77777777" w:rsidR="00597699" w:rsidRPr="006B22FC" w:rsidRDefault="00597699" w:rsidP="00597699">
            <w:pPr>
              <w:pStyle w:val="ListParagraph"/>
              <w:numPr>
                <w:ilvl w:val="4"/>
                <w:numId w:val="34"/>
              </w:numPr>
              <w:tabs>
                <w:tab w:val="clear" w:pos="1800"/>
                <w:tab w:val="num" w:pos="336"/>
              </w:tabs>
              <w:ind w:left="336" w:hanging="336"/>
              <w:rPr>
                <w:rFonts w:cs="Arial"/>
                <w:sz w:val="18"/>
                <w:szCs w:val="18"/>
              </w:rPr>
            </w:pPr>
            <w:r w:rsidRPr="006B22FC">
              <w:rPr>
                <w:rFonts w:cs="Arial"/>
                <w:sz w:val="18"/>
                <w:szCs w:val="18"/>
              </w:rPr>
              <w:t>Where t</w:t>
            </w:r>
            <w:bookmarkStart w:id="2" w:name="_GoBack"/>
            <w:bookmarkEnd w:id="2"/>
            <w:r w:rsidRPr="006B22FC">
              <w:rPr>
                <w:rFonts w:cs="Arial"/>
                <w:sz w:val="18"/>
                <w:szCs w:val="18"/>
              </w:rPr>
              <w:t>here is no approved development footprint plan for the site that nominates alternative outcomes for building height, the dwelling house is</w:t>
            </w:r>
            <w:r>
              <w:rPr>
                <w:rFonts w:cs="Arial"/>
                <w:sz w:val="18"/>
                <w:szCs w:val="18"/>
              </w:rPr>
              <w:t xml:space="preserve"> </w:t>
            </w:r>
            <w:r w:rsidRPr="006B22FC">
              <w:rPr>
                <w:rFonts w:cs="Arial"/>
                <w:sz w:val="18"/>
                <w:szCs w:val="18"/>
              </w:rPr>
              <w:t>as per QDC MP 1.1, A4 and QDC MP 1.2, A4.</w:t>
            </w:r>
          </w:p>
          <w:p w14:paraId="0C3D9034" w14:textId="77777777" w:rsidR="00597699" w:rsidRDefault="00597699" w:rsidP="00EA3542">
            <w:pPr>
              <w:tabs>
                <w:tab w:val="left" w:pos="1701"/>
              </w:tabs>
              <w:rPr>
                <w:rFonts w:cs="Arial"/>
                <w:sz w:val="18"/>
                <w:szCs w:val="18"/>
              </w:rPr>
            </w:pPr>
          </w:p>
          <w:p w14:paraId="30D1D782" w14:textId="77777777" w:rsidR="00597699" w:rsidRDefault="00597699" w:rsidP="00EA3542">
            <w:pPr>
              <w:tabs>
                <w:tab w:val="left" w:pos="1701"/>
              </w:tabs>
              <w:rPr>
                <w:sz w:val="16"/>
                <w:szCs w:val="16"/>
              </w:rPr>
            </w:pPr>
            <w:r>
              <w:rPr>
                <w:sz w:val="16"/>
                <w:szCs w:val="16"/>
              </w:rPr>
              <w:t>Editor’s n</w:t>
            </w:r>
            <w:r w:rsidRPr="0021349F">
              <w:rPr>
                <w:sz w:val="16"/>
                <w:szCs w:val="16"/>
              </w:rPr>
              <w:t>ote—as specified in the Flood hazard overlay code, an alternative provision applies to building height for premises subject to the Flood hazard overlay.</w:t>
            </w:r>
          </w:p>
          <w:p w14:paraId="7D456E0A" w14:textId="77777777" w:rsidR="00597699" w:rsidRDefault="00597699" w:rsidP="00EA3542">
            <w:pPr>
              <w:tabs>
                <w:tab w:val="left" w:pos="1701"/>
              </w:tabs>
              <w:rPr>
                <w:sz w:val="16"/>
                <w:szCs w:val="16"/>
              </w:rPr>
            </w:pPr>
          </w:p>
          <w:p w14:paraId="6B9B7156" w14:textId="77777777" w:rsidR="00597699" w:rsidRDefault="00597699" w:rsidP="00EA3542">
            <w:pPr>
              <w:tabs>
                <w:tab w:val="left" w:pos="1701"/>
              </w:tabs>
              <w:rPr>
                <w:rFonts w:cs="Arial"/>
                <w:sz w:val="18"/>
                <w:szCs w:val="18"/>
              </w:rPr>
            </w:pPr>
            <w:r w:rsidRPr="009F2D15">
              <w:rPr>
                <w:rFonts w:cs="Arial"/>
                <w:sz w:val="16"/>
                <w:szCs w:val="16"/>
              </w:rPr>
              <w:t>Note—AO</w:t>
            </w:r>
            <w:r>
              <w:rPr>
                <w:rFonts w:cs="Arial"/>
                <w:sz w:val="16"/>
                <w:szCs w:val="16"/>
              </w:rPr>
              <w:t xml:space="preserve">4 is an </w:t>
            </w:r>
            <w:r w:rsidRPr="009F2D15">
              <w:rPr>
                <w:rFonts w:cs="Arial"/>
                <w:sz w:val="16"/>
                <w:szCs w:val="16"/>
              </w:rPr>
              <w:t>alternative provision</w:t>
            </w:r>
            <w:r w:rsidRPr="002C23EA">
              <w:rPr>
                <w:rFonts w:cs="Arial"/>
                <w:strike/>
                <w:sz w:val="16"/>
                <w:szCs w:val="16"/>
              </w:rPr>
              <w:t>s</w:t>
            </w:r>
            <w:r w:rsidRPr="009F2D15">
              <w:rPr>
                <w:rFonts w:cs="Arial"/>
                <w:sz w:val="16"/>
                <w:szCs w:val="16"/>
              </w:rPr>
              <w:t xml:space="preserve"> to QDC </w:t>
            </w:r>
            <w:r>
              <w:rPr>
                <w:rFonts w:cs="Arial"/>
                <w:sz w:val="16"/>
                <w:szCs w:val="16"/>
              </w:rPr>
              <w:t xml:space="preserve">MP1.1 and </w:t>
            </w:r>
            <w:r w:rsidRPr="009F2D15">
              <w:rPr>
                <w:rFonts w:cs="Arial"/>
                <w:sz w:val="16"/>
                <w:szCs w:val="16"/>
              </w:rPr>
              <w:t>MP1.2, A1(a), (b) and (c)</w:t>
            </w:r>
            <w:r>
              <w:rPr>
                <w:rFonts w:cs="Arial"/>
                <w:sz w:val="16"/>
                <w:szCs w:val="16"/>
              </w:rPr>
              <w:t>, and A2(a), (b), (c), and (d) for development involving siting a dwelling house.</w:t>
            </w:r>
          </w:p>
        </w:tc>
        <w:tc>
          <w:tcPr>
            <w:tcW w:w="5439" w:type="dxa"/>
          </w:tcPr>
          <w:p w14:paraId="5CFFD43B" w14:textId="130A113C" w:rsidR="00597699" w:rsidRDefault="00597699" w:rsidP="00EA3542">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340E3660" w14:textId="5D7DB9C4" w:rsidTr="00597699">
        <w:tc>
          <w:tcPr>
            <w:tcW w:w="8505" w:type="dxa"/>
            <w:gridSpan w:val="2"/>
            <w:shd w:val="clear" w:color="auto" w:fill="D9D9D9"/>
          </w:tcPr>
          <w:p w14:paraId="590F1E67" w14:textId="77777777" w:rsidR="00597699" w:rsidRPr="00567F65" w:rsidRDefault="00597699" w:rsidP="00EA3542">
            <w:pPr>
              <w:tabs>
                <w:tab w:val="left" w:pos="1701"/>
              </w:tabs>
              <w:rPr>
                <w:rFonts w:cs="Arial"/>
                <w:b/>
                <w:i/>
                <w:sz w:val="18"/>
                <w:szCs w:val="18"/>
              </w:rPr>
            </w:pPr>
            <w:r>
              <w:rPr>
                <w:rFonts w:cs="Arial"/>
                <w:b/>
                <w:i/>
                <w:sz w:val="18"/>
                <w:szCs w:val="18"/>
              </w:rPr>
              <w:t>Visual privacy</w:t>
            </w:r>
          </w:p>
        </w:tc>
        <w:tc>
          <w:tcPr>
            <w:tcW w:w="5439" w:type="dxa"/>
            <w:shd w:val="clear" w:color="auto" w:fill="D9D9D9"/>
          </w:tcPr>
          <w:p w14:paraId="3B4C8858" w14:textId="77777777" w:rsidR="00597699" w:rsidRDefault="00597699" w:rsidP="00EA3542">
            <w:pPr>
              <w:tabs>
                <w:tab w:val="left" w:pos="1701"/>
              </w:tabs>
              <w:rPr>
                <w:rFonts w:cs="Arial"/>
                <w:b/>
                <w:i/>
                <w:sz w:val="18"/>
                <w:szCs w:val="18"/>
              </w:rPr>
            </w:pPr>
          </w:p>
        </w:tc>
      </w:tr>
      <w:tr w:rsidR="00597699" w:rsidRPr="00FD1AF3" w14:paraId="38010138" w14:textId="02176047" w:rsidTr="00597699">
        <w:tc>
          <w:tcPr>
            <w:tcW w:w="4167" w:type="dxa"/>
            <w:shd w:val="clear" w:color="auto" w:fill="auto"/>
          </w:tcPr>
          <w:p w14:paraId="2048DC5D" w14:textId="77777777" w:rsidR="00597699" w:rsidRDefault="00597699" w:rsidP="00EA3542">
            <w:pPr>
              <w:rPr>
                <w:b/>
                <w:sz w:val="18"/>
                <w:szCs w:val="18"/>
              </w:rPr>
            </w:pPr>
            <w:r>
              <w:rPr>
                <w:b/>
                <w:sz w:val="18"/>
                <w:szCs w:val="18"/>
              </w:rPr>
              <w:t>PO5</w:t>
            </w:r>
          </w:p>
          <w:p w14:paraId="263AAD4F" w14:textId="77777777" w:rsidR="00597699" w:rsidRDefault="00597699" w:rsidP="00EA3542">
            <w:pPr>
              <w:rPr>
                <w:sz w:val="18"/>
                <w:szCs w:val="18"/>
              </w:rPr>
            </w:pPr>
            <w:r>
              <w:rPr>
                <w:sz w:val="18"/>
                <w:szCs w:val="18"/>
              </w:rPr>
              <w:t>As per QDC MP 1.1, P5 and QDC MP 1.2, P5.</w:t>
            </w:r>
          </w:p>
        </w:tc>
        <w:tc>
          <w:tcPr>
            <w:tcW w:w="4338" w:type="dxa"/>
            <w:shd w:val="clear" w:color="auto" w:fill="auto"/>
          </w:tcPr>
          <w:p w14:paraId="34177B27" w14:textId="77777777" w:rsidR="00597699" w:rsidRDefault="00597699" w:rsidP="00EA3542">
            <w:pPr>
              <w:rPr>
                <w:rFonts w:cs="Arial"/>
                <w:b/>
                <w:sz w:val="18"/>
                <w:szCs w:val="18"/>
              </w:rPr>
            </w:pPr>
            <w:r>
              <w:rPr>
                <w:rFonts w:cs="Arial"/>
                <w:b/>
                <w:sz w:val="18"/>
                <w:szCs w:val="18"/>
              </w:rPr>
              <w:t>AO5</w:t>
            </w:r>
          </w:p>
          <w:p w14:paraId="03DC5DA4" w14:textId="77777777" w:rsidR="00597699" w:rsidRDefault="00597699" w:rsidP="00EA3542">
            <w:pPr>
              <w:tabs>
                <w:tab w:val="left" w:pos="1701"/>
              </w:tabs>
              <w:rPr>
                <w:rFonts w:cs="Arial"/>
                <w:sz w:val="18"/>
                <w:szCs w:val="18"/>
              </w:rPr>
            </w:pPr>
            <w:r>
              <w:rPr>
                <w:rFonts w:cs="Arial"/>
                <w:sz w:val="18"/>
                <w:szCs w:val="18"/>
              </w:rPr>
              <w:t>As per QDC MP 1.1, A5 and QDC MP 1.2, A5.</w:t>
            </w:r>
          </w:p>
        </w:tc>
        <w:tc>
          <w:tcPr>
            <w:tcW w:w="5439" w:type="dxa"/>
          </w:tcPr>
          <w:p w14:paraId="55D54222" w14:textId="0443E76B" w:rsidR="00597699" w:rsidRDefault="00597699" w:rsidP="00EA3542">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0D809785" w14:textId="7156F0FC" w:rsidTr="00597699">
        <w:tc>
          <w:tcPr>
            <w:tcW w:w="8505" w:type="dxa"/>
            <w:gridSpan w:val="2"/>
            <w:shd w:val="clear" w:color="auto" w:fill="D9D9D9"/>
          </w:tcPr>
          <w:p w14:paraId="1998945E" w14:textId="77777777" w:rsidR="00597699" w:rsidRPr="00567F65" w:rsidRDefault="00597699" w:rsidP="00EA3542">
            <w:pPr>
              <w:tabs>
                <w:tab w:val="left" w:pos="1701"/>
              </w:tabs>
              <w:rPr>
                <w:rFonts w:cs="Arial"/>
                <w:b/>
                <w:i/>
                <w:sz w:val="18"/>
                <w:szCs w:val="18"/>
              </w:rPr>
            </w:pPr>
            <w:r>
              <w:rPr>
                <w:rFonts w:cs="Arial"/>
                <w:b/>
                <w:i/>
                <w:sz w:val="18"/>
                <w:szCs w:val="18"/>
              </w:rPr>
              <w:t>Structures on corner sites</w:t>
            </w:r>
          </w:p>
        </w:tc>
        <w:tc>
          <w:tcPr>
            <w:tcW w:w="5439" w:type="dxa"/>
            <w:shd w:val="clear" w:color="auto" w:fill="D9D9D9"/>
          </w:tcPr>
          <w:p w14:paraId="2F67F433" w14:textId="77777777" w:rsidR="00597699" w:rsidRDefault="00597699" w:rsidP="00EA3542">
            <w:pPr>
              <w:tabs>
                <w:tab w:val="left" w:pos="1701"/>
              </w:tabs>
              <w:rPr>
                <w:rFonts w:cs="Arial"/>
                <w:b/>
                <w:i/>
                <w:sz w:val="18"/>
                <w:szCs w:val="18"/>
              </w:rPr>
            </w:pPr>
          </w:p>
        </w:tc>
      </w:tr>
      <w:tr w:rsidR="00597699" w:rsidRPr="00FD1AF3" w14:paraId="7CDB11DA" w14:textId="42101DB9" w:rsidTr="00597699">
        <w:tc>
          <w:tcPr>
            <w:tcW w:w="4167" w:type="dxa"/>
            <w:shd w:val="clear" w:color="auto" w:fill="auto"/>
          </w:tcPr>
          <w:p w14:paraId="194173BA" w14:textId="77777777" w:rsidR="00597699" w:rsidRDefault="00597699" w:rsidP="00EA3542">
            <w:pPr>
              <w:rPr>
                <w:b/>
                <w:sz w:val="18"/>
                <w:szCs w:val="18"/>
              </w:rPr>
            </w:pPr>
            <w:r>
              <w:rPr>
                <w:b/>
                <w:sz w:val="18"/>
                <w:szCs w:val="18"/>
              </w:rPr>
              <w:t>PO6</w:t>
            </w:r>
          </w:p>
          <w:p w14:paraId="7F017910" w14:textId="77777777" w:rsidR="00597699" w:rsidRDefault="00597699" w:rsidP="00EA3542">
            <w:pPr>
              <w:rPr>
                <w:sz w:val="18"/>
                <w:szCs w:val="18"/>
              </w:rPr>
            </w:pPr>
            <w:r>
              <w:rPr>
                <w:sz w:val="18"/>
                <w:szCs w:val="18"/>
              </w:rPr>
              <w:t>As per QDC MP 1.1, P7 and QDC MP 1.2, P7.</w:t>
            </w:r>
          </w:p>
        </w:tc>
        <w:tc>
          <w:tcPr>
            <w:tcW w:w="4338" w:type="dxa"/>
            <w:shd w:val="clear" w:color="auto" w:fill="auto"/>
          </w:tcPr>
          <w:p w14:paraId="768E5A7D" w14:textId="77777777" w:rsidR="00597699" w:rsidRDefault="00597699" w:rsidP="00EA3542">
            <w:pPr>
              <w:rPr>
                <w:rFonts w:cs="Arial"/>
                <w:b/>
                <w:sz w:val="18"/>
                <w:szCs w:val="18"/>
              </w:rPr>
            </w:pPr>
            <w:r>
              <w:rPr>
                <w:rFonts w:cs="Arial"/>
                <w:b/>
                <w:sz w:val="18"/>
                <w:szCs w:val="18"/>
              </w:rPr>
              <w:t>AO6</w:t>
            </w:r>
          </w:p>
          <w:p w14:paraId="4E325B08" w14:textId="77777777" w:rsidR="00597699" w:rsidRDefault="00597699" w:rsidP="00EA3542">
            <w:pPr>
              <w:tabs>
                <w:tab w:val="left" w:pos="1701"/>
              </w:tabs>
              <w:rPr>
                <w:rFonts w:cs="Arial"/>
                <w:sz w:val="18"/>
                <w:szCs w:val="18"/>
              </w:rPr>
            </w:pPr>
            <w:r>
              <w:rPr>
                <w:rFonts w:cs="Arial"/>
                <w:sz w:val="18"/>
                <w:szCs w:val="18"/>
              </w:rPr>
              <w:t>As per QDC MP 1.1, A7 and QDC MP 1.2, A7.</w:t>
            </w:r>
          </w:p>
        </w:tc>
        <w:tc>
          <w:tcPr>
            <w:tcW w:w="5439" w:type="dxa"/>
          </w:tcPr>
          <w:p w14:paraId="7F5109D6" w14:textId="3C11A553" w:rsidR="00597699" w:rsidRDefault="00597699" w:rsidP="00EA3542">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338BBF6C" w14:textId="62F34975" w:rsidTr="00597699">
        <w:tc>
          <w:tcPr>
            <w:tcW w:w="8505" w:type="dxa"/>
            <w:gridSpan w:val="2"/>
            <w:shd w:val="clear" w:color="auto" w:fill="D9D9D9"/>
          </w:tcPr>
          <w:p w14:paraId="7B48D120" w14:textId="77777777" w:rsidR="00597699" w:rsidRPr="00567F65" w:rsidRDefault="00597699" w:rsidP="00597699">
            <w:pPr>
              <w:tabs>
                <w:tab w:val="left" w:pos="1701"/>
              </w:tabs>
              <w:rPr>
                <w:rFonts w:cs="Arial"/>
                <w:b/>
                <w:i/>
                <w:sz w:val="18"/>
                <w:szCs w:val="18"/>
              </w:rPr>
            </w:pPr>
            <w:r>
              <w:rPr>
                <w:rFonts w:cs="Arial"/>
                <w:b/>
                <w:i/>
                <w:sz w:val="18"/>
                <w:szCs w:val="18"/>
              </w:rPr>
              <w:t>Access and On-site car parking</w:t>
            </w:r>
          </w:p>
        </w:tc>
        <w:tc>
          <w:tcPr>
            <w:tcW w:w="5439" w:type="dxa"/>
            <w:shd w:val="clear" w:color="auto" w:fill="D9D9D9"/>
          </w:tcPr>
          <w:p w14:paraId="2A55EAF1" w14:textId="77777777" w:rsidR="00597699" w:rsidRDefault="00597699" w:rsidP="00597699">
            <w:pPr>
              <w:tabs>
                <w:tab w:val="left" w:pos="1701"/>
              </w:tabs>
              <w:rPr>
                <w:rFonts w:cs="Arial"/>
                <w:b/>
                <w:i/>
                <w:sz w:val="18"/>
                <w:szCs w:val="18"/>
              </w:rPr>
            </w:pPr>
          </w:p>
        </w:tc>
      </w:tr>
      <w:tr w:rsidR="00597699" w:rsidRPr="00FD1AF3" w14:paraId="4E8E3B76" w14:textId="3D22E66F" w:rsidTr="00597699">
        <w:tc>
          <w:tcPr>
            <w:tcW w:w="4167" w:type="dxa"/>
            <w:shd w:val="clear" w:color="auto" w:fill="auto"/>
          </w:tcPr>
          <w:p w14:paraId="133B6363" w14:textId="77777777" w:rsidR="00597699" w:rsidRDefault="00597699" w:rsidP="00597699">
            <w:pPr>
              <w:rPr>
                <w:b/>
                <w:sz w:val="18"/>
                <w:szCs w:val="18"/>
              </w:rPr>
            </w:pPr>
            <w:r>
              <w:rPr>
                <w:b/>
                <w:sz w:val="18"/>
                <w:szCs w:val="18"/>
              </w:rPr>
              <w:t>PO7</w:t>
            </w:r>
          </w:p>
          <w:p w14:paraId="68607593" w14:textId="77777777" w:rsidR="00597699" w:rsidRDefault="00597699" w:rsidP="00597699">
            <w:pPr>
              <w:rPr>
                <w:sz w:val="18"/>
                <w:szCs w:val="18"/>
              </w:rPr>
            </w:pPr>
            <w:r>
              <w:rPr>
                <w:sz w:val="18"/>
                <w:szCs w:val="18"/>
              </w:rPr>
              <w:t>As per QDC MP 1.1, P8 and QDC MP 1.2, P8.</w:t>
            </w:r>
          </w:p>
          <w:p w14:paraId="578B7379" w14:textId="77777777" w:rsidR="00597699" w:rsidRDefault="00597699" w:rsidP="00597699">
            <w:pPr>
              <w:rPr>
                <w:sz w:val="18"/>
                <w:szCs w:val="18"/>
              </w:rPr>
            </w:pPr>
          </w:p>
          <w:p w14:paraId="1BD9D874" w14:textId="77777777" w:rsidR="00597699" w:rsidRDefault="00597699" w:rsidP="00597699">
            <w:pPr>
              <w:rPr>
                <w:sz w:val="18"/>
                <w:szCs w:val="18"/>
              </w:rPr>
            </w:pPr>
            <w:r>
              <w:rPr>
                <w:sz w:val="16"/>
                <w:szCs w:val="16"/>
              </w:rPr>
              <w:t>Editor’s note—PO9(f) specifies</w:t>
            </w:r>
            <w:r w:rsidRPr="0021349F">
              <w:rPr>
                <w:sz w:val="16"/>
                <w:szCs w:val="16"/>
              </w:rPr>
              <w:t xml:space="preserve"> an alternative provision to </w:t>
            </w:r>
            <w:r>
              <w:rPr>
                <w:sz w:val="16"/>
                <w:szCs w:val="16"/>
              </w:rPr>
              <w:t>on-site car parking for development involving a secondary dwelling</w:t>
            </w:r>
            <w:r w:rsidRPr="0021349F">
              <w:rPr>
                <w:sz w:val="16"/>
                <w:szCs w:val="16"/>
              </w:rPr>
              <w:t>.</w:t>
            </w:r>
          </w:p>
        </w:tc>
        <w:tc>
          <w:tcPr>
            <w:tcW w:w="4338" w:type="dxa"/>
            <w:shd w:val="clear" w:color="auto" w:fill="auto"/>
          </w:tcPr>
          <w:p w14:paraId="0F519869" w14:textId="77777777" w:rsidR="00597699" w:rsidRDefault="00597699" w:rsidP="00597699">
            <w:pPr>
              <w:rPr>
                <w:rFonts w:cs="Arial"/>
                <w:b/>
                <w:sz w:val="18"/>
                <w:szCs w:val="18"/>
              </w:rPr>
            </w:pPr>
            <w:r>
              <w:rPr>
                <w:rFonts w:cs="Arial"/>
                <w:b/>
                <w:sz w:val="18"/>
                <w:szCs w:val="18"/>
              </w:rPr>
              <w:t>AO7</w:t>
            </w:r>
          </w:p>
          <w:p w14:paraId="4850A572" w14:textId="77777777" w:rsidR="00597699" w:rsidRDefault="00597699" w:rsidP="00597699">
            <w:pPr>
              <w:tabs>
                <w:tab w:val="left" w:pos="1701"/>
              </w:tabs>
              <w:rPr>
                <w:rFonts w:cs="Arial"/>
                <w:sz w:val="18"/>
                <w:szCs w:val="18"/>
              </w:rPr>
            </w:pPr>
            <w:r>
              <w:rPr>
                <w:rFonts w:cs="Arial"/>
                <w:sz w:val="18"/>
                <w:szCs w:val="18"/>
              </w:rPr>
              <w:t>As per QDC MP 1.1, A8 and QDC MP 1.2, A8, except minimum dimensions of:-</w:t>
            </w:r>
          </w:p>
          <w:p w14:paraId="58E7F42F" w14:textId="77777777" w:rsidR="00597699" w:rsidRDefault="00597699" w:rsidP="00597699">
            <w:pPr>
              <w:numPr>
                <w:ilvl w:val="0"/>
                <w:numId w:val="46"/>
              </w:numPr>
              <w:tabs>
                <w:tab w:val="left" w:pos="-7618"/>
              </w:tabs>
              <w:rPr>
                <w:rFonts w:cs="Arial"/>
                <w:sz w:val="18"/>
                <w:szCs w:val="18"/>
              </w:rPr>
            </w:pPr>
            <w:r>
              <w:rPr>
                <w:rFonts w:cs="Arial"/>
                <w:sz w:val="18"/>
                <w:szCs w:val="18"/>
              </w:rPr>
              <w:t>for a single garage, 5.7m by 3m wide internally; and</w:t>
            </w:r>
          </w:p>
          <w:p w14:paraId="558F8CE2" w14:textId="77777777" w:rsidR="00597699" w:rsidRDefault="00597699" w:rsidP="00597699">
            <w:pPr>
              <w:numPr>
                <w:ilvl w:val="0"/>
                <w:numId w:val="46"/>
              </w:numPr>
              <w:tabs>
                <w:tab w:val="left" w:pos="-7618"/>
              </w:tabs>
              <w:rPr>
                <w:rFonts w:cs="Arial"/>
                <w:sz w:val="18"/>
                <w:szCs w:val="18"/>
              </w:rPr>
            </w:pPr>
            <w:r>
              <w:rPr>
                <w:rFonts w:cs="Arial"/>
                <w:sz w:val="18"/>
                <w:szCs w:val="18"/>
              </w:rPr>
              <w:t xml:space="preserve">for a double garage, 5.7m by 5.7m wide internally. </w:t>
            </w:r>
          </w:p>
          <w:p w14:paraId="7F1CA3D2" w14:textId="77777777" w:rsidR="00597699" w:rsidRDefault="00597699" w:rsidP="00597699">
            <w:pPr>
              <w:tabs>
                <w:tab w:val="left" w:pos="1701"/>
              </w:tabs>
              <w:rPr>
                <w:rFonts w:cs="Arial"/>
                <w:sz w:val="18"/>
                <w:szCs w:val="18"/>
              </w:rPr>
            </w:pPr>
          </w:p>
          <w:p w14:paraId="08C5BACF" w14:textId="77777777" w:rsidR="00597699" w:rsidRPr="003C19DF" w:rsidRDefault="00597699" w:rsidP="00597699">
            <w:pPr>
              <w:tabs>
                <w:tab w:val="left" w:pos="1701"/>
              </w:tabs>
              <w:rPr>
                <w:rFonts w:cs="Arial"/>
                <w:sz w:val="16"/>
                <w:szCs w:val="16"/>
              </w:rPr>
            </w:pPr>
            <w:r w:rsidRPr="003C19DF">
              <w:rPr>
                <w:sz w:val="16"/>
                <w:szCs w:val="16"/>
              </w:rPr>
              <w:lastRenderedPageBreak/>
              <w:t>Note—AO</w:t>
            </w:r>
            <w:r>
              <w:rPr>
                <w:sz w:val="16"/>
                <w:szCs w:val="16"/>
              </w:rPr>
              <w:t>7</w:t>
            </w:r>
            <w:r w:rsidRPr="003C19DF">
              <w:rPr>
                <w:sz w:val="16"/>
                <w:szCs w:val="16"/>
              </w:rPr>
              <w:t>(a) and (b) are</w:t>
            </w:r>
            <w:r w:rsidRPr="003C19DF">
              <w:rPr>
                <w:rFonts w:cs="Arial"/>
                <w:sz w:val="16"/>
                <w:szCs w:val="16"/>
              </w:rPr>
              <w:t xml:space="preserve"> alternative provisions to QDC MP1.1, A8(A)(i)(D) and (E), and QDC MP1.2, A8(a)(iv) and (v).</w:t>
            </w:r>
          </w:p>
          <w:p w14:paraId="249C5312" w14:textId="77777777" w:rsidR="00597699" w:rsidRPr="003C19DF" w:rsidRDefault="00597699" w:rsidP="00597699">
            <w:pPr>
              <w:tabs>
                <w:tab w:val="left" w:pos="1701"/>
              </w:tabs>
              <w:rPr>
                <w:rFonts w:cs="Arial"/>
                <w:sz w:val="16"/>
                <w:szCs w:val="16"/>
              </w:rPr>
            </w:pPr>
          </w:p>
          <w:p w14:paraId="1C2B920A" w14:textId="77777777" w:rsidR="00597699" w:rsidRDefault="00597699" w:rsidP="00597699">
            <w:pPr>
              <w:tabs>
                <w:tab w:val="left" w:pos="1701"/>
              </w:tabs>
              <w:rPr>
                <w:rFonts w:cs="Arial"/>
                <w:sz w:val="18"/>
                <w:szCs w:val="18"/>
              </w:rPr>
            </w:pPr>
            <w:r w:rsidRPr="003C19DF">
              <w:rPr>
                <w:sz w:val="16"/>
                <w:szCs w:val="16"/>
              </w:rPr>
              <w:t>Editor’s note—AO</w:t>
            </w:r>
            <w:r>
              <w:rPr>
                <w:sz w:val="16"/>
                <w:szCs w:val="16"/>
              </w:rPr>
              <w:t>9.6</w:t>
            </w:r>
            <w:r w:rsidRPr="003C19DF">
              <w:rPr>
                <w:sz w:val="16"/>
                <w:szCs w:val="16"/>
              </w:rPr>
              <w:t xml:space="preserve"> specifies an alternative provision to on-site car parking for development involving a secondary dwelling.</w:t>
            </w:r>
          </w:p>
        </w:tc>
        <w:tc>
          <w:tcPr>
            <w:tcW w:w="5439" w:type="dxa"/>
          </w:tcPr>
          <w:p w14:paraId="7EEF03B7" w14:textId="0C003680" w:rsidR="00597699" w:rsidRDefault="00597699" w:rsidP="00597699">
            <w:pPr>
              <w:rPr>
                <w:rFonts w:cs="Arial"/>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30771A44" w14:textId="326E8A0E" w:rsidTr="00597699">
        <w:tc>
          <w:tcPr>
            <w:tcW w:w="8505" w:type="dxa"/>
            <w:gridSpan w:val="2"/>
            <w:shd w:val="clear" w:color="auto" w:fill="D9D9D9"/>
          </w:tcPr>
          <w:p w14:paraId="418BEFB0" w14:textId="77777777" w:rsidR="00597699" w:rsidRPr="00567F65" w:rsidRDefault="00597699" w:rsidP="00597699">
            <w:pPr>
              <w:keepNext/>
              <w:tabs>
                <w:tab w:val="left" w:pos="1701"/>
              </w:tabs>
              <w:rPr>
                <w:rFonts w:cs="Arial"/>
                <w:b/>
                <w:i/>
                <w:sz w:val="18"/>
                <w:szCs w:val="18"/>
              </w:rPr>
            </w:pPr>
            <w:r>
              <w:rPr>
                <w:rFonts w:cs="Arial"/>
                <w:b/>
                <w:i/>
                <w:sz w:val="18"/>
                <w:szCs w:val="18"/>
              </w:rPr>
              <w:lastRenderedPageBreak/>
              <w:t>Outdoor living space (only applicable to lots less than 450m</w:t>
            </w:r>
            <w:r w:rsidRPr="008B0481">
              <w:rPr>
                <w:rFonts w:cs="Arial"/>
                <w:b/>
                <w:i/>
                <w:sz w:val="18"/>
                <w:szCs w:val="18"/>
                <w:vertAlign w:val="superscript"/>
              </w:rPr>
              <w:t>2</w:t>
            </w:r>
            <w:r>
              <w:rPr>
                <w:rFonts w:cs="Arial"/>
                <w:b/>
                <w:i/>
                <w:sz w:val="18"/>
                <w:szCs w:val="18"/>
              </w:rPr>
              <w:t>)</w:t>
            </w:r>
          </w:p>
        </w:tc>
        <w:tc>
          <w:tcPr>
            <w:tcW w:w="5439" w:type="dxa"/>
            <w:shd w:val="clear" w:color="auto" w:fill="D9D9D9"/>
          </w:tcPr>
          <w:p w14:paraId="55B2F741" w14:textId="77777777" w:rsidR="00597699" w:rsidRDefault="00597699" w:rsidP="00EA3542">
            <w:pPr>
              <w:tabs>
                <w:tab w:val="left" w:pos="1701"/>
              </w:tabs>
              <w:rPr>
                <w:rFonts w:cs="Arial"/>
                <w:b/>
                <w:i/>
                <w:sz w:val="18"/>
                <w:szCs w:val="18"/>
              </w:rPr>
            </w:pPr>
          </w:p>
        </w:tc>
      </w:tr>
      <w:tr w:rsidR="00597699" w:rsidRPr="00FD1AF3" w14:paraId="471DF878" w14:textId="4DC44CFB" w:rsidTr="00597699">
        <w:tc>
          <w:tcPr>
            <w:tcW w:w="4167" w:type="dxa"/>
            <w:shd w:val="clear" w:color="auto" w:fill="auto"/>
          </w:tcPr>
          <w:p w14:paraId="643768AF" w14:textId="77777777" w:rsidR="00597699" w:rsidRDefault="00597699" w:rsidP="00EA3542">
            <w:pPr>
              <w:rPr>
                <w:b/>
                <w:sz w:val="18"/>
                <w:szCs w:val="18"/>
              </w:rPr>
            </w:pPr>
            <w:r>
              <w:rPr>
                <w:b/>
                <w:sz w:val="18"/>
                <w:szCs w:val="18"/>
              </w:rPr>
              <w:t>PO8</w:t>
            </w:r>
          </w:p>
          <w:p w14:paraId="3CB7F471" w14:textId="77777777" w:rsidR="00597699" w:rsidRDefault="00597699" w:rsidP="00EA3542">
            <w:pPr>
              <w:rPr>
                <w:sz w:val="18"/>
                <w:szCs w:val="18"/>
              </w:rPr>
            </w:pPr>
            <w:r>
              <w:rPr>
                <w:sz w:val="18"/>
                <w:szCs w:val="18"/>
              </w:rPr>
              <w:t>As per QDC MP 1.1, P9.</w:t>
            </w:r>
          </w:p>
        </w:tc>
        <w:tc>
          <w:tcPr>
            <w:tcW w:w="4338" w:type="dxa"/>
            <w:shd w:val="clear" w:color="auto" w:fill="auto"/>
          </w:tcPr>
          <w:p w14:paraId="782957FB" w14:textId="77777777" w:rsidR="00597699" w:rsidRDefault="00597699" w:rsidP="00EA3542">
            <w:pPr>
              <w:rPr>
                <w:rFonts w:cs="Arial"/>
                <w:b/>
                <w:sz w:val="18"/>
                <w:szCs w:val="18"/>
              </w:rPr>
            </w:pPr>
            <w:r>
              <w:rPr>
                <w:rFonts w:cs="Arial"/>
                <w:b/>
                <w:sz w:val="18"/>
                <w:szCs w:val="18"/>
              </w:rPr>
              <w:t>AO8</w:t>
            </w:r>
          </w:p>
          <w:p w14:paraId="65213C94" w14:textId="77777777" w:rsidR="00597699" w:rsidRDefault="00597699" w:rsidP="00EA3542">
            <w:pPr>
              <w:tabs>
                <w:tab w:val="left" w:pos="1701"/>
              </w:tabs>
              <w:rPr>
                <w:rFonts w:cs="Arial"/>
                <w:sz w:val="18"/>
                <w:szCs w:val="18"/>
              </w:rPr>
            </w:pPr>
            <w:r>
              <w:rPr>
                <w:rFonts w:cs="Arial"/>
                <w:sz w:val="18"/>
                <w:szCs w:val="18"/>
              </w:rPr>
              <w:t>As per QDC MP 1.1, A9.</w:t>
            </w:r>
          </w:p>
        </w:tc>
        <w:tc>
          <w:tcPr>
            <w:tcW w:w="5439" w:type="dxa"/>
          </w:tcPr>
          <w:p w14:paraId="7ECA2740" w14:textId="7F377BB4" w:rsidR="00597699" w:rsidRDefault="00597699" w:rsidP="00EA3542">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0871A2C8" w14:textId="2C50BBEF" w:rsidTr="00597699">
        <w:tc>
          <w:tcPr>
            <w:tcW w:w="8505" w:type="dxa"/>
            <w:gridSpan w:val="2"/>
            <w:shd w:val="clear" w:color="auto" w:fill="D9D9D9"/>
          </w:tcPr>
          <w:p w14:paraId="63D1F35A" w14:textId="77777777" w:rsidR="00597699" w:rsidRPr="00BF12D2" w:rsidRDefault="00597699" w:rsidP="00EA3542">
            <w:pPr>
              <w:rPr>
                <w:rFonts w:cs="Arial"/>
                <w:b/>
                <w:i/>
                <w:sz w:val="18"/>
                <w:szCs w:val="18"/>
              </w:rPr>
            </w:pPr>
            <w:r>
              <w:rPr>
                <w:rFonts w:cs="Arial"/>
                <w:b/>
                <w:i/>
                <w:sz w:val="18"/>
                <w:szCs w:val="18"/>
              </w:rPr>
              <w:t>Secondary dwellings</w:t>
            </w:r>
          </w:p>
        </w:tc>
        <w:tc>
          <w:tcPr>
            <w:tcW w:w="5439" w:type="dxa"/>
            <w:shd w:val="clear" w:color="auto" w:fill="D9D9D9"/>
          </w:tcPr>
          <w:p w14:paraId="30469911" w14:textId="77777777" w:rsidR="00597699" w:rsidRDefault="00597699" w:rsidP="00EA3542">
            <w:pPr>
              <w:rPr>
                <w:rFonts w:cs="Arial"/>
                <w:b/>
                <w:i/>
                <w:sz w:val="18"/>
                <w:szCs w:val="18"/>
              </w:rPr>
            </w:pPr>
          </w:p>
        </w:tc>
      </w:tr>
      <w:tr w:rsidR="00597699" w:rsidRPr="00FD1AF3" w14:paraId="120DD72A" w14:textId="1F6AE177" w:rsidTr="00597699">
        <w:tc>
          <w:tcPr>
            <w:tcW w:w="4167" w:type="dxa"/>
            <w:shd w:val="clear" w:color="auto" w:fill="auto"/>
          </w:tcPr>
          <w:p w14:paraId="0A7E9964" w14:textId="77777777" w:rsidR="00597699" w:rsidRPr="00BF12D2" w:rsidRDefault="00597699" w:rsidP="00EA3542">
            <w:pPr>
              <w:rPr>
                <w:rFonts w:cs="Arial"/>
                <w:b/>
                <w:bCs/>
                <w:sz w:val="18"/>
                <w:szCs w:val="18"/>
              </w:rPr>
            </w:pPr>
            <w:r>
              <w:rPr>
                <w:rFonts w:cs="Arial"/>
                <w:b/>
                <w:bCs/>
                <w:sz w:val="18"/>
                <w:szCs w:val="18"/>
              </w:rPr>
              <w:t>PO9</w:t>
            </w:r>
          </w:p>
          <w:p w14:paraId="35CF56CA" w14:textId="77777777" w:rsidR="00597699" w:rsidRDefault="00597699" w:rsidP="00EA3542">
            <w:pPr>
              <w:rPr>
                <w:rFonts w:eastAsia="Calibri" w:cs="Arial"/>
                <w:color w:val="000000"/>
                <w:sz w:val="18"/>
                <w:szCs w:val="18"/>
              </w:rPr>
            </w:pPr>
            <w:r>
              <w:rPr>
                <w:rFonts w:cs="Arial"/>
                <w:sz w:val="18"/>
                <w:szCs w:val="18"/>
              </w:rPr>
              <w:t xml:space="preserve">Any </w:t>
            </w:r>
            <w:r>
              <w:rPr>
                <w:rFonts w:eastAsia="Calibri" w:cs="Arial"/>
                <w:color w:val="000000"/>
                <w:sz w:val="18"/>
                <w:szCs w:val="18"/>
              </w:rPr>
              <w:t>secondary dwelling:-</w:t>
            </w:r>
          </w:p>
          <w:p w14:paraId="6E414578" w14:textId="77777777" w:rsidR="00597699" w:rsidRPr="001F661D" w:rsidRDefault="00597699" w:rsidP="00597699">
            <w:pPr>
              <w:numPr>
                <w:ilvl w:val="0"/>
                <w:numId w:val="40"/>
              </w:numPr>
              <w:rPr>
                <w:rFonts w:cs="Arial"/>
                <w:sz w:val="18"/>
                <w:szCs w:val="18"/>
              </w:rPr>
            </w:pPr>
            <w:r>
              <w:rPr>
                <w:rFonts w:eastAsia="Calibri" w:cs="Arial"/>
                <w:color w:val="000000"/>
                <w:sz w:val="18"/>
                <w:szCs w:val="18"/>
              </w:rPr>
              <w:t>is used for a domestic residential purpose;</w:t>
            </w:r>
          </w:p>
          <w:p w14:paraId="5912EE60" w14:textId="77777777" w:rsidR="00597699" w:rsidRPr="001F661D" w:rsidRDefault="00597699" w:rsidP="00597699">
            <w:pPr>
              <w:numPr>
                <w:ilvl w:val="0"/>
                <w:numId w:val="40"/>
              </w:numPr>
              <w:rPr>
                <w:rFonts w:cs="Arial"/>
                <w:sz w:val="18"/>
                <w:szCs w:val="18"/>
              </w:rPr>
            </w:pPr>
            <w:r>
              <w:rPr>
                <w:rFonts w:eastAsia="Calibri" w:cs="Arial"/>
                <w:color w:val="000000"/>
                <w:sz w:val="18"/>
                <w:szCs w:val="18"/>
              </w:rPr>
              <w:t xml:space="preserve">is smaller in size and scale than the dwelling house; </w:t>
            </w:r>
          </w:p>
          <w:p w14:paraId="464FB45D" w14:textId="77777777" w:rsidR="00597699" w:rsidRPr="007001A3" w:rsidRDefault="00597699" w:rsidP="00597699">
            <w:pPr>
              <w:numPr>
                <w:ilvl w:val="0"/>
                <w:numId w:val="40"/>
              </w:numPr>
              <w:rPr>
                <w:rFonts w:cs="Arial"/>
                <w:sz w:val="18"/>
                <w:szCs w:val="18"/>
              </w:rPr>
            </w:pPr>
            <w:r>
              <w:rPr>
                <w:rFonts w:eastAsia="Calibri" w:cs="Arial"/>
                <w:color w:val="000000"/>
                <w:sz w:val="18"/>
                <w:szCs w:val="18"/>
              </w:rPr>
              <w:t>has the appearance of a building ancillary to the dwelling house;</w:t>
            </w:r>
          </w:p>
          <w:p w14:paraId="7AC7254E" w14:textId="77777777" w:rsidR="00597699" w:rsidRDefault="00597699" w:rsidP="00597699">
            <w:pPr>
              <w:numPr>
                <w:ilvl w:val="0"/>
                <w:numId w:val="40"/>
              </w:numPr>
              <w:rPr>
                <w:rFonts w:cs="Arial"/>
                <w:sz w:val="18"/>
                <w:szCs w:val="18"/>
              </w:rPr>
            </w:pPr>
            <w:r>
              <w:rPr>
                <w:rFonts w:cs="Arial"/>
                <w:sz w:val="18"/>
                <w:szCs w:val="18"/>
              </w:rPr>
              <w:t>is occupied by members of the same household who occupy the dwelling house;</w:t>
            </w:r>
          </w:p>
          <w:p w14:paraId="44EF1327" w14:textId="77777777" w:rsidR="00597699" w:rsidRPr="00142C54" w:rsidRDefault="00597699" w:rsidP="00597699">
            <w:pPr>
              <w:numPr>
                <w:ilvl w:val="0"/>
                <w:numId w:val="40"/>
              </w:numPr>
              <w:rPr>
                <w:rFonts w:cs="Arial"/>
                <w:sz w:val="18"/>
                <w:szCs w:val="18"/>
              </w:rPr>
            </w:pPr>
            <w:r>
              <w:rPr>
                <w:rFonts w:cs="Arial"/>
                <w:sz w:val="18"/>
                <w:szCs w:val="18"/>
              </w:rPr>
              <w:t>is located on a site that has sufficient area to accommodate the secondary dwelling while maintaining the residential amenity of the surrounding area; and</w:t>
            </w:r>
          </w:p>
          <w:p w14:paraId="22BE95B6" w14:textId="77777777" w:rsidR="00597699" w:rsidRPr="006C7DDB" w:rsidRDefault="00597699" w:rsidP="00597699">
            <w:pPr>
              <w:numPr>
                <w:ilvl w:val="0"/>
                <w:numId w:val="40"/>
              </w:numPr>
              <w:rPr>
                <w:rFonts w:cs="Arial"/>
                <w:sz w:val="18"/>
                <w:szCs w:val="18"/>
              </w:rPr>
            </w:pPr>
            <w:r>
              <w:rPr>
                <w:rFonts w:eastAsia="Calibri" w:cs="Arial"/>
                <w:color w:val="000000"/>
                <w:sz w:val="18"/>
                <w:szCs w:val="18"/>
              </w:rPr>
              <w:t>provides on-site car parking to satisfy the projected needs of occupants of the secondary dwelling.</w:t>
            </w:r>
          </w:p>
          <w:p w14:paraId="04823918" w14:textId="77777777" w:rsidR="00597699" w:rsidRDefault="00597699" w:rsidP="00EA3542">
            <w:pPr>
              <w:rPr>
                <w:rFonts w:eastAsia="Calibri" w:cs="Arial"/>
                <w:color w:val="000000"/>
                <w:sz w:val="18"/>
                <w:szCs w:val="18"/>
              </w:rPr>
            </w:pPr>
          </w:p>
          <w:p w14:paraId="12D4F642" w14:textId="77777777" w:rsidR="00597699" w:rsidRPr="006C7DDB" w:rsidRDefault="00597699" w:rsidP="00EA3542">
            <w:pPr>
              <w:rPr>
                <w:rFonts w:cs="Arial"/>
                <w:sz w:val="18"/>
                <w:szCs w:val="18"/>
              </w:rPr>
            </w:pPr>
            <w:r w:rsidRPr="00BC347D">
              <w:rPr>
                <w:rFonts w:cs="Arial"/>
                <w:sz w:val="16"/>
                <w:szCs w:val="16"/>
              </w:rPr>
              <w:t>Note—</w:t>
            </w:r>
            <w:r>
              <w:rPr>
                <w:rFonts w:cs="Arial"/>
                <w:sz w:val="16"/>
                <w:szCs w:val="16"/>
              </w:rPr>
              <w:t xml:space="preserve">PO9(f) is an </w:t>
            </w:r>
            <w:r w:rsidRPr="00BC347D">
              <w:rPr>
                <w:rFonts w:cs="Arial"/>
                <w:sz w:val="16"/>
                <w:szCs w:val="16"/>
              </w:rPr>
              <w:t>al</w:t>
            </w:r>
            <w:r>
              <w:rPr>
                <w:rFonts w:cs="Arial"/>
                <w:sz w:val="16"/>
                <w:szCs w:val="16"/>
              </w:rPr>
              <w:t>ternative provision to QDC MP1.1, P8 and QDC MP1.2, P8, for development involving a secondary dwelling only</w:t>
            </w:r>
            <w:r w:rsidRPr="00BC347D">
              <w:rPr>
                <w:rFonts w:cs="Arial"/>
                <w:sz w:val="16"/>
                <w:szCs w:val="16"/>
              </w:rPr>
              <w:t>.</w:t>
            </w:r>
          </w:p>
        </w:tc>
        <w:tc>
          <w:tcPr>
            <w:tcW w:w="4338" w:type="dxa"/>
            <w:shd w:val="clear" w:color="auto" w:fill="auto"/>
          </w:tcPr>
          <w:p w14:paraId="0EF7FFB9" w14:textId="77777777" w:rsidR="00597699" w:rsidRPr="00BF12D2" w:rsidRDefault="00597699" w:rsidP="00EA3542">
            <w:pPr>
              <w:rPr>
                <w:rFonts w:cs="Arial"/>
                <w:b/>
                <w:bCs/>
                <w:sz w:val="18"/>
                <w:szCs w:val="18"/>
              </w:rPr>
            </w:pPr>
            <w:r>
              <w:rPr>
                <w:rFonts w:cs="Arial"/>
                <w:b/>
                <w:bCs/>
                <w:sz w:val="18"/>
                <w:szCs w:val="18"/>
              </w:rPr>
              <w:t>AO9.1</w:t>
            </w:r>
          </w:p>
          <w:p w14:paraId="5B1A0318" w14:textId="77777777" w:rsidR="00597699" w:rsidRDefault="00597699" w:rsidP="00EA3542">
            <w:pPr>
              <w:rPr>
                <w:rFonts w:cs="Arial"/>
                <w:sz w:val="18"/>
                <w:szCs w:val="18"/>
              </w:rPr>
            </w:pPr>
            <w:r>
              <w:rPr>
                <w:rFonts w:cs="Arial"/>
                <w:sz w:val="18"/>
                <w:szCs w:val="18"/>
              </w:rPr>
              <w:t>Only one secondary dwelling is established in association with the dwelling house.</w:t>
            </w:r>
          </w:p>
          <w:p w14:paraId="0FF593FA" w14:textId="77777777" w:rsidR="00597699" w:rsidRDefault="00597699" w:rsidP="00EA3542">
            <w:pPr>
              <w:rPr>
                <w:sz w:val="18"/>
                <w:szCs w:val="18"/>
              </w:rPr>
            </w:pPr>
          </w:p>
          <w:p w14:paraId="5B3A92A5" w14:textId="77777777" w:rsidR="00597699" w:rsidRPr="00D85E8E" w:rsidRDefault="00597699" w:rsidP="00EA3542">
            <w:pPr>
              <w:rPr>
                <w:b/>
                <w:sz w:val="18"/>
                <w:szCs w:val="18"/>
              </w:rPr>
            </w:pPr>
            <w:r w:rsidRPr="00D85E8E">
              <w:rPr>
                <w:b/>
                <w:sz w:val="18"/>
                <w:szCs w:val="18"/>
              </w:rPr>
              <w:t>AO</w:t>
            </w:r>
            <w:r>
              <w:rPr>
                <w:b/>
                <w:sz w:val="18"/>
                <w:szCs w:val="18"/>
              </w:rPr>
              <w:t>9</w:t>
            </w:r>
            <w:r w:rsidRPr="00D85E8E">
              <w:rPr>
                <w:b/>
                <w:sz w:val="18"/>
                <w:szCs w:val="18"/>
              </w:rPr>
              <w:t>.2</w:t>
            </w:r>
          </w:p>
          <w:p w14:paraId="71189FF3" w14:textId="77777777" w:rsidR="00597699" w:rsidRDefault="00597699" w:rsidP="00EA3542">
            <w:pPr>
              <w:rPr>
                <w:rFonts w:cs="Arial"/>
                <w:sz w:val="18"/>
                <w:szCs w:val="18"/>
              </w:rPr>
            </w:pPr>
            <w:r>
              <w:rPr>
                <w:sz w:val="18"/>
                <w:szCs w:val="18"/>
              </w:rPr>
              <w:t xml:space="preserve">Where located in the Low density residential zone, the secondary dwelling is located on a lot that has </w:t>
            </w:r>
            <w:r w:rsidRPr="00FD1AF3">
              <w:rPr>
                <w:rFonts w:cs="Arial"/>
                <w:sz w:val="18"/>
                <w:szCs w:val="18"/>
              </w:rPr>
              <w:t>a minimum area of 800m²</w:t>
            </w:r>
            <w:r>
              <w:rPr>
                <w:rFonts w:cs="Arial"/>
                <w:sz w:val="18"/>
                <w:szCs w:val="18"/>
              </w:rPr>
              <w:t>.</w:t>
            </w:r>
          </w:p>
          <w:p w14:paraId="58BD2F94" w14:textId="77777777" w:rsidR="00597699" w:rsidRDefault="00597699" w:rsidP="00EA3542">
            <w:pPr>
              <w:rPr>
                <w:rFonts w:cs="Arial"/>
                <w:sz w:val="18"/>
                <w:szCs w:val="18"/>
              </w:rPr>
            </w:pPr>
          </w:p>
          <w:p w14:paraId="6CD715CF" w14:textId="77777777" w:rsidR="00597699" w:rsidRPr="00B3705C" w:rsidRDefault="00597699" w:rsidP="00EA3542">
            <w:pPr>
              <w:rPr>
                <w:rFonts w:cs="Arial"/>
                <w:b/>
                <w:sz w:val="18"/>
                <w:szCs w:val="18"/>
              </w:rPr>
            </w:pPr>
            <w:r>
              <w:rPr>
                <w:rFonts w:cs="Arial"/>
                <w:b/>
                <w:sz w:val="18"/>
                <w:szCs w:val="18"/>
              </w:rPr>
              <w:t>AO9.3</w:t>
            </w:r>
          </w:p>
          <w:p w14:paraId="126C8643" w14:textId="77777777" w:rsidR="00597699" w:rsidRPr="006646A8" w:rsidRDefault="00597699" w:rsidP="00EA3542">
            <w:pPr>
              <w:rPr>
                <w:rFonts w:cs="Arial"/>
                <w:sz w:val="18"/>
                <w:szCs w:val="18"/>
              </w:rPr>
            </w:pPr>
            <w:r w:rsidRPr="006646A8">
              <w:rPr>
                <w:rFonts w:cs="Arial"/>
                <w:sz w:val="18"/>
                <w:szCs w:val="18"/>
              </w:rPr>
              <w:t xml:space="preserve">The secondary dwelling has a maximum gross floor area of </w:t>
            </w:r>
            <w:r>
              <w:rPr>
                <w:rFonts w:cs="Arial"/>
                <w:sz w:val="18"/>
                <w:szCs w:val="18"/>
              </w:rPr>
              <w:t>60</w:t>
            </w:r>
            <w:r w:rsidRPr="006646A8">
              <w:rPr>
                <w:rFonts w:cs="Arial"/>
                <w:sz w:val="18"/>
                <w:szCs w:val="18"/>
              </w:rPr>
              <w:t>m</w:t>
            </w:r>
            <w:r w:rsidRPr="006646A8">
              <w:rPr>
                <w:rFonts w:cs="Arial"/>
                <w:sz w:val="18"/>
                <w:szCs w:val="18"/>
                <w:vertAlign w:val="superscript"/>
              </w:rPr>
              <w:t>2</w:t>
            </w:r>
            <w:r w:rsidRPr="006646A8">
              <w:rPr>
                <w:rFonts w:cs="Arial"/>
                <w:sz w:val="18"/>
                <w:szCs w:val="18"/>
              </w:rPr>
              <w:t>.</w:t>
            </w:r>
          </w:p>
          <w:p w14:paraId="686766B8" w14:textId="77777777" w:rsidR="00597699" w:rsidRDefault="00597699" w:rsidP="00EA3542">
            <w:pPr>
              <w:rPr>
                <w:rFonts w:cs="Arial"/>
                <w:sz w:val="18"/>
                <w:szCs w:val="18"/>
              </w:rPr>
            </w:pPr>
          </w:p>
          <w:p w14:paraId="61DC8B64" w14:textId="77777777" w:rsidR="00597699" w:rsidRPr="00B3705C" w:rsidRDefault="00597699" w:rsidP="00EA3542">
            <w:pPr>
              <w:rPr>
                <w:rFonts w:cs="Arial"/>
                <w:b/>
                <w:sz w:val="18"/>
                <w:szCs w:val="18"/>
              </w:rPr>
            </w:pPr>
            <w:r>
              <w:rPr>
                <w:rFonts w:cs="Arial"/>
                <w:b/>
                <w:sz w:val="18"/>
                <w:szCs w:val="18"/>
              </w:rPr>
              <w:t>AO9.4</w:t>
            </w:r>
          </w:p>
          <w:p w14:paraId="64DC6068" w14:textId="77777777" w:rsidR="00597699" w:rsidRDefault="00597699" w:rsidP="00EA3542">
            <w:pPr>
              <w:rPr>
                <w:rFonts w:cs="Arial"/>
                <w:sz w:val="18"/>
                <w:szCs w:val="18"/>
              </w:rPr>
            </w:pPr>
            <w:r>
              <w:rPr>
                <w:rFonts w:cs="Arial"/>
                <w:sz w:val="18"/>
                <w:szCs w:val="18"/>
              </w:rPr>
              <w:t>A</w:t>
            </w:r>
            <w:r w:rsidRPr="001B6F93">
              <w:rPr>
                <w:rFonts w:cs="Arial"/>
                <w:sz w:val="18"/>
                <w:szCs w:val="18"/>
              </w:rPr>
              <w:t xml:space="preserve">ny dwelling house that includes a secondary dwelling is designed to </w:t>
            </w:r>
            <w:r>
              <w:rPr>
                <w:rFonts w:cs="Arial"/>
                <w:sz w:val="18"/>
                <w:szCs w:val="18"/>
              </w:rPr>
              <w:t xml:space="preserve">function and </w:t>
            </w:r>
            <w:r w:rsidRPr="001B6F93">
              <w:rPr>
                <w:rFonts w:cs="Arial"/>
                <w:sz w:val="18"/>
                <w:szCs w:val="18"/>
              </w:rPr>
              <w:t>have the appearance of a single dwelling</w:t>
            </w:r>
            <w:r>
              <w:rPr>
                <w:rFonts w:cs="Arial"/>
                <w:sz w:val="18"/>
                <w:szCs w:val="18"/>
              </w:rPr>
              <w:t>, including:-</w:t>
            </w:r>
          </w:p>
          <w:p w14:paraId="756B50E4" w14:textId="77777777" w:rsidR="00597699" w:rsidRDefault="00597699" w:rsidP="00597699">
            <w:pPr>
              <w:pStyle w:val="ListParagraph"/>
              <w:numPr>
                <w:ilvl w:val="0"/>
                <w:numId w:val="48"/>
              </w:numPr>
              <w:ind w:left="336" w:hanging="336"/>
              <w:rPr>
                <w:rFonts w:cs="Arial"/>
                <w:sz w:val="18"/>
                <w:szCs w:val="18"/>
              </w:rPr>
            </w:pPr>
            <w:r>
              <w:rPr>
                <w:rFonts w:cs="Arial"/>
                <w:sz w:val="18"/>
                <w:szCs w:val="18"/>
              </w:rPr>
              <w:t>the secondary dwelling is to be:-</w:t>
            </w:r>
          </w:p>
          <w:p w14:paraId="310B363C" w14:textId="77777777" w:rsidR="00597699" w:rsidRDefault="00597699" w:rsidP="00597699">
            <w:pPr>
              <w:pStyle w:val="ListParagraph"/>
              <w:numPr>
                <w:ilvl w:val="1"/>
                <w:numId w:val="48"/>
              </w:numPr>
              <w:ind w:left="620" w:hanging="284"/>
              <w:rPr>
                <w:rFonts w:cs="Arial"/>
                <w:sz w:val="18"/>
                <w:szCs w:val="18"/>
              </w:rPr>
            </w:pPr>
            <w:r w:rsidRPr="00602B7F">
              <w:rPr>
                <w:rFonts w:cs="Arial"/>
                <w:sz w:val="18"/>
                <w:szCs w:val="18"/>
              </w:rPr>
              <w:t xml:space="preserve">inter-connected with other parts of the dwelling house </w:t>
            </w:r>
            <w:r>
              <w:rPr>
                <w:rFonts w:cs="Arial"/>
                <w:sz w:val="18"/>
                <w:szCs w:val="18"/>
              </w:rPr>
              <w:t xml:space="preserve">(e.g. </w:t>
            </w:r>
            <w:r w:rsidRPr="00602B7F">
              <w:rPr>
                <w:rFonts w:cs="Arial"/>
                <w:sz w:val="18"/>
                <w:szCs w:val="18"/>
              </w:rPr>
              <w:t>via a connecting door, hall or breezeway</w:t>
            </w:r>
            <w:r>
              <w:rPr>
                <w:rFonts w:cs="Arial"/>
                <w:sz w:val="18"/>
                <w:szCs w:val="18"/>
              </w:rPr>
              <w:t>)</w:t>
            </w:r>
            <w:r w:rsidRPr="00602B7F">
              <w:rPr>
                <w:rFonts w:cs="Arial"/>
                <w:sz w:val="18"/>
                <w:szCs w:val="18"/>
              </w:rPr>
              <w:t>;</w:t>
            </w:r>
            <w:r>
              <w:rPr>
                <w:rFonts w:cs="Arial"/>
                <w:sz w:val="18"/>
                <w:szCs w:val="18"/>
              </w:rPr>
              <w:t xml:space="preserve"> or</w:t>
            </w:r>
          </w:p>
          <w:p w14:paraId="162C7BEF" w14:textId="77777777" w:rsidR="00597699" w:rsidRDefault="00597699" w:rsidP="00597699">
            <w:pPr>
              <w:pStyle w:val="ListParagraph"/>
              <w:numPr>
                <w:ilvl w:val="1"/>
                <w:numId w:val="48"/>
              </w:numPr>
              <w:ind w:left="620" w:hanging="284"/>
              <w:rPr>
                <w:rFonts w:cs="Arial"/>
                <w:sz w:val="18"/>
                <w:szCs w:val="18"/>
              </w:rPr>
            </w:pPr>
            <w:r w:rsidRPr="00654BA0">
              <w:rPr>
                <w:rFonts w:cs="Arial"/>
                <w:sz w:val="18"/>
                <w:szCs w:val="18"/>
              </w:rPr>
              <w:t>where free standing, located within 20m of the primary dwelling and connected by a minimum 1.2m wide concrete or paved ribbon path between the doors of each dwelling</w:t>
            </w:r>
            <w:r>
              <w:rPr>
                <w:rFonts w:cs="Arial"/>
                <w:sz w:val="18"/>
                <w:szCs w:val="18"/>
              </w:rPr>
              <w:t>;</w:t>
            </w:r>
          </w:p>
          <w:p w14:paraId="439B3506" w14:textId="77777777" w:rsidR="00597699" w:rsidRDefault="00597699" w:rsidP="00597699">
            <w:pPr>
              <w:pStyle w:val="ListParagraph"/>
              <w:numPr>
                <w:ilvl w:val="0"/>
                <w:numId w:val="48"/>
              </w:numPr>
              <w:ind w:left="336" w:hanging="336"/>
              <w:rPr>
                <w:rFonts w:cs="Arial"/>
                <w:sz w:val="18"/>
                <w:szCs w:val="18"/>
              </w:rPr>
            </w:pPr>
            <w:r w:rsidRPr="00654BA0">
              <w:rPr>
                <w:rFonts w:cs="Arial"/>
                <w:sz w:val="18"/>
                <w:szCs w:val="18"/>
              </w:rPr>
              <w:t>the dwelling house has a single front door (main entrance) and any entrance to the secondary dwelling is not clearly visible from the street</w:t>
            </w:r>
            <w:r>
              <w:rPr>
                <w:rFonts w:cs="Arial"/>
                <w:sz w:val="18"/>
                <w:szCs w:val="18"/>
              </w:rPr>
              <w:t>;</w:t>
            </w:r>
          </w:p>
          <w:p w14:paraId="344DFFAC" w14:textId="77777777" w:rsidR="00597699" w:rsidRDefault="00597699" w:rsidP="00597699">
            <w:pPr>
              <w:pStyle w:val="ListParagraph"/>
              <w:numPr>
                <w:ilvl w:val="0"/>
                <w:numId w:val="48"/>
              </w:numPr>
              <w:ind w:left="336" w:hanging="336"/>
              <w:rPr>
                <w:rFonts w:cs="Arial"/>
                <w:sz w:val="18"/>
                <w:szCs w:val="18"/>
              </w:rPr>
            </w:pPr>
            <w:r w:rsidRPr="00654BA0">
              <w:rPr>
                <w:rFonts w:cs="Arial"/>
                <w:sz w:val="18"/>
                <w:szCs w:val="18"/>
              </w:rPr>
              <w:t>garage door openings and/or carports visible from the street are grouped together and located on one side of the front (street) elevation</w:t>
            </w:r>
            <w:r>
              <w:rPr>
                <w:rFonts w:cs="Arial"/>
                <w:sz w:val="18"/>
                <w:szCs w:val="18"/>
              </w:rPr>
              <w:t xml:space="preserve">; and </w:t>
            </w:r>
          </w:p>
          <w:p w14:paraId="2F5630D1" w14:textId="77777777" w:rsidR="00597699" w:rsidRPr="00654BA0" w:rsidRDefault="00597699" w:rsidP="00597699">
            <w:pPr>
              <w:pStyle w:val="ListParagraph"/>
              <w:numPr>
                <w:ilvl w:val="0"/>
                <w:numId w:val="48"/>
              </w:numPr>
              <w:ind w:left="336" w:hanging="336"/>
              <w:rPr>
                <w:rFonts w:cs="Arial"/>
                <w:sz w:val="18"/>
                <w:szCs w:val="18"/>
              </w:rPr>
            </w:pPr>
            <w:r w:rsidRPr="00654BA0">
              <w:rPr>
                <w:rFonts w:cs="Arial"/>
                <w:sz w:val="18"/>
                <w:szCs w:val="18"/>
              </w:rPr>
              <w:t>the secondary dwelling shares the same open space areas, driveway</w:t>
            </w:r>
            <w:r>
              <w:rPr>
                <w:rFonts w:cs="Arial"/>
                <w:sz w:val="18"/>
                <w:szCs w:val="18"/>
              </w:rPr>
              <w:t>, street address</w:t>
            </w:r>
            <w:r w:rsidRPr="00654BA0">
              <w:rPr>
                <w:rFonts w:cs="Arial"/>
                <w:sz w:val="18"/>
                <w:szCs w:val="18"/>
              </w:rPr>
              <w:t xml:space="preserve"> and letter </w:t>
            </w:r>
            <w:r w:rsidRPr="00654BA0">
              <w:rPr>
                <w:rFonts w:cs="Arial"/>
                <w:sz w:val="18"/>
                <w:szCs w:val="18"/>
              </w:rPr>
              <w:lastRenderedPageBreak/>
              <w:t xml:space="preserve">box as the </w:t>
            </w:r>
            <w:r>
              <w:rPr>
                <w:rFonts w:cs="Arial"/>
                <w:sz w:val="18"/>
                <w:szCs w:val="18"/>
              </w:rPr>
              <w:t>primary dwelling</w:t>
            </w:r>
            <w:r w:rsidRPr="00654BA0">
              <w:rPr>
                <w:rFonts w:cs="Arial"/>
                <w:sz w:val="18"/>
                <w:szCs w:val="18"/>
              </w:rPr>
              <w:t xml:space="preserve"> (only one letter box is provided for the dwelling house).</w:t>
            </w:r>
          </w:p>
          <w:p w14:paraId="189B98C5" w14:textId="77777777" w:rsidR="00597699" w:rsidRDefault="00597699" w:rsidP="00EA3542">
            <w:pPr>
              <w:rPr>
                <w:rFonts w:cs="Arial"/>
                <w:sz w:val="18"/>
                <w:szCs w:val="18"/>
              </w:rPr>
            </w:pPr>
          </w:p>
          <w:p w14:paraId="2440850D" w14:textId="77777777" w:rsidR="00597699" w:rsidRDefault="00597699" w:rsidP="00EA3542">
            <w:pPr>
              <w:rPr>
                <w:rFonts w:cs="Arial"/>
                <w:sz w:val="16"/>
                <w:szCs w:val="16"/>
              </w:rPr>
            </w:pPr>
            <w:r w:rsidRPr="00926E46">
              <w:rPr>
                <w:rFonts w:cs="Arial"/>
                <w:sz w:val="16"/>
                <w:szCs w:val="16"/>
              </w:rPr>
              <w:t xml:space="preserve">Editor’s note—a secondary dwelling should be designed to respond to changing household needs such that if or when the secondary dwelling is no longer required, the </w:t>
            </w:r>
            <w:r>
              <w:rPr>
                <w:rFonts w:cs="Arial"/>
                <w:sz w:val="16"/>
                <w:szCs w:val="16"/>
              </w:rPr>
              <w:t xml:space="preserve">building (or part) </w:t>
            </w:r>
            <w:r w:rsidRPr="00926E46">
              <w:rPr>
                <w:rFonts w:cs="Arial"/>
                <w:sz w:val="16"/>
                <w:szCs w:val="16"/>
              </w:rPr>
              <w:t xml:space="preserve">can </w:t>
            </w:r>
            <w:r>
              <w:rPr>
                <w:rFonts w:cs="Arial"/>
                <w:sz w:val="16"/>
                <w:szCs w:val="16"/>
              </w:rPr>
              <w:t xml:space="preserve">be </w:t>
            </w:r>
            <w:r w:rsidRPr="00926E46">
              <w:rPr>
                <w:rFonts w:cs="Arial"/>
                <w:sz w:val="16"/>
                <w:szCs w:val="16"/>
              </w:rPr>
              <w:t>used</w:t>
            </w:r>
            <w:r>
              <w:rPr>
                <w:rFonts w:cs="Arial"/>
                <w:sz w:val="16"/>
                <w:szCs w:val="16"/>
              </w:rPr>
              <w:t xml:space="preserve"> as</w:t>
            </w:r>
            <w:r w:rsidRPr="00926E46">
              <w:rPr>
                <w:rFonts w:cs="Arial"/>
                <w:sz w:val="16"/>
                <w:szCs w:val="16"/>
              </w:rPr>
              <w:t xml:space="preserve"> part of </w:t>
            </w:r>
            <w:r>
              <w:rPr>
                <w:rFonts w:cs="Arial"/>
                <w:sz w:val="16"/>
                <w:szCs w:val="16"/>
              </w:rPr>
              <w:t>the primary</w:t>
            </w:r>
            <w:r w:rsidRPr="00926E46">
              <w:rPr>
                <w:rFonts w:cs="Arial"/>
                <w:sz w:val="16"/>
                <w:szCs w:val="16"/>
              </w:rPr>
              <w:t xml:space="preserve"> dwelling, or can be relocated off the site.</w:t>
            </w:r>
          </w:p>
          <w:p w14:paraId="5A3D0223" w14:textId="77777777" w:rsidR="00597699" w:rsidRDefault="00597699" w:rsidP="00EA3542">
            <w:pPr>
              <w:rPr>
                <w:rFonts w:cs="Arial"/>
                <w:sz w:val="16"/>
                <w:szCs w:val="16"/>
              </w:rPr>
            </w:pPr>
          </w:p>
          <w:p w14:paraId="7187DE51" w14:textId="77777777" w:rsidR="00597699" w:rsidRPr="00FE2E23" w:rsidRDefault="00597699" w:rsidP="00EA3542">
            <w:pPr>
              <w:rPr>
                <w:rFonts w:cs="Arial"/>
                <w:b/>
                <w:sz w:val="18"/>
                <w:szCs w:val="18"/>
              </w:rPr>
            </w:pPr>
            <w:r>
              <w:rPr>
                <w:rFonts w:cs="Arial"/>
                <w:b/>
                <w:sz w:val="18"/>
                <w:szCs w:val="18"/>
              </w:rPr>
              <w:t>AO9.5</w:t>
            </w:r>
          </w:p>
          <w:p w14:paraId="0468AEF5" w14:textId="77777777" w:rsidR="00597699" w:rsidRDefault="00597699" w:rsidP="00EA3542">
            <w:pPr>
              <w:rPr>
                <w:rFonts w:cs="Arial"/>
                <w:sz w:val="18"/>
                <w:szCs w:val="18"/>
              </w:rPr>
            </w:pPr>
            <w:r>
              <w:rPr>
                <w:rFonts w:cs="Arial"/>
                <w:sz w:val="18"/>
                <w:szCs w:val="18"/>
              </w:rPr>
              <w:t xml:space="preserve">The secondary dwelling is occupied by members of the same household who occupy the dwelling house.  Where an occupant of the secondary dwelling is not related by blood, marriage or adoption to a person residing in the primary dwelling, a functional relationship or connection must exist between the occupants of both dwellings. </w:t>
            </w:r>
          </w:p>
          <w:p w14:paraId="3F0CA547" w14:textId="77777777" w:rsidR="00597699" w:rsidRDefault="00597699" w:rsidP="00EA3542">
            <w:pPr>
              <w:jc w:val="both"/>
              <w:rPr>
                <w:rFonts w:cs="Arial"/>
                <w:sz w:val="18"/>
                <w:szCs w:val="18"/>
              </w:rPr>
            </w:pPr>
          </w:p>
          <w:p w14:paraId="632D5814" w14:textId="77777777" w:rsidR="00597699" w:rsidRPr="00075C82" w:rsidRDefault="00597699" w:rsidP="00EA3542">
            <w:pPr>
              <w:rPr>
                <w:rFonts w:cs="Arial"/>
                <w:sz w:val="16"/>
                <w:szCs w:val="16"/>
              </w:rPr>
            </w:pPr>
            <w:r w:rsidRPr="00075C82">
              <w:rPr>
                <w:rFonts w:cs="Arial"/>
                <w:sz w:val="16"/>
                <w:szCs w:val="16"/>
              </w:rPr>
              <w:t xml:space="preserve">Editor’s note—examples of a functional </w:t>
            </w:r>
            <w:r>
              <w:rPr>
                <w:rFonts w:cs="Arial"/>
                <w:sz w:val="16"/>
                <w:szCs w:val="16"/>
              </w:rPr>
              <w:t>relationship or connection</w:t>
            </w:r>
            <w:r w:rsidRPr="00075C82">
              <w:rPr>
                <w:rFonts w:cs="Arial"/>
                <w:sz w:val="16"/>
                <w:szCs w:val="16"/>
              </w:rPr>
              <w:t xml:space="preserve"> include</w:t>
            </w:r>
            <w:r>
              <w:rPr>
                <w:rFonts w:cs="Arial"/>
                <w:sz w:val="16"/>
                <w:szCs w:val="16"/>
              </w:rPr>
              <w:t>:-</w:t>
            </w:r>
          </w:p>
          <w:p w14:paraId="5D98D573" w14:textId="77777777" w:rsidR="00597699" w:rsidRDefault="00597699" w:rsidP="00597699">
            <w:pPr>
              <w:pStyle w:val="ListParagraph"/>
              <w:numPr>
                <w:ilvl w:val="0"/>
                <w:numId w:val="47"/>
              </w:numPr>
              <w:ind w:left="194" w:hanging="194"/>
              <w:rPr>
                <w:rFonts w:cs="Arial"/>
                <w:sz w:val="16"/>
                <w:szCs w:val="16"/>
              </w:rPr>
            </w:pPr>
            <w:r>
              <w:rPr>
                <w:rFonts w:cs="Arial"/>
                <w:sz w:val="16"/>
                <w:szCs w:val="16"/>
              </w:rPr>
              <w:t>the</w:t>
            </w:r>
            <w:r w:rsidRPr="00075C82">
              <w:rPr>
                <w:rFonts w:cs="Arial"/>
                <w:sz w:val="16"/>
                <w:szCs w:val="16"/>
              </w:rPr>
              <w:t xml:space="preserve"> carer</w:t>
            </w:r>
            <w:r>
              <w:rPr>
                <w:rFonts w:cs="Arial"/>
                <w:sz w:val="16"/>
                <w:szCs w:val="16"/>
              </w:rPr>
              <w:t xml:space="preserve"> of</w:t>
            </w:r>
            <w:r w:rsidRPr="00075C82">
              <w:rPr>
                <w:rFonts w:cs="Arial"/>
                <w:sz w:val="16"/>
                <w:szCs w:val="16"/>
              </w:rPr>
              <w:t xml:space="preserve">, or person that </w:t>
            </w:r>
            <w:r>
              <w:rPr>
                <w:rFonts w:cs="Arial"/>
                <w:sz w:val="16"/>
                <w:szCs w:val="16"/>
              </w:rPr>
              <w:t xml:space="preserve">is cared for by, </w:t>
            </w:r>
            <w:r w:rsidRPr="00075C82">
              <w:rPr>
                <w:rFonts w:cs="Arial"/>
                <w:sz w:val="16"/>
                <w:szCs w:val="16"/>
              </w:rPr>
              <w:t>an occupant of the dwelling house;</w:t>
            </w:r>
          </w:p>
          <w:p w14:paraId="4B4182FB" w14:textId="77777777" w:rsidR="00597699" w:rsidRPr="00FF7D4D" w:rsidRDefault="00597699" w:rsidP="00597699">
            <w:pPr>
              <w:pStyle w:val="ListParagraph"/>
              <w:numPr>
                <w:ilvl w:val="0"/>
                <w:numId w:val="47"/>
              </w:numPr>
              <w:ind w:left="194" w:hanging="194"/>
              <w:rPr>
                <w:rFonts w:cs="Arial"/>
                <w:sz w:val="16"/>
                <w:szCs w:val="16"/>
              </w:rPr>
            </w:pPr>
            <w:r w:rsidRPr="00FF7D4D">
              <w:rPr>
                <w:rFonts w:cs="Arial"/>
                <w:sz w:val="16"/>
                <w:szCs w:val="16"/>
              </w:rPr>
              <w:t>the occupant shares meals with or is provided with board and lodging directly by the occupant/s of the primary dwelling (e.g. cooking, laundry etc.).</w:t>
            </w:r>
          </w:p>
          <w:p w14:paraId="2B4AA7BC" w14:textId="77777777" w:rsidR="00597699" w:rsidRDefault="00597699" w:rsidP="00EA3542">
            <w:pPr>
              <w:rPr>
                <w:rFonts w:cs="Arial"/>
                <w:sz w:val="18"/>
                <w:szCs w:val="18"/>
              </w:rPr>
            </w:pPr>
          </w:p>
          <w:p w14:paraId="6A1194E3" w14:textId="77777777" w:rsidR="00597699" w:rsidRPr="00B3705C" w:rsidRDefault="00597699" w:rsidP="00EA3542">
            <w:pPr>
              <w:rPr>
                <w:rFonts w:cs="Arial"/>
                <w:b/>
                <w:sz w:val="18"/>
                <w:szCs w:val="18"/>
              </w:rPr>
            </w:pPr>
            <w:r>
              <w:rPr>
                <w:rFonts w:cs="Arial"/>
                <w:b/>
                <w:sz w:val="18"/>
                <w:szCs w:val="18"/>
              </w:rPr>
              <w:t>AO9.6</w:t>
            </w:r>
          </w:p>
          <w:p w14:paraId="3F89AE25" w14:textId="77777777" w:rsidR="00597699" w:rsidRDefault="00597699" w:rsidP="00EA3542">
            <w:pPr>
              <w:rPr>
                <w:rFonts w:cs="Arial"/>
                <w:sz w:val="18"/>
                <w:szCs w:val="18"/>
              </w:rPr>
            </w:pPr>
            <w:r>
              <w:rPr>
                <w:rFonts w:cs="Arial"/>
                <w:sz w:val="18"/>
                <w:szCs w:val="18"/>
              </w:rPr>
              <w:t xml:space="preserve">In addition to the car parking requirements for the dwelling house as nominated within the QDC, at least one (1) on-site car parking space is provided to service the secondary dwelling. </w:t>
            </w:r>
          </w:p>
          <w:p w14:paraId="1FEA8794" w14:textId="77777777" w:rsidR="00597699" w:rsidRDefault="00597699" w:rsidP="00EA3542">
            <w:pPr>
              <w:rPr>
                <w:rFonts w:cs="Arial"/>
                <w:sz w:val="18"/>
                <w:szCs w:val="18"/>
              </w:rPr>
            </w:pPr>
          </w:p>
          <w:p w14:paraId="035FECD8" w14:textId="77777777" w:rsidR="00597699" w:rsidRPr="00BF12D2" w:rsidRDefault="00597699" w:rsidP="00EA3542">
            <w:pPr>
              <w:rPr>
                <w:rFonts w:cs="Arial"/>
                <w:sz w:val="18"/>
                <w:szCs w:val="18"/>
              </w:rPr>
            </w:pPr>
            <w:r w:rsidRPr="00BC347D">
              <w:rPr>
                <w:rFonts w:cs="Arial"/>
                <w:sz w:val="16"/>
                <w:szCs w:val="16"/>
              </w:rPr>
              <w:t>Note—</w:t>
            </w:r>
            <w:r>
              <w:rPr>
                <w:rFonts w:cs="Arial"/>
                <w:sz w:val="16"/>
                <w:szCs w:val="16"/>
              </w:rPr>
              <w:t xml:space="preserve">AO9.6 is an </w:t>
            </w:r>
            <w:r w:rsidRPr="00BC347D">
              <w:rPr>
                <w:rFonts w:cs="Arial"/>
                <w:sz w:val="16"/>
                <w:szCs w:val="16"/>
              </w:rPr>
              <w:t>alternative provision to QDC MP1.1, A8 and QDC MP1.2, A8</w:t>
            </w:r>
            <w:r>
              <w:rPr>
                <w:rFonts w:cs="Arial"/>
                <w:sz w:val="16"/>
                <w:szCs w:val="16"/>
              </w:rPr>
              <w:t>, for development involving a secondary dwelling only</w:t>
            </w:r>
            <w:r w:rsidRPr="00BC347D">
              <w:rPr>
                <w:rFonts w:cs="Arial"/>
                <w:sz w:val="16"/>
                <w:szCs w:val="16"/>
              </w:rPr>
              <w:t>.</w:t>
            </w:r>
          </w:p>
        </w:tc>
        <w:tc>
          <w:tcPr>
            <w:tcW w:w="5439" w:type="dxa"/>
          </w:tcPr>
          <w:p w14:paraId="62586639" w14:textId="0E9192DE" w:rsidR="00597699" w:rsidRDefault="00597699" w:rsidP="00EA3542">
            <w:pPr>
              <w:rPr>
                <w:rFonts w:cs="Arial"/>
                <w:b/>
                <w:bCs/>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97699" w:rsidRPr="00FD1AF3" w14:paraId="1119CA70" w14:textId="74568A4C" w:rsidTr="00597699">
        <w:tc>
          <w:tcPr>
            <w:tcW w:w="8505" w:type="dxa"/>
            <w:gridSpan w:val="2"/>
            <w:shd w:val="clear" w:color="auto" w:fill="D9D9D9"/>
          </w:tcPr>
          <w:p w14:paraId="38041EAE" w14:textId="77777777" w:rsidR="00597699" w:rsidRPr="00FD1AF3" w:rsidRDefault="00597699" w:rsidP="00EA3542">
            <w:pPr>
              <w:rPr>
                <w:b/>
                <w:i/>
                <w:sz w:val="18"/>
                <w:szCs w:val="18"/>
              </w:rPr>
            </w:pPr>
            <w:r w:rsidRPr="00FD1AF3">
              <w:rPr>
                <w:b/>
                <w:i/>
                <w:sz w:val="18"/>
                <w:szCs w:val="18"/>
              </w:rPr>
              <w:lastRenderedPageBreak/>
              <w:t xml:space="preserve">Services and </w:t>
            </w:r>
            <w:r>
              <w:rPr>
                <w:b/>
                <w:i/>
                <w:sz w:val="18"/>
                <w:szCs w:val="18"/>
              </w:rPr>
              <w:t>u</w:t>
            </w:r>
            <w:r w:rsidRPr="00FD1AF3">
              <w:rPr>
                <w:b/>
                <w:i/>
                <w:sz w:val="18"/>
                <w:szCs w:val="18"/>
              </w:rPr>
              <w:t>tilities</w:t>
            </w:r>
          </w:p>
        </w:tc>
        <w:tc>
          <w:tcPr>
            <w:tcW w:w="5439" w:type="dxa"/>
            <w:shd w:val="clear" w:color="auto" w:fill="D9D9D9"/>
          </w:tcPr>
          <w:p w14:paraId="37046D89" w14:textId="77777777" w:rsidR="00597699" w:rsidRPr="00FD1AF3" w:rsidRDefault="00597699" w:rsidP="00EA3542">
            <w:pPr>
              <w:rPr>
                <w:b/>
                <w:i/>
                <w:sz w:val="18"/>
                <w:szCs w:val="18"/>
              </w:rPr>
            </w:pPr>
          </w:p>
        </w:tc>
      </w:tr>
      <w:tr w:rsidR="00597699" w:rsidRPr="00FD1AF3" w14:paraId="78409EA8" w14:textId="3FEAF836" w:rsidTr="00597699">
        <w:tc>
          <w:tcPr>
            <w:tcW w:w="4167" w:type="dxa"/>
            <w:tcBorders>
              <w:bottom w:val="single" w:sz="4" w:space="0" w:color="auto"/>
            </w:tcBorders>
            <w:shd w:val="clear" w:color="auto" w:fill="auto"/>
          </w:tcPr>
          <w:p w14:paraId="2577DA45" w14:textId="77777777" w:rsidR="00597699" w:rsidRPr="001657E8" w:rsidRDefault="00597699" w:rsidP="00EA3542">
            <w:pPr>
              <w:rPr>
                <w:rFonts w:cs="Arial"/>
                <w:b/>
                <w:sz w:val="18"/>
                <w:szCs w:val="18"/>
              </w:rPr>
            </w:pPr>
            <w:r>
              <w:rPr>
                <w:rFonts w:cs="Arial"/>
                <w:b/>
                <w:sz w:val="18"/>
                <w:szCs w:val="18"/>
              </w:rPr>
              <w:t>PO10</w:t>
            </w:r>
          </w:p>
          <w:p w14:paraId="01FD49A9" w14:textId="77777777" w:rsidR="00597699" w:rsidRPr="0007359A" w:rsidRDefault="00597699" w:rsidP="00EA3542">
            <w:pPr>
              <w:rPr>
                <w:rFonts w:cs="Arial"/>
                <w:sz w:val="18"/>
                <w:szCs w:val="18"/>
              </w:rPr>
            </w:pPr>
            <w:r w:rsidRPr="002B4632">
              <w:rPr>
                <w:sz w:val="18"/>
                <w:szCs w:val="18"/>
              </w:rPr>
              <w:t xml:space="preserve">The </w:t>
            </w:r>
            <w:r>
              <w:rPr>
                <w:sz w:val="18"/>
                <w:szCs w:val="18"/>
              </w:rPr>
              <w:t>dwelling house</w:t>
            </w:r>
            <w:r w:rsidRPr="002B4632">
              <w:rPr>
                <w:sz w:val="18"/>
                <w:szCs w:val="18"/>
              </w:rPr>
              <w:t xml:space="preserve"> is provided with and connected to essential infrastructure and services</w:t>
            </w:r>
            <w:r>
              <w:rPr>
                <w:sz w:val="18"/>
                <w:szCs w:val="18"/>
              </w:rPr>
              <w:t>, where available</w:t>
            </w:r>
            <w:r w:rsidRPr="002B4632">
              <w:rPr>
                <w:sz w:val="18"/>
                <w:szCs w:val="18"/>
              </w:rPr>
              <w:t>.</w:t>
            </w:r>
          </w:p>
        </w:tc>
        <w:tc>
          <w:tcPr>
            <w:tcW w:w="4338" w:type="dxa"/>
            <w:tcBorders>
              <w:bottom w:val="single" w:sz="4" w:space="0" w:color="auto"/>
            </w:tcBorders>
            <w:shd w:val="clear" w:color="auto" w:fill="auto"/>
          </w:tcPr>
          <w:p w14:paraId="6CFF7B89" w14:textId="77777777" w:rsidR="00597699" w:rsidRPr="001657E8" w:rsidRDefault="00597699" w:rsidP="00EA3542">
            <w:pPr>
              <w:rPr>
                <w:rFonts w:cs="Arial"/>
                <w:b/>
                <w:sz w:val="18"/>
                <w:szCs w:val="18"/>
              </w:rPr>
            </w:pPr>
            <w:r w:rsidRPr="001657E8">
              <w:rPr>
                <w:rFonts w:cs="Arial"/>
                <w:b/>
                <w:sz w:val="18"/>
                <w:szCs w:val="18"/>
              </w:rPr>
              <w:t>AO</w:t>
            </w:r>
            <w:r>
              <w:rPr>
                <w:rFonts w:cs="Arial"/>
                <w:b/>
                <w:sz w:val="18"/>
                <w:szCs w:val="18"/>
              </w:rPr>
              <w:t>10.1</w:t>
            </w:r>
          </w:p>
          <w:p w14:paraId="203317E2" w14:textId="77777777" w:rsidR="00597699" w:rsidRDefault="00597699" w:rsidP="00EA3542">
            <w:pPr>
              <w:rPr>
                <w:sz w:val="18"/>
                <w:szCs w:val="18"/>
              </w:rPr>
            </w:pPr>
            <w:r w:rsidRPr="002B4632">
              <w:rPr>
                <w:sz w:val="18"/>
                <w:szCs w:val="18"/>
              </w:rPr>
              <w:t xml:space="preserve">The </w:t>
            </w:r>
            <w:r>
              <w:rPr>
                <w:sz w:val="18"/>
                <w:szCs w:val="18"/>
              </w:rPr>
              <w:t>dwelling house</w:t>
            </w:r>
            <w:r w:rsidRPr="002B4632">
              <w:rPr>
                <w:sz w:val="18"/>
                <w:szCs w:val="18"/>
              </w:rPr>
              <w:t xml:space="preserve"> is </w:t>
            </w:r>
            <w:r>
              <w:rPr>
                <w:sz w:val="18"/>
                <w:szCs w:val="18"/>
              </w:rPr>
              <w:t xml:space="preserve">to have a single point of </w:t>
            </w:r>
            <w:r w:rsidRPr="002B4632">
              <w:rPr>
                <w:sz w:val="18"/>
                <w:szCs w:val="18"/>
              </w:rPr>
              <w:t>connect</w:t>
            </w:r>
            <w:r>
              <w:rPr>
                <w:sz w:val="18"/>
                <w:szCs w:val="18"/>
              </w:rPr>
              <w:t>ion</w:t>
            </w:r>
            <w:r w:rsidRPr="002B4632">
              <w:rPr>
                <w:sz w:val="18"/>
                <w:szCs w:val="18"/>
              </w:rPr>
              <w:t xml:space="preserve"> to the ret</w:t>
            </w:r>
            <w:r>
              <w:rPr>
                <w:sz w:val="18"/>
                <w:szCs w:val="18"/>
              </w:rPr>
              <w:t xml:space="preserve">iculated water supply, sewerage, </w:t>
            </w:r>
            <w:r w:rsidRPr="002B4632">
              <w:rPr>
                <w:sz w:val="18"/>
                <w:szCs w:val="18"/>
              </w:rPr>
              <w:t>stormwater drainage</w:t>
            </w:r>
            <w:r>
              <w:rPr>
                <w:sz w:val="18"/>
                <w:szCs w:val="18"/>
              </w:rPr>
              <w:t xml:space="preserve"> and electricity supply</w:t>
            </w:r>
            <w:r w:rsidRPr="002B4632">
              <w:rPr>
                <w:sz w:val="18"/>
                <w:szCs w:val="18"/>
              </w:rPr>
              <w:t xml:space="preserve"> infrastructure networks </w:t>
            </w:r>
            <w:r>
              <w:rPr>
                <w:sz w:val="18"/>
                <w:szCs w:val="18"/>
              </w:rPr>
              <w:t>(where available to the lot).</w:t>
            </w:r>
          </w:p>
          <w:p w14:paraId="6327ECE0" w14:textId="77777777" w:rsidR="00597699" w:rsidRDefault="00597699" w:rsidP="00EA3542">
            <w:pPr>
              <w:rPr>
                <w:sz w:val="18"/>
                <w:szCs w:val="18"/>
              </w:rPr>
            </w:pPr>
          </w:p>
          <w:p w14:paraId="0DB73AEC" w14:textId="77777777" w:rsidR="00597699" w:rsidRPr="00706698" w:rsidRDefault="00597699" w:rsidP="00EA3542">
            <w:pPr>
              <w:rPr>
                <w:b/>
                <w:sz w:val="18"/>
                <w:szCs w:val="18"/>
              </w:rPr>
            </w:pPr>
            <w:r w:rsidRPr="00706698">
              <w:rPr>
                <w:b/>
                <w:sz w:val="18"/>
                <w:szCs w:val="18"/>
              </w:rPr>
              <w:t>AO</w:t>
            </w:r>
            <w:r>
              <w:rPr>
                <w:b/>
                <w:sz w:val="18"/>
                <w:szCs w:val="18"/>
              </w:rPr>
              <w:t>10</w:t>
            </w:r>
            <w:r w:rsidRPr="00706698">
              <w:rPr>
                <w:b/>
                <w:sz w:val="18"/>
                <w:szCs w:val="18"/>
              </w:rPr>
              <w:t>.2</w:t>
            </w:r>
          </w:p>
          <w:p w14:paraId="495C38A4" w14:textId="77777777" w:rsidR="00597699" w:rsidRDefault="00597699" w:rsidP="00EA3542">
            <w:pPr>
              <w:rPr>
                <w:rFonts w:cs="Arial"/>
                <w:iCs/>
                <w:sz w:val="16"/>
                <w:szCs w:val="16"/>
              </w:rPr>
            </w:pPr>
            <w:r>
              <w:rPr>
                <w:sz w:val="18"/>
                <w:szCs w:val="18"/>
              </w:rPr>
              <w:t xml:space="preserve">Where not located in a sewered area, the dwelling house is provided with an effluent treatment and </w:t>
            </w:r>
            <w:r>
              <w:rPr>
                <w:sz w:val="18"/>
                <w:szCs w:val="18"/>
              </w:rPr>
              <w:lastRenderedPageBreak/>
              <w:t xml:space="preserve">disposal system in accordance with the </w:t>
            </w:r>
            <w:r w:rsidRPr="00FF6664">
              <w:rPr>
                <w:i/>
                <w:sz w:val="18"/>
                <w:szCs w:val="18"/>
              </w:rPr>
              <w:t xml:space="preserve">Plumbing and Drainage Act </w:t>
            </w:r>
            <w:r>
              <w:rPr>
                <w:i/>
                <w:sz w:val="18"/>
                <w:szCs w:val="18"/>
              </w:rPr>
              <w:t>2018</w:t>
            </w:r>
            <w:r>
              <w:rPr>
                <w:rFonts w:cs="Arial"/>
                <w:i/>
                <w:iCs/>
                <w:sz w:val="16"/>
                <w:szCs w:val="16"/>
              </w:rPr>
              <w:t>.</w:t>
            </w:r>
          </w:p>
          <w:p w14:paraId="71F5BB4D" w14:textId="77777777" w:rsidR="00597699" w:rsidRDefault="00597699" w:rsidP="00EA3542">
            <w:pPr>
              <w:rPr>
                <w:rFonts w:cs="Arial"/>
                <w:iCs/>
                <w:sz w:val="16"/>
                <w:szCs w:val="16"/>
              </w:rPr>
            </w:pPr>
          </w:p>
          <w:p w14:paraId="7B1F5D00" w14:textId="77777777" w:rsidR="00597699" w:rsidRPr="00772AAE" w:rsidRDefault="00597699" w:rsidP="00597699">
            <w:pPr>
              <w:keepNext/>
              <w:rPr>
                <w:rFonts w:cs="Arial"/>
                <w:b/>
                <w:iCs/>
                <w:sz w:val="18"/>
                <w:szCs w:val="18"/>
              </w:rPr>
            </w:pPr>
            <w:r>
              <w:rPr>
                <w:rFonts w:cs="Arial"/>
                <w:b/>
                <w:iCs/>
                <w:sz w:val="18"/>
                <w:szCs w:val="18"/>
              </w:rPr>
              <w:t>AO10</w:t>
            </w:r>
            <w:r w:rsidRPr="00772AAE">
              <w:rPr>
                <w:rFonts w:cs="Arial"/>
                <w:b/>
                <w:iCs/>
                <w:sz w:val="18"/>
                <w:szCs w:val="18"/>
              </w:rPr>
              <w:t>.3</w:t>
            </w:r>
          </w:p>
          <w:p w14:paraId="7D3FB5B8" w14:textId="77777777" w:rsidR="00597699" w:rsidRDefault="00597699" w:rsidP="00EA3542">
            <w:pPr>
              <w:rPr>
                <w:rFonts w:cs="Arial"/>
                <w:iCs/>
                <w:sz w:val="18"/>
                <w:szCs w:val="18"/>
              </w:rPr>
            </w:pPr>
            <w:r w:rsidRPr="00772AAE">
              <w:rPr>
                <w:rFonts w:cs="Arial"/>
                <w:iCs/>
                <w:sz w:val="18"/>
                <w:szCs w:val="18"/>
              </w:rPr>
              <w:t xml:space="preserve">Where reticulated water supply is not available to the lot, </w:t>
            </w:r>
            <w:r>
              <w:rPr>
                <w:rFonts w:cs="Arial"/>
                <w:iCs/>
                <w:sz w:val="18"/>
                <w:szCs w:val="18"/>
              </w:rPr>
              <w:t>the dwelling house</w:t>
            </w:r>
            <w:r w:rsidRPr="00772AAE">
              <w:rPr>
                <w:rFonts w:cs="Arial"/>
                <w:iCs/>
                <w:sz w:val="18"/>
                <w:szCs w:val="18"/>
              </w:rPr>
              <w:t xml:space="preserve"> is provided wi</w:t>
            </w:r>
            <w:r>
              <w:rPr>
                <w:rFonts w:cs="Arial"/>
                <w:iCs/>
                <w:sz w:val="18"/>
                <w:szCs w:val="18"/>
              </w:rPr>
              <w:t>th an alternative supply of potable water.</w:t>
            </w:r>
          </w:p>
          <w:p w14:paraId="102B4344" w14:textId="77777777" w:rsidR="00597699" w:rsidRDefault="00597699" w:rsidP="00EA3542">
            <w:pPr>
              <w:rPr>
                <w:rFonts w:cs="Arial"/>
                <w:iCs/>
                <w:sz w:val="18"/>
                <w:szCs w:val="18"/>
              </w:rPr>
            </w:pPr>
          </w:p>
          <w:p w14:paraId="66C03F13" w14:textId="77777777" w:rsidR="00597699" w:rsidRPr="00925B4A" w:rsidRDefault="00597699" w:rsidP="00EA3542">
            <w:pPr>
              <w:rPr>
                <w:sz w:val="16"/>
                <w:szCs w:val="16"/>
              </w:rPr>
            </w:pPr>
            <w:r w:rsidRPr="00925B4A">
              <w:rPr>
                <w:rFonts w:cs="Arial"/>
                <w:iCs/>
                <w:sz w:val="16"/>
                <w:szCs w:val="16"/>
              </w:rPr>
              <w:t xml:space="preserve">Editor’s note—for water supply provided via rainwater collection, a minimum 45,000 litre rainwater tank is recommended for domestic supply.  Standards Australia </w:t>
            </w:r>
            <w:r w:rsidRPr="00925B4A">
              <w:rPr>
                <w:rFonts w:cs="Arial"/>
                <w:i/>
                <w:iCs/>
                <w:sz w:val="16"/>
                <w:szCs w:val="16"/>
              </w:rPr>
              <w:t>HB230-2008 Rainwater Tank Design and Installation Handbook</w:t>
            </w:r>
            <w:r w:rsidRPr="00925B4A">
              <w:rPr>
                <w:rFonts w:cs="Arial"/>
                <w:iCs/>
                <w:sz w:val="16"/>
                <w:szCs w:val="16"/>
              </w:rPr>
              <w:t xml:space="preserve"> includes information for the collection, storage and use of rainwater for private domestic use.</w:t>
            </w:r>
          </w:p>
        </w:tc>
        <w:tc>
          <w:tcPr>
            <w:tcW w:w="5439" w:type="dxa"/>
            <w:tcBorders>
              <w:bottom w:val="single" w:sz="4" w:space="0" w:color="auto"/>
            </w:tcBorders>
          </w:tcPr>
          <w:p w14:paraId="3441087C" w14:textId="01BC0679" w:rsidR="00597699" w:rsidRPr="001657E8" w:rsidRDefault="00597699" w:rsidP="00EA3542">
            <w:pPr>
              <w:rPr>
                <w:rFonts w:cs="Arial"/>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1A114A7F" w14:textId="77777777" w:rsidR="00AD79FE" w:rsidRPr="00AD79FE" w:rsidRDefault="00AD79FE" w:rsidP="00AD79FE"/>
    <w:sectPr w:rsidR="00AD79FE"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597699">
      <w:rPr>
        <w:noProof/>
        <w:sz w:val="14"/>
      </w:rPr>
      <w:t>4</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597699">
      <w:rPr>
        <w:noProof/>
        <w:sz w:val="14"/>
      </w:rPr>
      <w:t>3</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0460" w14:textId="569F6E0D" w:rsidR="00F17CEA" w:rsidRDefault="00F17CEA" w:rsidP="00480409">
    <w:pPr>
      <w:pStyle w:val="Header"/>
      <w:tabs>
        <w:tab w:val="clear" w:pos="4153"/>
        <w:tab w:val="clear" w:pos="8306"/>
        <w:tab w:val="right" w:pos="14173"/>
      </w:tabs>
      <w:rPr>
        <w:sz w:val="14"/>
        <w:szCs w:val="14"/>
      </w:rPr>
    </w:pPr>
    <w:r>
      <w:rPr>
        <w:sz w:val="14"/>
        <w:szCs w:val="14"/>
      </w:rPr>
      <w:t>9.2  Use codes</w:t>
    </w:r>
    <w:r w:rsidR="00480409">
      <w:rPr>
        <w:sz w:val="14"/>
        <w:szCs w:val="14"/>
      </w:rPr>
      <w:tab/>
      <w:t>Editable word version</w:t>
    </w:r>
  </w:p>
  <w:p w14:paraId="33FF00DA" w14:textId="1BFFB317" w:rsidR="00F17CEA" w:rsidRPr="0076688A" w:rsidRDefault="00597699" w:rsidP="0076688A">
    <w:pPr>
      <w:rPr>
        <w:sz w:val="14"/>
        <w:szCs w:val="14"/>
      </w:rPr>
    </w:pPr>
    <w:r>
      <w:rPr>
        <w:b/>
        <w:noProof/>
        <w:sz w:val="14"/>
        <w:szCs w:val="14"/>
      </w:rPr>
      <w:t>9.2.6</w:t>
    </w:r>
    <w:r w:rsidR="005B563F" w:rsidRPr="005B563F">
      <w:rPr>
        <w:b/>
        <w:noProof/>
        <w:sz w:val="14"/>
        <w:szCs w:val="14"/>
      </w:rPr>
      <w:t xml:space="preserve"> </w:t>
    </w:r>
    <w:r w:rsidR="005B563F">
      <w:rPr>
        <w:b/>
        <w:noProof/>
        <w:sz w:val="14"/>
        <w:szCs w:val="14"/>
      </w:rPr>
      <w:t xml:space="preserve"> </w:t>
    </w:r>
    <w:r>
      <w:rPr>
        <w:b/>
        <w:noProof/>
        <w:sz w:val="14"/>
        <w:szCs w:val="14"/>
      </w:rPr>
      <w:t>Dwelling house</w:t>
    </w:r>
    <w:r w:rsidR="005B563F" w:rsidRPr="005B563F">
      <w:rPr>
        <w:b/>
        <w:noProof/>
        <w:sz w:val="14"/>
        <w:szCs w:val="14"/>
      </w:rPr>
      <w:t xml:space="preserve"> 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9.2  Use codes</w:t>
    </w:r>
  </w:p>
  <w:p w14:paraId="317B0F38" w14:textId="2B5CF884"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9.2.6</w:t>
    </w:r>
    <w:r w:rsidR="005B563F">
      <w:rPr>
        <w:b/>
        <w:noProof/>
        <w:sz w:val="14"/>
        <w:szCs w:val="14"/>
      </w:rPr>
      <w:t xml:space="preserve"> </w:t>
    </w:r>
    <w:r w:rsidR="005B563F" w:rsidRPr="005B563F">
      <w:rPr>
        <w:b/>
        <w:noProof/>
        <w:sz w:val="14"/>
        <w:szCs w:val="14"/>
      </w:rPr>
      <w:t xml:space="preserve"> </w:t>
    </w:r>
    <w:r w:rsidR="00597699">
      <w:rPr>
        <w:b/>
        <w:noProof/>
        <w:sz w:val="14"/>
        <w:szCs w:val="14"/>
      </w:rPr>
      <w:t>Dwelling house</w:t>
    </w:r>
    <w:r w:rsidR="00867839">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1EB"/>
    <w:multiLevelType w:val="hybridMultilevel"/>
    <w:tmpl w:val="CF12718C"/>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A366EF"/>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F0148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8">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8E1D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6172A3"/>
    <w:multiLevelType w:val="multilevel"/>
    <w:tmpl w:val="DC50824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5314B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6040F00"/>
    <w:multiLevelType w:val="hybridMultilevel"/>
    <w:tmpl w:val="410A84F6"/>
    <w:lvl w:ilvl="0" w:tplc="57969CE2">
      <w:start w:val="1"/>
      <w:numFmt w:val="lowerLetter"/>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4">
    <w:nsid w:val="26D3335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7051CF3"/>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86E3B8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E84D8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3D8345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7932FA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79B7156"/>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1E9565A"/>
    <w:multiLevelType w:val="multilevel"/>
    <w:tmpl w:val="3D184830"/>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lowerRoman"/>
      <w:lvlText w:val="(%2)"/>
      <w:lvlJc w:val="left"/>
      <w:pPr>
        <w:tabs>
          <w:tab w:val="num" w:pos="1080"/>
        </w:tabs>
        <w:ind w:left="1080" w:hanging="360"/>
      </w:pPr>
      <w:rPr>
        <w:rFonts w:ascii="Arial" w:hAnsi="Arial" w:hint="default"/>
        <w:b w:val="0"/>
        <w:i w:val="0"/>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2835783"/>
    <w:multiLevelType w:val="hybridMultilevel"/>
    <w:tmpl w:val="CF12718C"/>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95A4F52"/>
    <w:multiLevelType w:val="hybridMultilevel"/>
    <w:tmpl w:val="30767E2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BF006B2"/>
    <w:multiLevelType w:val="hybridMultilevel"/>
    <w:tmpl w:val="2EBA16B2"/>
    <w:lvl w:ilvl="0" w:tplc="57969CE2">
      <w:start w:val="1"/>
      <w:numFmt w:val="lowerLetter"/>
      <w:lvlText w:val="(%1)"/>
      <w:lvlJc w:val="left"/>
      <w:pPr>
        <w:ind w:left="720" w:hanging="360"/>
      </w:pPr>
      <w:rPr>
        <w:rFonts w:hint="default"/>
      </w:rPr>
    </w:lvl>
    <w:lvl w:ilvl="1" w:tplc="A904A9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8767AE"/>
    <w:multiLevelType w:val="hybridMultilevel"/>
    <w:tmpl w:val="BBDEC26E"/>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33C5CEC"/>
    <w:multiLevelType w:val="hybridMultilevel"/>
    <w:tmpl w:val="1AC8E12C"/>
    <w:lvl w:ilvl="0" w:tplc="BB16E29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4E70F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990229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9204A98"/>
    <w:multiLevelType w:val="hybridMultilevel"/>
    <w:tmpl w:val="FBF46B7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5">
    <w:nsid w:val="69570F8A"/>
    <w:multiLevelType w:val="hybridMultilevel"/>
    <w:tmpl w:val="CF12718C"/>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DD71283"/>
    <w:multiLevelType w:val="multilevel"/>
    <w:tmpl w:val="2DAEB1E8"/>
    <w:lvl w:ilvl="0">
      <w:start w:val="1"/>
      <w:numFmt w:val="lowerRoman"/>
      <w:lvlText w:val="(%1)"/>
      <w:lvlJc w:val="left"/>
      <w:pPr>
        <w:tabs>
          <w:tab w:val="num" w:pos="360"/>
        </w:tabs>
        <w:ind w:left="360" w:hanging="360"/>
      </w:pPr>
      <w:rPr>
        <w:rFonts w:ascii="Arial" w:hAnsi="Arial" w:hint="default"/>
        <w:b w:val="0"/>
        <w:i w:val="0"/>
        <w:sz w:val="18"/>
        <w:szCs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E2F4C2B"/>
    <w:multiLevelType w:val="hybridMultilevel"/>
    <w:tmpl w:val="CB46E400"/>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E602E10"/>
    <w:multiLevelType w:val="hybridMultilevel"/>
    <w:tmpl w:val="CF12718C"/>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FEA46BD"/>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32D49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1">
    <w:nsid w:val="75DE0A4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77820C82"/>
    <w:multiLevelType w:val="hybridMultilevel"/>
    <w:tmpl w:val="CF12718C"/>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90D4B8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94F2811"/>
    <w:multiLevelType w:val="hybridMultilevel"/>
    <w:tmpl w:val="BBDEC26E"/>
    <w:lvl w:ilvl="0" w:tplc="5F9C5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abstractNum w:abstractNumId="47">
    <w:nsid w:val="7C081D7D"/>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27"/>
  </w:num>
  <w:num w:numId="3">
    <w:abstractNumId w:val="10"/>
  </w:num>
  <w:num w:numId="4">
    <w:abstractNumId w:val="19"/>
  </w:num>
  <w:num w:numId="5">
    <w:abstractNumId w:val="18"/>
  </w:num>
  <w:num w:numId="6">
    <w:abstractNumId w:val="6"/>
  </w:num>
  <w:num w:numId="7">
    <w:abstractNumId w:val="42"/>
  </w:num>
  <w:num w:numId="8">
    <w:abstractNumId w:val="2"/>
  </w:num>
  <w:num w:numId="9">
    <w:abstractNumId w:val="7"/>
  </w:num>
  <w:num w:numId="10">
    <w:abstractNumId w:val="20"/>
  </w:num>
  <w:num w:numId="11">
    <w:abstractNumId w:val="33"/>
  </w:num>
  <w:num w:numId="12">
    <w:abstractNumId w:val="1"/>
  </w:num>
  <w:num w:numId="13">
    <w:abstractNumId w:val="46"/>
  </w:num>
  <w:num w:numId="14">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9"/>
    </w:lvlOverride>
    <w:lvlOverride w:ilvl="1">
      <w:startOverride w:val="2"/>
    </w:lvlOverride>
    <w:lvlOverride w:ilvl="2">
      <w:startOverride w:val="3"/>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40"/>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2"/>
  </w:num>
  <w:num w:numId="27">
    <w:abstractNumId w:val="21"/>
  </w:num>
  <w:num w:numId="28">
    <w:abstractNumId w:val="23"/>
  </w:num>
  <w:num w:numId="29">
    <w:abstractNumId w:val="31"/>
  </w:num>
  <w:num w:numId="30">
    <w:abstractNumId w:val="37"/>
  </w:num>
  <w:num w:numId="31">
    <w:abstractNumId w:val="14"/>
  </w:num>
  <w:num w:numId="32">
    <w:abstractNumId w:val="47"/>
  </w:num>
  <w:num w:numId="33">
    <w:abstractNumId w:val="36"/>
  </w:num>
  <w:num w:numId="34">
    <w:abstractNumId w:val="5"/>
  </w:num>
  <w:num w:numId="35">
    <w:abstractNumId w:val="32"/>
  </w:num>
  <w:num w:numId="36">
    <w:abstractNumId w:val="30"/>
  </w:num>
  <w:num w:numId="37">
    <w:abstractNumId w:val="24"/>
  </w:num>
  <w:num w:numId="38">
    <w:abstractNumId w:val="13"/>
  </w:num>
  <w:num w:numId="39">
    <w:abstractNumId w:val="39"/>
  </w:num>
  <w:num w:numId="40">
    <w:abstractNumId w:val="16"/>
  </w:num>
  <w:num w:numId="41">
    <w:abstractNumId w:val="35"/>
  </w:num>
  <w:num w:numId="42">
    <w:abstractNumId w:val="29"/>
  </w:num>
  <w:num w:numId="43">
    <w:abstractNumId w:val="0"/>
  </w:num>
  <w:num w:numId="44">
    <w:abstractNumId w:val="25"/>
  </w:num>
  <w:num w:numId="45">
    <w:abstractNumId w:val="43"/>
  </w:num>
  <w:num w:numId="46">
    <w:abstractNumId w:val="38"/>
  </w:num>
  <w:num w:numId="47">
    <w:abstractNumId w:val="34"/>
  </w:num>
  <w:num w:numId="48">
    <w:abstractNumId w:val="28"/>
  </w:num>
  <w:num w:numId="49">
    <w:abstractNumId w:val="26"/>
  </w:num>
  <w:num w:numId="50">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5017"/>
    <w:rsid w:val="00AC6DC6"/>
    <w:rsid w:val="00AD2172"/>
    <w:rsid w:val="00AD22C5"/>
    <w:rsid w:val="00AD3425"/>
    <w:rsid w:val="00AD4506"/>
    <w:rsid w:val="00AD79FE"/>
    <w:rsid w:val="00AD7F81"/>
    <w:rsid w:val="00AE24C5"/>
    <w:rsid w:val="00AE3079"/>
    <w:rsid w:val="00AE34D0"/>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8842AC86-2E1D-42FA-8722-A1D25BBB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10085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12045</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2020-02-06T23:43:00Z</dcterms:created>
  <dcterms:modified xsi:type="dcterms:W3CDTF">2020-02-06T23:43:00Z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