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3F4EC" w14:textId="77777777" w:rsidR="00AD79FE" w:rsidRPr="00AD79FE" w:rsidRDefault="00AD79FE" w:rsidP="00AD79FE">
      <w:pPr>
        <w:pStyle w:val="ListParagraph"/>
        <w:keepNext/>
        <w:numPr>
          <w:ilvl w:val="0"/>
          <w:numId w:val="13"/>
        </w:numPr>
        <w:spacing w:before="100" w:after="200"/>
        <w:contextualSpacing w:val="0"/>
        <w:outlineLvl w:val="0"/>
        <w:rPr>
          <w:rFonts w:cs="Arial"/>
          <w:b/>
          <w:bCs/>
          <w:vanish/>
          <w:kern w:val="32"/>
          <w:sz w:val="32"/>
          <w:szCs w:val="32"/>
        </w:rPr>
      </w:pPr>
      <w:bookmarkStart w:id="0" w:name="_Toc30080850"/>
    </w:p>
    <w:p w14:paraId="2B1ADC8D" w14:textId="77777777" w:rsidR="00AD79FE" w:rsidRPr="00AD79FE" w:rsidRDefault="00AD79FE" w:rsidP="00AD79FE">
      <w:pPr>
        <w:pStyle w:val="ListParagraph"/>
        <w:keepNext/>
        <w:numPr>
          <w:ilvl w:val="1"/>
          <w:numId w:val="13"/>
        </w:numPr>
        <w:spacing w:before="100" w:after="200"/>
        <w:contextualSpacing w:val="0"/>
        <w:outlineLvl w:val="1"/>
        <w:rPr>
          <w:rFonts w:cs="Arial"/>
          <w:b/>
          <w:bCs/>
          <w:iCs/>
          <w:vanish/>
          <w:sz w:val="28"/>
          <w:szCs w:val="28"/>
        </w:rPr>
      </w:pPr>
    </w:p>
    <w:p w14:paraId="5231E23A" w14:textId="77777777" w:rsidR="00AD79FE" w:rsidRPr="00AD79FE" w:rsidRDefault="00AD79FE" w:rsidP="00AD79FE">
      <w:pPr>
        <w:pStyle w:val="ListParagraph"/>
        <w:keepNext/>
        <w:numPr>
          <w:ilvl w:val="1"/>
          <w:numId w:val="13"/>
        </w:numPr>
        <w:spacing w:before="100" w:after="200"/>
        <w:contextualSpacing w:val="0"/>
        <w:outlineLvl w:val="1"/>
        <w:rPr>
          <w:rFonts w:cs="Arial"/>
          <w:b/>
          <w:bCs/>
          <w:iCs/>
          <w:vanish/>
          <w:sz w:val="28"/>
          <w:szCs w:val="28"/>
        </w:rPr>
      </w:pPr>
    </w:p>
    <w:p w14:paraId="06466116" w14:textId="77777777" w:rsidR="00AD79FE" w:rsidRPr="00AD79FE" w:rsidRDefault="00AD79FE" w:rsidP="00AD79FE">
      <w:pPr>
        <w:pStyle w:val="ListParagraph"/>
        <w:keepNext/>
        <w:numPr>
          <w:ilvl w:val="2"/>
          <w:numId w:val="13"/>
        </w:numPr>
        <w:spacing w:before="100" w:after="200"/>
        <w:contextualSpacing w:val="0"/>
        <w:outlineLvl w:val="2"/>
        <w:rPr>
          <w:b/>
          <w:bCs/>
          <w:vanish/>
          <w:sz w:val="24"/>
          <w:szCs w:val="26"/>
        </w:rPr>
      </w:pPr>
    </w:p>
    <w:p w14:paraId="1242D249" w14:textId="77777777" w:rsidR="00AD79FE" w:rsidRPr="00AD79FE" w:rsidRDefault="00AD79FE" w:rsidP="00AD79FE">
      <w:pPr>
        <w:pStyle w:val="ListParagraph"/>
        <w:keepNext/>
        <w:numPr>
          <w:ilvl w:val="2"/>
          <w:numId w:val="13"/>
        </w:numPr>
        <w:spacing w:before="100" w:after="200"/>
        <w:contextualSpacing w:val="0"/>
        <w:outlineLvl w:val="2"/>
        <w:rPr>
          <w:b/>
          <w:bCs/>
          <w:vanish/>
          <w:sz w:val="24"/>
          <w:szCs w:val="26"/>
        </w:rPr>
      </w:pPr>
    </w:p>
    <w:p w14:paraId="4F9014E5" w14:textId="77777777" w:rsidR="00AD79FE" w:rsidRPr="00AD79FE" w:rsidRDefault="00AD79FE" w:rsidP="00AD79FE">
      <w:pPr>
        <w:pStyle w:val="ListParagraph"/>
        <w:keepNext/>
        <w:numPr>
          <w:ilvl w:val="2"/>
          <w:numId w:val="13"/>
        </w:numPr>
        <w:spacing w:before="100" w:after="200"/>
        <w:contextualSpacing w:val="0"/>
        <w:outlineLvl w:val="2"/>
        <w:rPr>
          <w:b/>
          <w:bCs/>
          <w:vanish/>
          <w:sz w:val="24"/>
          <w:szCs w:val="26"/>
        </w:rPr>
      </w:pPr>
    </w:p>
    <w:p w14:paraId="10D5FCC8" w14:textId="2889F531" w:rsidR="00AD79FE" w:rsidRDefault="00AD79FE" w:rsidP="00AD79FE">
      <w:pPr>
        <w:pStyle w:val="Heading3"/>
      </w:pPr>
      <w:r>
        <w:t>Dual occupancy code</w:t>
      </w:r>
      <w:bookmarkEnd w:id="0"/>
    </w:p>
    <w:p w14:paraId="7C4F33A2" w14:textId="77777777" w:rsidR="00AD79FE" w:rsidRDefault="00AD79FE" w:rsidP="00AD79FE">
      <w:pPr>
        <w:pStyle w:val="Heading4"/>
        <w:ind w:right="5951"/>
      </w:pPr>
      <w:r>
        <w:t>Application</w:t>
      </w:r>
    </w:p>
    <w:p w14:paraId="057CC9C9" w14:textId="77777777" w:rsidR="00AD79FE" w:rsidRPr="00D74980" w:rsidRDefault="00AD79FE" w:rsidP="00AD79FE">
      <w:pPr>
        <w:ind w:right="5951"/>
        <w:rPr>
          <w:sz w:val="18"/>
          <w:szCs w:val="18"/>
        </w:rPr>
      </w:pPr>
      <w:r w:rsidRPr="00D74980">
        <w:rPr>
          <w:sz w:val="18"/>
          <w:szCs w:val="18"/>
        </w:rPr>
        <w:t>This code applies to development</w:t>
      </w:r>
      <w:r>
        <w:rPr>
          <w:sz w:val="18"/>
          <w:szCs w:val="18"/>
        </w:rPr>
        <w:t xml:space="preserve"> </w:t>
      </w:r>
      <w:r w:rsidRPr="00D74980">
        <w:rPr>
          <w:sz w:val="18"/>
          <w:szCs w:val="18"/>
        </w:rPr>
        <w:t xml:space="preserve">identified as requiring assessment against the Dual occupancy code by the tables of assessment in </w:t>
      </w:r>
      <w:r w:rsidRPr="00D74980">
        <w:rPr>
          <w:b/>
          <w:sz w:val="18"/>
          <w:szCs w:val="18"/>
        </w:rPr>
        <w:t>Part 5 (Tables of assessment)</w:t>
      </w:r>
      <w:r w:rsidRPr="00D74980">
        <w:rPr>
          <w:sz w:val="18"/>
          <w:szCs w:val="18"/>
        </w:rPr>
        <w:t>.</w:t>
      </w:r>
    </w:p>
    <w:p w14:paraId="1F55E848" w14:textId="77777777" w:rsidR="00AD79FE" w:rsidRPr="00D74980" w:rsidRDefault="00AD79FE" w:rsidP="00AD79FE">
      <w:pPr>
        <w:pStyle w:val="ListParagraph"/>
        <w:ind w:right="5951"/>
        <w:rPr>
          <w:sz w:val="18"/>
          <w:szCs w:val="18"/>
        </w:rPr>
      </w:pPr>
    </w:p>
    <w:p w14:paraId="3DBCD7D7" w14:textId="77777777" w:rsidR="00AD79FE" w:rsidRPr="00EC4D9A" w:rsidRDefault="00AD79FE" w:rsidP="00AD79FE">
      <w:pPr>
        <w:ind w:right="5951"/>
        <w:rPr>
          <w:sz w:val="16"/>
          <w:szCs w:val="16"/>
        </w:rPr>
      </w:pPr>
      <w:r>
        <w:rPr>
          <w:sz w:val="16"/>
          <w:szCs w:val="16"/>
        </w:rPr>
        <w:t>Note—</w:t>
      </w:r>
      <w:r w:rsidRPr="00EC4D9A">
        <w:rPr>
          <w:sz w:val="16"/>
          <w:szCs w:val="16"/>
        </w:rPr>
        <w:t>this code does not apply to a dual occupancy which may be established as par</w:t>
      </w:r>
      <w:r>
        <w:rPr>
          <w:sz w:val="16"/>
          <w:szCs w:val="16"/>
        </w:rPr>
        <w:t>t of a mixed use building.</w:t>
      </w:r>
    </w:p>
    <w:p w14:paraId="10B12A1A" w14:textId="77777777" w:rsidR="00AD79FE" w:rsidRPr="00D74980" w:rsidRDefault="00AD79FE" w:rsidP="00AD79FE">
      <w:pPr>
        <w:ind w:right="5951"/>
        <w:rPr>
          <w:sz w:val="18"/>
          <w:szCs w:val="18"/>
        </w:rPr>
      </w:pPr>
    </w:p>
    <w:p w14:paraId="77A8D67F" w14:textId="77777777" w:rsidR="00AD79FE" w:rsidRDefault="00AD79FE" w:rsidP="00AD79FE">
      <w:pPr>
        <w:pStyle w:val="Heading4"/>
        <w:ind w:right="5951"/>
      </w:pPr>
      <w:r>
        <w:t>Purpose and overall outcomes</w:t>
      </w:r>
    </w:p>
    <w:p w14:paraId="2339C90A" w14:textId="77777777" w:rsidR="00AD79FE" w:rsidRPr="00D74980" w:rsidRDefault="00AD79FE" w:rsidP="00AD79FE">
      <w:pPr>
        <w:numPr>
          <w:ilvl w:val="0"/>
          <w:numId w:val="24"/>
        </w:numPr>
        <w:ind w:right="5951"/>
        <w:rPr>
          <w:sz w:val="18"/>
          <w:szCs w:val="18"/>
        </w:rPr>
      </w:pPr>
      <w:r w:rsidRPr="00D74980">
        <w:rPr>
          <w:sz w:val="18"/>
          <w:szCs w:val="18"/>
        </w:rPr>
        <w:t>The purpose of the Dual occupancy code is to ensure that development involving a dual occupancy achieves a high level of comfort and amenity for occupants, maintains the amenity and enjoyment of neighbouring premises and is compatible with the character of the streetscape and surrounding area.</w:t>
      </w:r>
    </w:p>
    <w:p w14:paraId="7AE244B1" w14:textId="77777777" w:rsidR="00AD79FE" w:rsidRPr="00D74980" w:rsidRDefault="00AD79FE" w:rsidP="00AD79FE">
      <w:pPr>
        <w:ind w:right="5951"/>
        <w:rPr>
          <w:sz w:val="18"/>
          <w:szCs w:val="18"/>
        </w:rPr>
      </w:pPr>
    </w:p>
    <w:p w14:paraId="5572461E" w14:textId="77777777" w:rsidR="00AD79FE" w:rsidRPr="00D74980" w:rsidRDefault="00AD79FE" w:rsidP="00AD79FE">
      <w:pPr>
        <w:numPr>
          <w:ilvl w:val="0"/>
          <w:numId w:val="24"/>
        </w:numPr>
        <w:ind w:right="5951"/>
        <w:rPr>
          <w:sz w:val="18"/>
          <w:szCs w:val="18"/>
        </w:rPr>
      </w:pPr>
      <w:r w:rsidRPr="00D74980">
        <w:rPr>
          <w:sz w:val="18"/>
          <w:szCs w:val="18"/>
        </w:rPr>
        <w:t>The purpose of the Dual occupancy code will be achieved through the following overall outcomes:-</w:t>
      </w:r>
    </w:p>
    <w:p w14:paraId="1BF8C4A4" w14:textId="77777777" w:rsidR="00AD79FE" w:rsidRPr="00D74980" w:rsidRDefault="00AD79FE" w:rsidP="00AD79FE">
      <w:pPr>
        <w:ind w:right="5951"/>
        <w:rPr>
          <w:sz w:val="18"/>
          <w:szCs w:val="18"/>
        </w:rPr>
      </w:pPr>
      <w:bookmarkStart w:id="1" w:name="_GoBack"/>
      <w:bookmarkEnd w:id="1"/>
    </w:p>
    <w:p w14:paraId="319C95F4" w14:textId="77777777" w:rsidR="00AD79FE" w:rsidRPr="00D74980" w:rsidRDefault="00AD79FE" w:rsidP="00AD79FE">
      <w:pPr>
        <w:numPr>
          <w:ilvl w:val="1"/>
          <w:numId w:val="24"/>
        </w:numPr>
        <w:ind w:right="5951"/>
        <w:rPr>
          <w:sz w:val="18"/>
          <w:szCs w:val="18"/>
        </w:rPr>
      </w:pPr>
      <w:r w:rsidRPr="00D74980">
        <w:rPr>
          <w:sz w:val="18"/>
          <w:szCs w:val="18"/>
        </w:rPr>
        <w:t>a dual occupancy makes a positive contribution to the streetscape character of the area in which it is located;</w:t>
      </w:r>
    </w:p>
    <w:p w14:paraId="5F318B54" w14:textId="77777777" w:rsidR="00AD79FE" w:rsidRPr="00D74980" w:rsidRDefault="00AD79FE" w:rsidP="00AD79FE">
      <w:pPr>
        <w:ind w:left="1134" w:right="5951"/>
        <w:rPr>
          <w:sz w:val="18"/>
          <w:szCs w:val="18"/>
        </w:rPr>
      </w:pPr>
    </w:p>
    <w:p w14:paraId="0ABAFF9E" w14:textId="77777777" w:rsidR="00AD79FE" w:rsidRPr="00D74980" w:rsidRDefault="00AD79FE" w:rsidP="00AD79FE">
      <w:pPr>
        <w:numPr>
          <w:ilvl w:val="1"/>
          <w:numId w:val="24"/>
        </w:numPr>
        <w:ind w:right="5951"/>
        <w:rPr>
          <w:sz w:val="18"/>
          <w:szCs w:val="18"/>
        </w:rPr>
      </w:pPr>
      <w:r w:rsidRPr="00D74980">
        <w:rPr>
          <w:sz w:val="18"/>
          <w:szCs w:val="18"/>
        </w:rPr>
        <w:t>a dual occupancy is sited and designed to protect the amenity, privacy and access to sunlight of adjoining residential premises;</w:t>
      </w:r>
    </w:p>
    <w:p w14:paraId="42ED0BAB" w14:textId="77777777" w:rsidR="00AD79FE" w:rsidRPr="00D74980" w:rsidRDefault="00AD79FE" w:rsidP="00AD79FE">
      <w:pPr>
        <w:ind w:right="5951"/>
        <w:rPr>
          <w:sz w:val="18"/>
          <w:szCs w:val="18"/>
        </w:rPr>
      </w:pPr>
    </w:p>
    <w:p w14:paraId="1AE56C99" w14:textId="77777777" w:rsidR="00AD79FE" w:rsidRPr="00D74980" w:rsidRDefault="00AD79FE" w:rsidP="00AD79FE">
      <w:pPr>
        <w:numPr>
          <w:ilvl w:val="1"/>
          <w:numId w:val="24"/>
        </w:numPr>
        <w:ind w:right="5951"/>
        <w:rPr>
          <w:sz w:val="18"/>
          <w:szCs w:val="18"/>
        </w:rPr>
      </w:pPr>
      <w:r w:rsidRPr="00D74980">
        <w:rPr>
          <w:sz w:val="18"/>
          <w:szCs w:val="18"/>
        </w:rPr>
        <w:t>a dual occupancy provides a high level of amenity and safety for residents of the dual occupancy;</w:t>
      </w:r>
      <w:r>
        <w:rPr>
          <w:sz w:val="18"/>
          <w:szCs w:val="18"/>
        </w:rPr>
        <w:t xml:space="preserve"> and</w:t>
      </w:r>
    </w:p>
    <w:p w14:paraId="6E83FC60" w14:textId="77777777" w:rsidR="00AD79FE" w:rsidRPr="00D74980" w:rsidRDefault="00AD79FE" w:rsidP="00AD79FE">
      <w:pPr>
        <w:ind w:right="5951"/>
        <w:rPr>
          <w:sz w:val="18"/>
          <w:szCs w:val="18"/>
        </w:rPr>
      </w:pPr>
    </w:p>
    <w:p w14:paraId="5875E410" w14:textId="77777777" w:rsidR="00AD79FE" w:rsidRPr="00D74980" w:rsidRDefault="00AD79FE" w:rsidP="00AD79FE">
      <w:pPr>
        <w:numPr>
          <w:ilvl w:val="1"/>
          <w:numId w:val="24"/>
        </w:numPr>
        <w:ind w:right="5951"/>
        <w:rPr>
          <w:sz w:val="18"/>
          <w:szCs w:val="18"/>
        </w:rPr>
      </w:pPr>
      <w:proofErr w:type="gramStart"/>
      <w:r w:rsidRPr="00D74980">
        <w:rPr>
          <w:sz w:val="18"/>
          <w:szCs w:val="18"/>
        </w:rPr>
        <w:t>a</w:t>
      </w:r>
      <w:proofErr w:type="gramEnd"/>
      <w:r w:rsidRPr="00D74980">
        <w:rPr>
          <w:sz w:val="18"/>
          <w:szCs w:val="18"/>
        </w:rPr>
        <w:t xml:space="preserve"> dual occupancy is provided with an acceptable level of infrastructure and services.</w:t>
      </w:r>
    </w:p>
    <w:p w14:paraId="3DBB16F3" w14:textId="77777777" w:rsidR="00AD79FE" w:rsidRPr="00D74980" w:rsidRDefault="00AD79FE" w:rsidP="00AD79FE">
      <w:pPr>
        <w:ind w:right="5951"/>
        <w:rPr>
          <w:sz w:val="18"/>
          <w:szCs w:val="18"/>
        </w:rPr>
      </w:pPr>
    </w:p>
    <w:p w14:paraId="4D6C39A6" w14:textId="77777777" w:rsidR="00AD79FE" w:rsidRPr="008E04FE" w:rsidRDefault="00AD79FE" w:rsidP="00AD79FE">
      <w:pPr>
        <w:pStyle w:val="Heading4"/>
        <w:ind w:right="5951"/>
      </w:pPr>
      <w:r>
        <w:t>Specific benchmarks for assessment</w:t>
      </w:r>
    </w:p>
    <w:p w14:paraId="4BEC792F" w14:textId="77777777" w:rsidR="00AD79FE" w:rsidRDefault="00AD79FE" w:rsidP="00AD79FE">
      <w:pPr>
        <w:pStyle w:val="Heading7"/>
        <w:ind w:right="5951"/>
      </w:pPr>
      <w:bookmarkStart w:id="2" w:name="_Toc30080878"/>
      <w:r w:rsidRPr="00470A87">
        <w:t>Requirements for development accepted subject to requirements and benchmarks for assessable development</w:t>
      </w:r>
      <w:bookmarkEnd w:id="2"/>
      <w:r w:rsidRPr="00470A87">
        <w:t xml:space="preserve"> </w:t>
      </w:r>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253"/>
        <w:gridCol w:w="4252"/>
        <w:gridCol w:w="5439"/>
      </w:tblGrid>
      <w:tr w:rsidR="00AD79FE" w:rsidRPr="00FD1AF3" w14:paraId="43F6AAF0" w14:textId="33ED84FA" w:rsidTr="00AD79FE">
        <w:trPr>
          <w:tblHeader/>
        </w:trPr>
        <w:tc>
          <w:tcPr>
            <w:tcW w:w="4253" w:type="dxa"/>
            <w:tcBorders>
              <w:bottom w:val="single" w:sz="4" w:space="0" w:color="auto"/>
            </w:tcBorders>
            <w:shd w:val="clear" w:color="auto" w:fill="000000"/>
          </w:tcPr>
          <w:p w14:paraId="38CB5DAA" w14:textId="77777777" w:rsidR="00AD79FE" w:rsidRPr="00FD1AF3" w:rsidRDefault="00AD79FE" w:rsidP="00EA3542">
            <w:pPr>
              <w:rPr>
                <w:b/>
                <w:sz w:val="18"/>
                <w:szCs w:val="18"/>
              </w:rPr>
            </w:pPr>
            <w:r w:rsidRPr="00FD1AF3">
              <w:rPr>
                <w:b/>
                <w:sz w:val="18"/>
                <w:szCs w:val="18"/>
              </w:rPr>
              <w:t xml:space="preserve">Performance </w:t>
            </w:r>
            <w:r>
              <w:rPr>
                <w:b/>
                <w:sz w:val="18"/>
                <w:szCs w:val="18"/>
              </w:rPr>
              <w:t>o</w:t>
            </w:r>
            <w:r w:rsidRPr="00FD1AF3">
              <w:rPr>
                <w:b/>
                <w:sz w:val="18"/>
                <w:szCs w:val="18"/>
              </w:rPr>
              <w:t>utcomes</w:t>
            </w:r>
          </w:p>
        </w:tc>
        <w:tc>
          <w:tcPr>
            <w:tcW w:w="4252" w:type="dxa"/>
            <w:tcBorders>
              <w:bottom w:val="single" w:sz="4" w:space="0" w:color="auto"/>
            </w:tcBorders>
            <w:shd w:val="clear" w:color="auto" w:fill="000000"/>
          </w:tcPr>
          <w:p w14:paraId="6CD50A3D" w14:textId="77777777" w:rsidR="00AD79FE" w:rsidRPr="00FD1AF3" w:rsidRDefault="00AD79FE" w:rsidP="00EA3542">
            <w:pPr>
              <w:rPr>
                <w:b/>
                <w:sz w:val="18"/>
                <w:szCs w:val="18"/>
              </w:rPr>
            </w:pPr>
            <w:r w:rsidRPr="00FD1AF3">
              <w:rPr>
                <w:b/>
                <w:sz w:val="18"/>
                <w:szCs w:val="18"/>
              </w:rPr>
              <w:t xml:space="preserve">Acceptable </w:t>
            </w:r>
            <w:r>
              <w:rPr>
                <w:b/>
                <w:sz w:val="18"/>
                <w:szCs w:val="18"/>
              </w:rPr>
              <w:t>o</w:t>
            </w:r>
            <w:r w:rsidRPr="00FD1AF3">
              <w:rPr>
                <w:b/>
                <w:sz w:val="18"/>
                <w:szCs w:val="18"/>
              </w:rPr>
              <w:t>utcomes</w:t>
            </w:r>
          </w:p>
        </w:tc>
        <w:tc>
          <w:tcPr>
            <w:tcW w:w="5439" w:type="dxa"/>
            <w:tcBorders>
              <w:bottom w:val="single" w:sz="4" w:space="0" w:color="auto"/>
            </w:tcBorders>
            <w:shd w:val="clear" w:color="auto" w:fill="000000"/>
          </w:tcPr>
          <w:p w14:paraId="3A133CF1" w14:textId="47B03408" w:rsidR="00AD79FE" w:rsidRPr="00FD1AF3" w:rsidRDefault="00AD79FE" w:rsidP="00EA3542">
            <w:pPr>
              <w:rPr>
                <w:b/>
                <w:sz w:val="18"/>
                <w:szCs w:val="18"/>
              </w:rPr>
            </w:pPr>
            <w:r w:rsidRPr="00C50906">
              <w:rPr>
                <w:rFonts w:cs="Arial"/>
                <w:b/>
                <w:sz w:val="18"/>
                <w:szCs w:val="18"/>
              </w:rPr>
              <w:t>Compliance / Representations</w:t>
            </w:r>
          </w:p>
        </w:tc>
      </w:tr>
      <w:tr w:rsidR="00AD79FE" w:rsidRPr="00FD1AF3" w14:paraId="0AC370C9" w14:textId="0F15C664" w:rsidTr="00AD79FE">
        <w:tc>
          <w:tcPr>
            <w:tcW w:w="8505" w:type="dxa"/>
            <w:gridSpan w:val="2"/>
            <w:shd w:val="clear" w:color="auto" w:fill="D9D9D9"/>
          </w:tcPr>
          <w:p w14:paraId="69089EDD" w14:textId="77777777" w:rsidR="00AD79FE" w:rsidRPr="00FD1AF3" w:rsidRDefault="00AD79FE" w:rsidP="00EA3542">
            <w:pPr>
              <w:rPr>
                <w:b/>
                <w:i/>
                <w:sz w:val="18"/>
                <w:szCs w:val="18"/>
              </w:rPr>
            </w:pPr>
            <w:r>
              <w:rPr>
                <w:rFonts w:cs="Arial"/>
                <w:b/>
                <w:bCs/>
                <w:i/>
                <w:iCs/>
                <w:sz w:val="18"/>
                <w:szCs w:val="18"/>
              </w:rPr>
              <w:t>Site suitability</w:t>
            </w:r>
          </w:p>
        </w:tc>
        <w:tc>
          <w:tcPr>
            <w:tcW w:w="5439" w:type="dxa"/>
            <w:shd w:val="clear" w:color="auto" w:fill="D9D9D9"/>
          </w:tcPr>
          <w:p w14:paraId="51689FD4" w14:textId="77777777" w:rsidR="00AD79FE" w:rsidRDefault="00AD79FE" w:rsidP="00EA3542">
            <w:pPr>
              <w:rPr>
                <w:rFonts w:cs="Arial"/>
                <w:b/>
                <w:bCs/>
                <w:i/>
                <w:iCs/>
                <w:sz w:val="18"/>
                <w:szCs w:val="18"/>
              </w:rPr>
            </w:pPr>
          </w:p>
        </w:tc>
      </w:tr>
      <w:tr w:rsidR="00AD79FE" w:rsidRPr="00FD1AF3" w14:paraId="665FB40A" w14:textId="35C85604" w:rsidTr="00AD79FE">
        <w:tc>
          <w:tcPr>
            <w:tcW w:w="4253" w:type="dxa"/>
            <w:shd w:val="clear" w:color="auto" w:fill="auto"/>
          </w:tcPr>
          <w:p w14:paraId="06CA8319" w14:textId="77777777" w:rsidR="00AD79FE" w:rsidRPr="00FD1AF3" w:rsidRDefault="00AD79FE" w:rsidP="00EA3542">
            <w:pPr>
              <w:rPr>
                <w:b/>
                <w:bCs/>
                <w:sz w:val="18"/>
              </w:rPr>
            </w:pPr>
            <w:r w:rsidRPr="00FD1AF3">
              <w:rPr>
                <w:b/>
                <w:bCs/>
                <w:sz w:val="18"/>
              </w:rPr>
              <w:t>PO1</w:t>
            </w:r>
          </w:p>
          <w:p w14:paraId="221412C7" w14:textId="77777777" w:rsidR="00AD79FE" w:rsidRPr="004B7B34" w:rsidRDefault="00AD79FE" w:rsidP="00EA3542">
            <w:pPr>
              <w:rPr>
                <w:rFonts w:cs="Arial"/>
                <w:sz w:val="18"/>
                <w:szCs w:val="18"/>
              </w:rPr>
            </w:pPr>
            <w:r w:rsidRPr="004B7B34">
              <w:rPr>
                <w:rFonts w:cs="Arial"/>
                <w:sz w:val="18"/>
                <w:szCs w:val="18"/>
              </w:rPr>
              <w:t xml:space="preserve">The dual occupancy is located on a site which is situated within a low or medium density residential area and has sufficient area to accommodate the dual occupancy and associated access, parking, </w:t>
            </w:r>
            <w:r w:rsidRPr="004B7B34">
              <w:rPr>
                <w:rFonts w:cs="Arial"/>
                <w:sz w:val="18"/>
                <w:szCs w:val="18"/>
              </w:rPr>
              <w:lastRenderedPageBreak/>
              <w:t>landscaping, servicing, effluent disposal and setback requirements.</w:t>
            </w:r>
          </w:p>
        </w:tc>
        <w:tc>
          <w:tcPr>
            <w:tcW w:w="4252" w:type="dxa"/>
            <w:shd w:val="clear" w:color="auto" w:fill="auto"/>
          </w:tcPr>
          <w:p w14:paraId="772114B6" w14:textId="77777777" w:rsidR="00AD79FE" w:rsidRPr="00FD1AF3" w:rsidRDefault="00AD79FE" w:rsidP="00EA3542">
            <w:pPr>
              <w:rPr>
                <w:b/>
                <w:bCs/>
                <w:sz w:val="18"/>
              </w:rPr>
            </w:pPr>
            <w:r w:rsidRPr="00FD1AF3">
              <w:rPr>
                <w:b/>
                <w:bCs/>
                <w:sz w:val="18"/>
              </w:rPr>
              <w:lastRenderedPageBreak/>
              <w:t>AO1</w:t>
            </w:r>
          </w:p>
          <w:p w14:paraId="4B2481B4" w14:textId="77777777" w:rsidR="00AD79FE" w:rsidRDefault="00AD79FE" w:rsidP="00EA3542">
            <w:pPr>
              <w:rPr>
                <w:sz w:val="18"/>
                <w:szCs w:val="18"/>
              </w:rPr>
            </w:pPr>
            <w:r>
              <w:rPr>
                <w:sz w:val="18"/>
                <w:szCs w:val="18"/>
              </w:rPr>
              <w:t xml:space="preserve">Where in a </w:t>
            </w:r>
            <w:proofErr w:type="spellStart"/>
            <w:r>
              <w:rPr>
                <w:sz w:val="18"/>
                <w:szCs w:val="18"/>
              </w:rPr>
              <w:t>sewered</w:t>
            </w:r>
            <w:proofErr w:type="spellEnd"/>
            <w:r>
              <w:rPr>
                <w:sz w:val="18"/>
                <w:szCs w:val="18"/>
              </w:rPr>
              <w:t xml:space="preserve"> area, the dual occupancy is located on a lot:-</w:t>
            </w:r>
          </w:p>
          <w:p w14:paraId="5290AC55" w14:textId="77777777" w:rsidR="00AD79FE" w:rsidRDefault="00AD79FE" w:rsidP="00AD79FE">
            <w:pPr>
              <w:numPr>
                <w:ilvl w:val="0"/>
                <w:numId w:val="28"/>
              </w:numPr>
              <w:tabs>
                <w:tab w:val="num" w:pos="3600"/>
              </w:tabs>
              <w:rPr>
                <w:sz w:val="18"/>
                <w:szCs w:val="18"/>
              </w:rPr>
            </w:pPr>
            <w:r>
              <w:rPr>
                <w:sz w:val="18"/>
                <w:szCs w:val="18"/>
              </w:rPr>
              <w:t>in the Medium density residential zone; or</w:t>
            </w:r>
          </w:p>
          <w:p w14:paraId="13301FD5" w14:textId="77777777" w:rsidR="00AD79FE" w:rsidRDefault="00AD79FE" w:rsidP="00AD79FE">
            <w:pPr>
              <w:numPr>
                <w:ilvl w:val="0"/>
                <w:numId w:val="28"/>
              </w:numPr>
              <w:tabs>
                <w:tab w:val="num" w:pos="3600"/>
              </w:tabs>
              <w:rPr>
                <w:sz w:val="18"/>
                <w:szCs w:val="18"/>
              </w:rPr>
            </w:pPr>
            <w:proofErr w:type="gramStart"/>
            <w:r w:rsidRPr="00FD1AF3">
              <w:rPr>
                <w:rFonts w:cs="Arial"/>
                <w:sz w:val="18"/>
                <w:szCs w:val="18"/>
              </w:rPr>
              <w:t>in</w:t>
            </w:r>
            <w:proofErr w:type="gramEnd"/>
            <w:r w:rsidRPr="00FD1AF3">
              <w:rPr>
                <w:rFonts w:cs="Arial"/>
                <w:sz w:val="18"/>
                <w:szCs w:val="18"/>
              </w:rPr>
              <w:t xml:space="preserve"> the Low density residential zone which</w:t>
            </w:r>
            <w:r>
              <w:rPr>
                <w:rFonts w:cs="Arial"/>
                <w:sz w:val="18"/>
                <w:szCs w:val="18"/>
              </w:rPr>
              <w:t xml:space="preserve"> </w:t>
            </w:r>
            <w:r w:rsidRPr="00FD1AF3">
              <w:rPr>
                <w:rFonts w:cs="Arial"/>
                <w:sz w:val="18"/>
                <w:szCs w:val="18"/>
              </w:rPr>
              <w:t>has a minimum area of 800m²</w:t>
            </w:r>
            <w:r>
              <w:rPr>
                <w:rFonts w:cs="Arial"/>
                <w:sz w:val="18"/>
                <w:szCs w:val="18"/>
              </w:rPr>
              <w:t>.</w:t>
            </w:r>
          </w:p>
          <w:p w14:paraId="3841F7E2" w14:textId="77777777" w:rsidR="00AD79FE" w:rsidRDefault="00AD79FE" w:rsidP="00EA3542">
            <w:pPr>
              <w:rPr>
                <w:rFonts w:cs="Arial"/>
                <w:sz w:val="18"/>
                <w:szCs w:val="18"/>
              </w:rPr>
            </w:pPr>
          </w:p>
          <w:p w14:paraId="55CF7A35" w14:textId="77777777" w:rsidR="00AD79FE" w:rsidRPr="00B24DA2" w:rsidRDefault="00AD79FE" w:rsidP="00EA3542">
            <w:pPr>
              <w:rPr>
                <w:rFonts w:cs="Arial"/>
                <w:b/>
                <w:sz w:val="18"/>
                <w:szCs w:val="18"/>
              </w:rPr>
            </w:pPr>
            <w:r w:rsidRPr="00B24DA2">
              <w:rPr>
                <w:rFonts w:cs="Arial"/>
                <w:b/>
                <w:sz w:val="18"/>
                <w:szCs w:val="18"/>
              </w:rPr>
              <w:t>OR</w:t>
            </w:r>
          </w:p>
          <w:p w14:paraId="13902CAE" w14:textId="77777777" w:rsidR="00AD79FE" w:rsidRDefault="00AD79FE" w:rsidP="00EA3542">
            <w:pPr>
              <w:rPr>
                <w:rFonts w:cs="Arial"/>
                <w:sz w:val="18"/>
                <w:szCs w:val="18"/>
              </w:rPr>
            </w:pPr>
          </w:p>
          <w:p w14:paraId="1D0ED87E" w14:textId="77777777" w:rsidR="00AD79FE" w:rsidRDefault="00AD79FE" w:rsidP="00EA3542">
            <w:pPr>
              <w:rPr>
                <w:sz w:val="18"/>
                <w:szCs w:val="18"/>
              </w:rPr>
            </w:pPr>
            <w:r>
              <w:rPr>
                <w:rFonts w:cs="Arial"/>
                <w:sz w:val="18"/>
                <w:szCs w:val="18"/>
              </w:rPr>
              <w:t xml:space="preserve">Where not located in a </w:t>
            </w:r>
            <w:proofErr w:type="spellStart"/>
            <w:r>
              <w:rPr>
                <w:rFonts w:cs="Arial"/>
                <w:sz w:val="18"/>
                <w:szCs w:val="18"/>
              </w:rPr>
              <w:t>sewered</w:t>
            </w:r>
            <w:proofErr w:type="spellEnd"/>
            <w:r>
              <w:rPr>
                <w:rFonts w:cs="Arial"/>
                <w:sz w:val="18"/>
                <w:szCs w:val="18"/>
              </w:rPr>
              <w:t xml:space="preserve"> area, the dual occupancy is located on a lot:</w:t>
            </w:r>
            <w:r>
              <w:rPr>
                <w:sz w:val="18"/>
                <w:szCs w:val="18"/>
              </w:rPr>
              <w:t>-</w:t>
            </w:r>
          </w:p>
          <w:p w14:paraId="5D9425F9" w14:textId="77777777" w:rsidR="00AD79FE" w:rsidRDefault="00AD79FE" w:rsidP="00AD79FE">
            <w:pPr>
              <w:numPr>
                <w:ilvl w:val="0"/>
                <w:numId w:val="32"/>
              </w:numPr>
              <w:tabs>
                <w:tab w:val="num" w:pos="3600"/>
              </w:tabs>
              <w:rPr>
                <w:rFonts w:cs="Arial"/>
                <w:sz w:val="18"/>
                <w:szCs w:val="18"/>
              </w:rPr>
            </w:pPr>
            <w:r>
              <w:rPr>
                <w:sz w:val="18"/>
                <w:szCs w:val="18"/>
              </w:rPr>
              <w:t>in the Medium density residential zone</w:t>
            </w:r>
            <w:r>
              <w:rPr>
                <w:rFonts w:cs="Arial"/>
                <w:sz w:val="18"/>
                <w:szCs w:val="18"/>
              </w:rPr>
              <w:t xml:space="preserve"> or Low density residential zone; and</w:t>
            </w:r>
          </w:p>
          <w:p w14:paraId="1781B73F" w14:textId="77777777" w:rsidR="00AD79FE" w:rsidRPr="00754F48" w:rsidRDefault="00AD79FE" w:rsidP="00AD79FE">
            <w:pPr>
              <w:numPr>
                <w:ilvl w:val="0"/>
                <w:numId w:val="32"/>
              </w:numPr>
              <w:tabs>
                <w:tab w:val="num" w:pos="3600"/>
              </w:tabs>
              <w:rPr>
                <w:rFonts w:cs="Arial"/>
                <w:sz w:val="18"/>
                <w:szCs w:val="18"/>
              </w:rPr>
            </w:pPr>
            <w:proofErr w:type="gramStart"/>
            <w:r>
              <w:rPr>
                <w:rFonts w:cs="Arial"/>
                <w:sz w:val="18"/>
                <w:szCs w:val="18"/>
              </w:rPr>
              <w:t>which</w:t>
            </w:r>
            <w:proofErr w:type="gramEnd"/>
            <w:r>
              <w:rPr>
                <w:rFonts w:cs="Arial"/>
                <w:sz w:val="18"/>
                <w:szCs w:val="18"/>
              </w:rPr>
              <w:t xml:space="preserve"> has a minimum area of 2,000m</w:t>
            </w:r>
            <w:r w:rsidRPr="00B24DA2">
              <w:rPr>
                <w:rFonts w:cs="Arial"/>
                <w:sz w:val="18"/>
                <w:szCs w:val="18"/>
                <w:vertAlign w:val="superscript"/>
              </w:rPr>
              <w:t>2</w:t>
            </w:r>
            <w:r>
              <w:rPr>
                <w:rFonts w:cs="Arial"/>
                <w:sz w:val="18"/>
                <w:szCs w:val="18"/>
              </w:rPr>
              <w:t xml:space="preserve">. </w:t>
            </w:r>
          </w:p>
        </w:tc>
        <w:tc>
          <w:tcPr>
            <w:tcW w:w="5439" w:type="dxa"/>
          </w:tcPr>
          <w:p w14:paraId="6198B4AA" w14:textId="0BD5CBF2" w:rsidR="00AD79FE" w:rsidRPr="00FD1AF3" w:rsidRDefault="00AD79FE" w:rsidP="00EA3542">
            <w:pPr>
              <w:rPr>
                <w:b/>
                <w:bCs/>
                <w:sz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D79FE" w:rsidRPr="00FD1AF3" w14:paraId="5B1B985D" w14:textId="3A57B619" w:rsidTr="00AD79FE">
        <w:tc>
          <w:tcPr>
            <w:tcW w:w="4253" w:type="dxa"/>
            <w:shd w:val="clear" w:color="auto" w:fill="auto"/>
          </w:tcPr>
          <w:p w14:paraId="008AE0C4" w14:textId="77777777" w:rsidR="00AD79FE" w:rsidRDefault="00AD79FE" w:rsidP="00EA3542">
            <w:pPr>
              <w:rPr>
                <w:b/>
                <w:bCs/>
                <w:sz w:val="18"/>
              </w:rPr>
            </w:pPr>
            <w:r>
              <w:rPr>
                <w:b/>
                <w:bCs/>
                <w:sz w:val="18"/>
              </w:rPr>
              <w:lastRenderedPageBreak/>
              <w:t>PO2</w:t>
            </w:r>
          </w:p>
          <w:p w14:paraId="6ADD7FB7" w14:textId="77777777" w:rsidR="00AD79FE" w:rsidRPr="00F667E4" w:rsidRDefault="00AD79FE" w:rsidP="00EA3542">
            <w:pPr>
              <w:rPr>
                <w:bCs/>
                <w:sz w:val="18"/>
              </w:rPr>
            </w:pPr>
            <w:r>
              <w:rPr>
                <w:bCs/>
                <w:sz w:val="18"/>
              </w:rPr>
              <w:t>Where located in a low density residential area, the dual occupancy provides an attractive and open development that maintains the low density residential amenity and character of the surrounding area.</w:t>
            </w:r>
          </w:p>
        </w:tc>
        <w:tc>
          <w:tcPr>
            <w:tcW w:w="4252" w:type="dxa"/>
            <w:shd w:val="clear" w:color="auto" w:fill="auto"/>
          </w:tcPr>
          <w:p w14:paraId="4E797861" w14:textId="77777777" w:rsidR="00AD79FE" w:rsidRDefault="00AD79FE" w:rsidP="00EA3542">
            <w:pPr>
              <w:rPr>
                <w:b/>
                <w:bCs/>
                <w:sz w:val="18"/>
              </w:rPr>
            </w:pPr>
            <w:r>
              <w:rPr>
                <w:b/>
                <w:bCs/>
                <w:sz w:val="18"/>
              </w:rPr>
              <w:t>AO2</w:t>
            </w:r>
          </w:p>
          <w:p w14:paraId="250C1202" w14:textId="77777777" w:rsidR="00AD79FE" w:rsidRPr="00640F90" w:rsidRDefault="00AD79FE" w:rsidP="00EA3542">
            <w:pPr>
              <w:rPr>
                <w:bCs/>
                <w:sz w:val="18"/>
              </w:rPr>
            </w:pPr>
            <w:r>
              <w:rPr>
                <w:bCs/>
                <w:sz w:val="18"/>
              </w:rPr>
              <w:t>Where in the Low density residential zone, the development provides for a net residential density of not more than 25 dwellings per hectare.</w:t>
            </w:r>
          </w:p>
        </w:tc>
        <w:tc>
          <w:tcPr>
            <w:tcW w:w="5439" w:type="dxa"/>
          </w:tcPr>
          <w:p w14:paraId="51F1BCD7" w14:textId="50881431" w:rsidR="00AD79FE" w:rsidRDefault="00AD79FE" w:rsidP="00EA3542">
            <w:pPr>
              <w:rPr>
                <w:b/>
                <w:bCs/>
                <w:sz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3E44A10A" w14:textId="41E66331" w:rsidTr="00AD79FE">
        <w:tc>
          <w:tcPr>
            <w:tcW w:w="8505" w:type="dxa"/>
            <w:gridSpan w:val="2"/>
            <w:shd w:val="clear" w:color="auto" w:fill="D9D9D9"/>
          </w:tcPr>
          <w:p w14:paraId="4CB1061F" w14:textId="77777777" w:rsidR="00AD79FE" w:rsidRPr="007B77F8" w:rsidRDefault="00AD79FE" w:rsidP="00EA3542">
            <w:pPr>
              <w:rPr>
                <w:rFonts w:cs="Arial"/>
                <w:b/>
                <w:i/>
                <w:sz w:val="18"/>
                <w:szCs w:val="18"/>
              </w:rPr>
            </w:pPr>
            <w:r w:rsidRPr="007B77F8">
              <w:rPr>
                <w:rFonts w:cs="Arial"/>
                <w:b/>
                <w:i/>
                <w:sz w:val="18"/>
                <w:szCs w:val="18"/>
              </w:rPr>
              <w:t>Site cover</w:t>
            </w:r>
          </w:p>
        </w:tc>
        <w:tc>
          <w:tcPr>
            <w:tcW w:w="5439" w:type="dxa"/>
            <w:shd w:val="clear" w:color="auto" w:fill="D9D9D9"/>
          </w:tcPr>
          <w:p w14:paraId="3E781589" w14:textId="77777777" w:rsidR="00AD79FE" w:rsidRPr="007B77F8" w:rsidRDefault="00AD79FE" w:rsidP="00EA3542">
            <w:pPr>
              <w:rPr>
                <w:rFonts w:cs="Arial"/>
                <w:b/>
                <w:i/>
                <w:sz w:val="18"/>
                <w:szCs w:val="18"/>
              </w:rPr>
            </w:pPr>
          </w:p>
        </w:tc>
      </w:tr>
      <w:tr w:rsidR="00AD79FE" w:rsidRPr="00FD1AF3" w14:paraId="4D42FE83" w14:textId="1FDEEE3B" w:rsidTr="00AD79FE">
        <w:tc>
          <w:tcPr>
            <w:tcW w:w="4253" w:type="dxa"/>
            <w:shd w:val="clear" w:color="auto" w:fill="auto"/>
          </w:tcPr>
          <w:p w14:paraId="69E2C4F0" w14:textId="77777777" w:rsidR="00AD79FE" w:rsidRPr="00FD1AF3" w:rsidRDefault="00AD79FE" w:rsidP="00EA3542">
            <w:pPr>
              <w:rPr>
                <w:b/>
                <w:bCs/>
                <w:sz w:val="18"/>
              </w:rPr>
            </w:pPr>
            <w:r>
              <w:rPr>
                <w:b/>
                <w:bCs/>
                <w:sz w:val="18"/>
              </w:rPr>
              <w:t>PO3</w:t>
            </w:r>
          </w:p>
          <w:p w14:paraId="3BAA0FE4" w14:textId="77777777" w:rsidR="00AD79FE" w:rsidRDefault="00AD79FE" w:rsidP="00EA3542">
            <w:pPr>
              <w:rPr>
                <w:rFonts w:cs="Arial"/>
                <w:sz w:val="18"/>
                <w:szCs w:val="18"/>
              </w:rPr>
            </w:pPr>
            <w:r>
              <w:rPr>
                <w:rFonts w:cs="Arial"/>
                <w:sz w:val="18"/>
                <w:szCs w:val="18"/>
              </w:rPr>
              <w:t>The dual occupancy and any associated buildings or structures:-</w:t>
            </w:r>
          </w:p>
          <w:p w14:paraId="06307C77" w14:textId="77777777" w:rsidR="00AD79FE" w:rsidRDefault="00AD79FE" w:rsidP="00AD79FE">
            <w:pPr>
              <w:numPr>
                <w:ilvl w:val="0"/>
                <w:numId w:val="25"/>
              </w:numPr>
              <w:tabs>
                <w:tab w:val="clear" w:pos="360"/>
              </w:tabs>
              <w:rPr>
                <w:rFonts w:cs="Arial"/>
                <w:sz w:val="18"/>
                <w:szCs w:val="18"/>
              </w:rPr>
            </w:pPr>
            <w:r>
              <w:rPr>
                <w:rFonts w:cs="Arial"/>
                <w:sz w:val="18"/>
                <w:szCs w:val="18"/>
              </w:rPr>
              <w:t>are of a scale that is compatible with surrounding development;</w:t>
            </w:r>
          </w:p>
          <w:p w14:paraId="0D23A485" w14:textId="77777777" w:rsidR="00AD79FE" w:rsidRDefault="00AD79FE" w:rsidP="00AD79FE">
            <w:pPr>
              <w:numPr>
                <w:ilvl w:val="0"/>
                <w:numId w:val="25"/>
              </w:numPr>
              <w:tabs>
                <w:tab w:val="clear" w:pos="360"/>
              </w:tabs>
              <w:rPr>
                <w:rFonts w:cs="Arial"/>
                <w:sz w:val="18"/>
                <w:szCs w:val="18"/>
              </w:rPr>
            </w:pPr>
            <w:r>
              <w:rPr>
                <w:rFonts w:cs="Arial"/>
                <w:sz w:val="18"/>
                <w:szCs w:val="18"/>
              </w:rPr>
              <w:t>do not present the appearance of bulk to adjacent premises or other areas in the vicinity of the site; and</w:t>
            </w:r>
          </w:p>
          <w:p w14:paraId="2B6B3A24" w14:textId="77777777" w:rsidR="00AD79FE" w:rsidRDefault="00AD79FE" w:rsidP="00AD79FE">
            <w:pPr>
              <w:numPr>
                <w:ilvl w:val="0"/>
                <w:numId w:val="25"/>
              </w:numPr>
              <w:tabs>
                <w:tab w:val="clear" w:pos="360"/>
              </w:tabs>
              <w:rPr>
                <w:rFonts w:cs="Arial"/>
                <w:sz w:val="18"/>
                <w:szCs w:val="18"/>
              </w:rPr>
            </w:pPr>
            <w:r>
              <w:rPr>
                <w:rFonts w:cs="Arial"/>
                <w:sz w:val="18"/>
                <w:szCs w:val="18"/>
              </w:rPr>
              <w:t xml:space="preserve">maximise opportunities for the retention of existing vegetation; and </w:t>
            </w:r>
          </w:p>
          <w:p w14:paraId="4BA236EB" w14:textId="77777777" w:rsidR="00AD79FE" w:rsidRPr="007B77F8" w:rsidRDefault="00AD79FE" w:rsidP="00AD79FE">
            <w:pPr>
              <w:numPr>
                <w:ilvl w:val="0"/>
                <w:numId w:val="25"/>
              </w:numPr>
              <w:tabs>
                <w:tab w:val="clear" w:pos="360"/>
              </w:tabs>
              <w:rPr>
                <w:rFonts w:cs="Arial"/>
                <w:sz w:val="18"/>
                <w:szCs w:val="18"/>
              </w:rPr>
            </w:pPr>
            <w:proofErr w:type="gramStart"/>
            <w:r>
              <w:rPr>
                <w:rFonts w:cs="Arial"/>
                <w:sz w:val="18"/>
                <w:szCs w:val="18"/>
              </w:rPr>
              <w:t>retain</w:t>
            </w:r>
            <w:proofErr w:type="gramEnd"/>
            <w:r>
              <w:rPr>
                <w:rFonts w:cs="Arial"/>
                <w:sz w:val="18"/>
                <w:szCs w:val="18"/>
              </w:rPr>
              <w:t xml:space="preserve"> sufficient area to accommodate soft landscaping, outdoor recreation and other site facilities, on-site stormwater management and vehicle access and manoeuvring. </w:t>
            </w:r>
          </w:p>
        </w:tc>
        <w:tc>
          <w:tcPr>
            <w:tcW w:w="4252" w:type="dxa"/>
            <w:shd w:val="clear" w:color="auto" w:fill="auto"/>
          </w:tcPr>
          <w:p w14:paraId="2921A5EC" w14:textId="77777777" w:rsidR="00AD79FE" w:rsidRPr="00FD1AF3" w:rsidRDefault="00AD79FE" w:rsidP="00EA3542">
            <w:pPr>
              <w:rPr>
                <w:b/>
                <w:bCs/>
                <w:sz w:val="18"/>
              </w:rPr>
            </w:pPr>
            <w:r>
              <w:rPr>
                <w:b/>
                <w:bCs/>
                <w:sz w:val="18"/>
              </w:rPr>
              <w:t>AO3</w:t>
            </w:r>
          </w:p>
          <w:p w14:paraId="0AE70C54" w14:textId="77777777" w:rsidR="00AD79FE" w:rsidRPr="00FD1AF3" w:rsidRDefault="00AD79FE" w:rsidP="00EA3542">
            <w:pPr>
              <w:rPr>
                <w:rFonts w:cs="Arial"/>
                <w:sz w:val="18"/>
                <w:szCs w:val="18"/>
              </w:rPr>
            </w:pPr>
            <w:r>
              <w:rPr>
                <w:rFonts w:cs="Arial"/>
                <w:sz w:val="18"/>
                <w:szCs w:val="18"/>
              </w:rPr>
              <w:t>The site cover of the dual occupancy, inclusive of any associated garage, carport or shed, does not exceed 50%.</w:t>
            </w:r>
          </w:p>
          <w:p w14:paraId="5CD0B1D4" w14:textId="77777777" w:rsidR="00AD79FE" w:rsidRPr="00FD1AF3" w:rsidRDefault="00AD79FE" w:rsidP="00EA3542">
            <w:pPr>
              <w:rPr>
                <w:rFonts w:cs="Arial"/>
                <w:sz w:val="18"/>
                <w:szCs w:val="18"/>
              </w:rPr>
            </w:pPr>
          </w:p>
        </w:tc>
        <w:tc>
          <w:tcPr>
            <w:tcW w:w="5439" w:type="dxa"/>
          </w:tcPr>
          <w:p w14:paraId="46660F85" w14:textId="0F7B77BE" w:rsidR="00AD79FE" w:rsidRDefault="00AD79FE" w:rsidP="00EA3542">
            <w:pPr>
              <w:rPr>
                <w:b/>
                <w:bCs/>
                <w:sz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69626999" w14:textId="546E4319" w:rsidTr="00AD79FE">
        <w:tc>
          <w:tcPr>
            <w:tcW w:w="8505" w:type="dxa"/>
            <w:gridSpan w:val="2"/>
            <w:shd w:val="clear" w:color="auto" w:fill="D9D9D9"/>
          </w:tcPr>
          <w:p w14:paraId="1E2AC208" w14:textId="77777777" w:rsidR="00AD79FE" w:rsidRPr="00CC632D" w:rsidRDefault="00AD79FE" w:rsidP="00EA3542">
            <w:pPr>
              <w:keepNext/>
              <w:rPr>
                <w:rFonts w:cs="Arial"/>
                <w:b/>
                <w:i/>
                <w:sz w:val="18"/>
                <w:szCs w:val="18"/>
              </w:rPr>
            </w:pPr>
            <w:r w:rsidRPr="00CC632D">
              <w:rPr>
                <w:rFonts w:cs="Arial"/>
                <w:b/>
                <w:i/>
                <w:sz w:val="18"/>
                <w:szCs w:val="18"/>
              </w:rPr>
              <w:t>Building height</w:t>
            </w:r>
          </w:p>
        </w:tc>
        <w:tc>
          <w:tcPr>
            <w:tcW w:w="5439" w:type="dxa"/>
            <w:shd w:val="clear" w:color="auto" w:fill="D9D9D9"/>
          </w:tcPr>
          <w:p w14:paraId="2510F17F" w14:textId="77777777" w:rsidR="00AD79FE" w:rsidRPr="00CC632D" w:rsidRDefault="00AD79FE" w:rsidP="00EA3542">
            <w:pPr>
              <w:keepNext/>
              <w:rPr>
                <w:rFonts w:cs="Arial"/>
                <w:b/>
                <w:i/>
                <w:sz w:val="18"/>
                <w:szCs w:val="18"/>
              </w:rPr>
            </w:pPr>
          </w:p>
        </w:tc>
      </w:tr>
      <w:tr w:rsidR="00AD79FE" w:rsidRPr="00FD1AF3" w14:paraId="20E6936F" w14:textId="160D5FB1" w:rsidTr="00AD79FE">
        <w:tc>
          <w:tcPr>
            <w:tcW w:w="4253" w:type="dxa"/>
            <w:shd w:val="clear" w:color="auto" w:fill="auto"/>
          </w:tcPr>
          <w:p w14:paraId="7F79F15D" w14:textId="77777777" w:rsidR="00AD79FE" w:rsidRPr="00FD1AF3" w:rsidRDefault="00AD79FE" w:rsidP="00EA3542">
            <w:pPr>
              <w:rPr>
                <w:b/>
                <w:sz w:val="18"/>
                <w:szCs w:val="18"/>
              </w:rPr>
            </w:pPr>
            <w:r>
              <w:rPr>
                <w:b/>
                <w:sz w:val="18"/>
                <w:szCs w:val="18"/>
              </w:rPr>
              <w:t>PO4</w:t>
            </w:r>
          </w:p>
          <w:p w14:paraId="042D7460" w14:textId="77777777" w:rsidR="00AD79FE" w:rsidRDefault="00AD79FE" w:rsidP="00EA3542">
            <w:pPr>
              <w:rPr>
                <w:sz w:val="18"/>
                <w:szCs w:val="18"/>
              </w:rPr>
            </w:pPr>
            <w:r>
              <w:rPr>
                <w:sz w:val="18"/>
                <w:szCs w:val="18"/>
              </w:rPr>
              <w:t>The height of the dual occupancy and associated buildings and structures is consistent with the preferred character of a local area and does not adversely impact on the amenity of adjoining premises having regard to:-</w:t>
            </w:r>
          </w:p>
          <w:p w14:paraId="5ED63674" w14:textId="77777777" w:rsidR="00AD79FE" w:rsidRDefault="00AD79FE" w:rsidP="00AD79FE">
            <w:pPr>
              <w:numPr>
                <w:ilvl w:val="0"/>
                <w:numId w:val="26"/>
              </w:numPr>
              <w:rPr>
                <w:sz w:val="18"/>
                <w:szCs w:val="18"/>
              </w:rPr>
            </w:pPr>
            <w:r>
              <w:rPr>
                <w:sz w:val="18"/>
                <w:szCs w:val="18"/>
              </w:rPr>
              <w:t>overshadowing;</w:t>
            </w:r>
          </w:p>
          <w:p w14:paraId="5AF3E717" w14:textId="77777777" w:rsidR="00AD79FE" w:rsidRDefault="00AD79FE" w:rsidP="00AD79FE">
            <w:pPr>
              <w:numPr>
                <w:ilvl w:val="0"/>
                <w:numId w:val="26"/>
              </w:numPr>
              <w:rPr>
                <w:sz w:val="18"/>
                <w:szCs w:val="18"/>
              </w:rPr>
            </w:pPr>
            <w:r>
              <w:rPr>
                <w:sz w:val="18"/>
                <w:szCs w:val="18"/>
              </w:rPr>
              <w:t>privacy and overlooking;</w:t>
            </w:r>
          </w:p>
          <w:p w14:paraId="59F54D39" w14:textId="77777777" w:rsidR="00AD79FE" w:rsidRDefault="00AD79FE" w:rsidP="00AD79FE">
            <w:pPr>
              <w:numPr>
                <w:ilvl w:val="0"/>
                <w:numId w:val="26"/>
              </w:numPr>
              <w:rPr>
                <w:sz w:val="18"/>
                <w:szCs w:val="18"/>
              </w:rPr>
            </w:pPr>
            <w:r>
              <w:rPr>
                <w:sz w:val="18"/>
                <w:szCs w:val="18"/>
              </w:rPr>
              <w:t>views and vistas;</w:t>
            </w:r>
          </w:p>
          <w:p w14:paraId="32A064D1" w14:textId="77777777" w:rsidR="00AD79FE" w:rsidRDefault="00AD79FE" w:rsidP="00AD79FE">
            <w:pPr>
              <w:numPr>
                <w:ilvl w:val="0"/>
                <w:numId w:val="26"/>
              </w:numPr>
              <w:rPr>
                <w:sz w:val="18"/>
                <w:szCs w:val="18"/>
              </w:rPr>
            </w:pPr>
            <w:r>
              <w:rPr>
                <w:sz w:val="18"/>
                <w:szCs w:val="18"/>
              </w:rPr>
              <w:t>building appearance; and</w:t>
            </w:r>
          </w:p>
          <w:p w14:paraId="4E4868FC" w14:textId="77777777" w:rsidR="00AD79FE" w:rsidRDefault="00AD79FE" w:rsidP="00AD79FE">
            <w:pPr>
              <w:numPr>
                <w:ilvl w:val="0"/>
                <w:numId w:val="26"/>
              </w:numPr>
              <w:rPr>
                <w:sz w:val="18"/>
                <w:szCs w:val="18"/>
              </w:rPr>
            </w:pPr>
            <w:proofErr w:type="gramStart"/>
            <w:r>
              <w:rPr>
                <w:sz w:val="18"/>
                <w:szCs w:val="18"/>
              </w:rPr>
              <w:t>building</w:t>
            </w:r>
            <w:proofErr w:type="gramEnd"/>
            <w:r>
              <w:rPr>
                <w:sz w:val="18"/>
                <w:szCs w:val="18"/>
              </w:rPr>
              <w:t xml:space="preserve"> massing and scale as seen from neighbouring premises. </w:t>
            </w:r>
          </w:p>
        </w:tc>
        <w:tc>
          <w:tcPr>
            <w:tcW w:w="4252" w:type="dxa"/>
            <w:shd w:val="clear" w:color="auto" w:fill="auto"/>
          </w:tcPr>
          <w:p w14:paraId="4AF07B31" w14:textId="77777777" w:rsidR="00AD79FE" w:rsidRPr="00FD1AF3" w:rsidRDefault="00AD79FE" w:rsidP="00EA3542">
            <w:pPr>
              <w:rPr>
                <w:b/>
                <w:sz w:val="18"/>
                <w:szCs w:val="18"/>
              </w:rPr>
            </w:pPr>
            <w:r>
              <w:rPr>
                <w:b/>
                <w:sz w:val="18"/>
                <w:szCs w:val="18"/>
              </w:rPr>
              <w:t>AO4.1</w:t>
            </w:r>
          </w:p>
          <w:p w14:paraId="06B2D302" w14:textId="77777777" w:rsidR="00AD79FE" w:rsidRDefault="00AD79FE" w:rsidP="00EA3542">
            <w:pPr>
              <w:rPr>
                <w:sz w:val="18"/>
                <w:szCs w:val="18"/>
              </w:rPr>
            </w:pPr>
            <w:r>
              <w:rPr>
                <w:sz w:val="18"/>
                <w:szCs w:val="18"/>
              </w:rPr>
              <w:t>The dual occupancy does not exceed a maximum height of 2 storeys and 8.5m.</w:t>
            </w:r>
          </w:p>
          <w:p w14:paraId="15559CCA" w14:textId="77777777" w:rsidR="00AD79FE" w:rsidRDefault="00AD79FE" w:rsidP="00EA3542">
            <w:pPr>
              <w:rPr>
                <w:sz w:val="18"/>
                <w:szCs w:val="18"/>
              </w:rPr>
            </w:pPr>
          </w:p>
          <w:p w14:paraId="106CB98B" w14:textId="77777777" w:rsidR="00AD79FE" w:rsidRPr="00706698" w:rsidRDefault="00AD79FE" w:rsidP="00EA3542">
            <w:pPr>
              <w:rPr>
                <w:b/>
                <w:sz w:val="18"/>
                <w:szCs w:val="18"/>
              </w:rPr>
            </w:pPr>
            <w:r w:rsidRPr="00706698">
              <w:rPr>
                <w:b/>
                <w:sz w:val="18"/>
                <w:szCs w:val="18"/>
              </w:rPr>
              <w:t>AO</w:t>
            </w:r>
            <w:r>
              <w:rPr>
                <w:b/>
                <w:sz w:val="18"/>
                <w:szCs w:val="18"/>
              </w:rPr>
              <w:t>4</w:t>
            </w:r>
            <w:r w:rsidRPr="00706698">
              <w:rPr>
                <w:b/>
                <w:sz w:val="18"/>
                <w:szCs w:val="18"/>
              </w:rPr>
              <w:t>.2</w:t>
            </w:r>
          </w:p>
          <w:p w14:paraId="3616B9E7" w14:textId="77777777" w:rsidR="00AD79FE" w:rsidRDefault="00AD79FE" w:rsidP="00EA3542">
            <w:pPr>
              <w:rPr>
                <w:sz w:val="18"/>
                <w:szCs w:val="18"/>
              </w:rPr>
            </w:pPr>
            <w:r>
              <w:rPr>
                <w:sz w:val="18"/>
                <w:szCs w:val="18"/>
              </w:rPr>
              <w:t xml:space="preserve">Any garage, carport or shed does not exceed a maximum height of 4.2m. </w:t>
            </w:r>
          </w:p>
        </w:tc>
        <w:tc>
          <w:tcPr>
            <w:tcW w:w="5439" w:type="dxa"/>
          </w:tcPr>
          <w:p w14:paraId="1A1CD8E1" w14:textId="0EAD62A2" w:rsidR="00AD79FE" w:rsidRDefault="00AD79FE"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0E439C27" w14:textId="5FB8DF77" w:rsidTr="00AD79FE">
        <w:tc>
          <w:tcPr>
            <w:tcW w:w="8505" w:type="dxa"/>
            <w:gridSpan w:val="2"/>
            <w:shd w:val="clear" w:color="auto" w:fill="D9D9D9"/>
          </w:tcPr>
          <w:p w14:paraId="48B2CBDC" w14:textId="77777777" w:rsidR="00AD79FE" w:rsidRPr="00FD1AF3" w:rsidRDefault="00AD79FE" w:rsidP="00AD79FE">
            <w:pPr>
              <w:keepNext/>
              <w:rPr>
                <w:b/>
                <w:i/>
                <w:sz w:val="18"/>
                <w:szCs w:val="18"/>
              </w:rPr>
            </w:pPr>
            <w:r>
              <w:rPr>
                <w:rFonts w:cs="Arial"/>
                <w:b/>
                <w:bCs/>
                <w:i/>
                <w:iCs/>
                <w:sz w:val="18"/>
                <w:szCs w:val="18"/>
              </w:rPr>
              <w:lastRenderedPageBreak/>
              <w:t>Design and siting</w:t>
            </w:r>
          </w:p>
        </w:tc>
        <w:tc>
          <w:tcPr>
            <w:tcW w:w="5439" w:type="dxa"/>
            <w:shd w:val="clear" w:color="auto" w:fill="D9D9D9"/>
          </w:tcPr>
          <w:p w14:paraId="5261CD1E" w14:textId="77777777" w:rsidR="00AD79FE" w:rsidRDefault="00AD79FE" w:rsidP="00EA3542">
            <w:pPr>
              <w:rPr>
                <w:rFonts w:cs="Arial"/>
                <w:b/>
                <w:bCs/>
                <w:i/>
                <w:iCs/>
                <w:sz w:val="18"/>
                <w:szCs w:val="18"/>
              </w:rPr>
            </w:pPr>
          </w:p>
        </w:tc>
      </w:tr>
      <w:tr w:rsidR="00AD79FE" w:rsidRPr="00FD1AF3" w14:paraId="1FA96094" w14:textId="0D06DF87" w:rsidTr="00AD79FE">
        <w:tc>
          <w:tcPr>
            <w:tcW w:w="4253" w:type="dxa"/>
            <w:shd w:val="clear" w:color="auto" w:fill="auto"/>
          </w:tcPr>
          <w:p w14:paraId="52CA46DA" w14:textId="77777777" w:rsidR="00AD79FE" w:rsidRPr="00FD1AF3" w:rsidRDefault="00AD79FE" w:rsidP="00AD79FE">
            <w:pPr>
              <w:rPr>
                <w:b/>
                <w:bCs/>
                <w:sz w:val="18"/>
              </w:rPr>
            </w:pPr>
            <w:r>
              <w:rPr>
                <w:b/>
                <w:bCs/>
                <w:sz w:val="18"/>
              </w:rPr>
              <w:t>PO5</w:t>
            </w:r>
          </w:p>
          <w:p w14:paraId="350D0C5C" w14:textId="77777777" w:rsidR="00AD79FE" w:rsidRDefault="00AD79FE" w:rsidP="00EA3542">
            <w:pPr>
              <w:rPr>
                <w:rFonts w:cs="Arial"/>
                <w:sz w:val="18"/>
                <w:szCs w:val="18"/>
              </w:rPr>
            </w:pPr>
            <w:r>
              <w:rPr>
                <w:rFonts w:cs="Arial"/>
                <w:sz w:val="18"/>
                <w:szCs w:val="18"/>
              </w:rPr>
              <w:t>The dual occupancy is located, designed and constructed to:-</w:t>
            </w:r>
          </w:p>
          <w:p w14:paraId="50A0063B" w14:textId="77777777" w:rsidR="00AD79FE" w:rsidRDefault="00AD79FE" w:rsidP="00AD79FE">
            <w:pPr>
              <w:numPr>
                <w:ilvl w:val="0"/>
                <w:numId w:val="27"/>
              </w:numPr>
              <w:rPr>
                <w:sz w:val="18"/>
                <w:szCs w:val="18"/>
              </w:rPr>
            </w:pPr>
            <w:r>
              <w:rPr>
                <w:sz w:val="18"/>
                <w:szCs w:val="18"/>
              </w:rPr>
              <w:t>be dispersed across predominantly low density residential neighbourhoods;</w:t>
            </w:r>
          </w:p>
          <w:p w14:paraId="261BD2FC" w14:textId="77777777" w:rsidR="00AD79FE" w:rsidRDefault="00AD79FE" w:rsidP="00AD79FE">
            <w:pPr>
              <w:numPr>
                <w:ilvl w:val="0"/>
                <w:numId w:val="27"/>
              </w:numPr>
              <w:rPr>
                <w:sz w:val="18"/>
                <w:szCs w:val="18"/>
              </w:rPr>
            </w:pPr>
            <w:r>
              <w:rPr>
                <w:sz w:val="18"/>
                <w:szCs w:val="18"/>
              </w:rPr>
              <w:t xml:space="preserve">provide an attractive address to all street frontages; </w:t>
            </w:r>
          </w:p>
          <w:p w14:paraId="1479E750" w14:textId="77777777" w:rsidR="00AD79FE" w:rsidRDefault="00AD79FE" w:rsidP="00AD79FE">
            <w:pPr>
              <w:numPr>
                <w:ilvl w:val="0"/>
                <w:numId w:val="27"/>
              </w:numPr>
              <w:rPr>
                <w:sz w:val="18"/>
                <w:szCs w:val="18"/>
              </w:rPr>
            </w:pPr>
            <w:r>
              <w:rPr>
                <w:sz w:val="18"/>
                <w:szCs w:val="18"/>
              </w:rPr>
              <w:t xml:space="preserve">make a positive contribution to the preferred streetscape character of the locality; </w:t>
            </w:r>
          </w:p>
          <w:p w14:paraId="23ABB2C5" w14:textId="77777777" w:rsidR="00AD79FE" w:rsidRDefault="00AD79FE" w:rsidP="00AD79FE">
            <w:pPr>
              <w:numPr>
                <w:ilvl w:val="0"/>
                <w:numId w:val="27"/>
              </w:numPr>
              <w:rPr>
                <w:sz w:val="18"/>
                <w:szCs w:val="18"/>
              </w:rPr>
            </w:pPr>
            <w:r>
              <w:rPr>
                <w:sz w:val="18"/>
                <w:szCs w:val="18"/>
              </w:rPr>
              <w:t>minimise opportunities for residents to overlook the private open space of neighbouring premises; and</w:t>
            </w:r>
          </w:p>
          <w:p w14:paraId="0CF5E6B8" w14:textId="77777777" w:rsidR="00AD79FE" w:rsidRPr="00D25ADF" w:rsidRDefault="00AD79FE" w:rsidP="00AD79FE">
            <w:pPr>
              <w:numPr>
                <w:ilvl w:val="0"/>
                <w:numId w:val="27"/>
              </w:numPr>
              <w:rPr>
                <w:sz w:val="18"/>
                <w:szCs w:val="18"/>
              </w:rPr>
            </w:pPr>
            <w:proofErr w:type="gramStart"/>
            <w:r>
              <w:rPr>
                <w:sz w:val="18"/>
                <w:szCs w:val="18"/>
              </w:rPr>
              <w:t>provide</w:t>
            </w:r>
            <w:proofErr w:type="gramEnd"/>
            <w:r>
              <w:rPr>
                <w:sz w:val="18"/>
                <w:szCs w:val="18"/>
              </w:rPr>
              <w:t xml:space="preserve"> opportunities for casual surveillance of public and communal spaces.</w:t>
            </w:r>
          </w:p>
        </w:tc>
        <w:tc>
          <w:tcPr>
            <w:tcW w:w="4252" w:type="dxa"/>
            <w:shd w:val="clear" w:color="auto" w:fill="auto"/>
          </w:tcPr>
          <w:p w14:paraId="50A0C855" w14:textId="77777777" w:rsidR="00AD79FE" w:rsidRPr="00FD1AF3" w:rsidRDefault="00AD79FE" w:rsidP="00AD79FE">
            <w:pPr>
              <w:keepNext/>
              <w:rPr>
                <w:b/>
                <w:bCs/>
                <w:sz w:val="18"/>
              </w:rPr>
            </w:pPr>
            <w:r>
              <w:rPr>
                <w:b/>
                <w:bCs/>
                <w:sz w:val="18"/>
              </w:rPr>
              <w:t>AO5.1</w:t>
            </w:r>
          </w:p>
          <w:p w14:paraId="43323427" w14:textId="77777777" w:rsidR="00AD79FE" w:rsidRDefault="00AD79FE" w:rsidP="00EA3542">
            <w:pPr>
              <w:rPr>
                <w:rFonts w:cs="Arial"/>
                <w:sz w:val="18"/>
                <w:szCs w:val="18"/>
              </w:rPr>
            </w:pPr>
            <w:r>
              <w:rPr>
                <w:rFonts w:cs="Arial"/>
                <w:sz w:val="18"/>
                <w:szCs w:val="18"/>
              </w:rPr>
              <w:t xml:space="preserve">Where located in the Low density residential zone, the dual occupancy is developed on a lot that does not: </w:t>
            </w:r>
          </w:p>
          <w:p w14:paraId="78079CBF" w14:textId="77777777" w:rsidR="00AD79FE" w:rsidRDefault="00AD79FE" w:rsidP="00AD79FE">
            <w:pPr>
              <w:numPr>
                <w:ilvl w:val="0"/>
                <w:numId w:val="31"/>
              </w:numPr>
              <w:tabs>
                <w:tab w:val="num" w:pos="3600"/>
              </w:tabs>
              <w:rPr>
                <w:rFonts w:cs="Arial"/>
                <w:sz w:val="18"/>
                <w:szCs w:val="18"/>
              </w:rPr>
            </w:pPr>
            <w:r>
              <w:rPr>
                <w:rFonts w:cs="Arial"/>
                <w:sz w:val="18"/>
                <w:szCs w:val="18"/>
              </w:rPr>
              <w:t>adjoin another lot used or approved for a dual occupancy fronting the same street; or</w:t>
            </w:r>
          </w:p>
          <w:p w14:paraId="571550C2" w14:textId="77777777" w:rsidR="00AD79FE" w:rsidRDefault="00AD79FE" w:rsidP="00AD79FE">
            <w:pPr>
              <w:numPr>
                <w:ilvl w:val="0"/>
                <w:numId w:val="31"/>
              </w:numPr>
              <w:tabs>
                <w:tab w:val="num" w:pos="3600"/>
              </w:tabs>
              <w:rPr>
                <w:rFonts w:cs="Arial"/>
                <w:sz w:val="18"/>
                <w:szCs w:val="18"/>
              </w:rPr>
            </w:pPr>
            <w:proofErr w:type="gramStart"/>
            <w:r>
              <w:rPr>
                <w:rFonts w:cs="Arial"/>
                <w:sz w:val="18"/>
                <w:szCs w:val="18"/>
              </w:rPr>
              <w:t>result</w:t>
            </w:r>
            <w:proofErr w:type="gramEnd"/>
            <w:r>
              <w:rPr>
                <w:rFonts w:cs="Arial"/>
                <w:sz w:val="18"/>
                <w:szCs w:val="18"/>
              </w:rPr>
              <w:t xml:space="preserve"> in a dwelling house or a vacant lot included in the Low density residential zone to be adjoined by more than one dual occupancy development fronting the same street. </w:t>
            </w:r>
          </w:p>
          <w:p w14:paraId="67C8089A" w14:textId="77777777" w:rsidR="00AD79FE" w:rsidRDefault="00AD79FE" w:rsidP="00EA3542">
            <w:pPr>
              <w:tabs>
                <w:tab w:val="num" w:pos="3600"/>
              </w:tabs>
              <w:rPr>
                <w:rFonts w:cs="Arial"/>
                <w:sz w:val="18"/>
                <w:szCs w:val="18"/>
              </w:rPr>
            </w:pPr>
          </w:p>
          <w:p w14:paraId="7FFEEBE2" w14:textId="77777777" w:rsidR="00AD79FE" w:rsidRPr="00706698" w:rsidRDefault="00AD79FE" w:rsidP="00EA3542">
            <w:pPr>
              <w:tabs>
                <w:tab w:val="num" w:pos="3600"/>
              </w:tabs>
              <w:rPr>
                <w:rFonts w:cs="Arial"/>
                <w:b/>
                <w:sz w:val="18"/>
                <w:szCs w:val="18"/>
              </w:rPr>
            </w:pPr>
            <w:r w:rsidRPr="00706698">
              <w:rPr>
                <w:rFonts w:cs="Arial"/>
                <w:b/>
                <w:sz w:val="18"/>
                <w:szCs w:val="18"/>
              </w:rPr>
              <w:t>AO</w:t>
            </w:r>
            <w:r>
              <w:rPr>
                <w:rFonts w:cs="Arial"/>
                <w:b/>
                <w:sz w:val="18"/>
                <w:szCs w:val="18"/>
              </w:rPr>
              <w:t>5</w:t>
            </w:r>
            <w:r w:rsidRPr="00706698">
              <w:rPr>
                <w:rFonts w:cs="Arial"/>
                <w:b/>
                <w:sz w:val="18"/>
                <w:szCs w:val="18"/>
              </w:rPr>
              <w:t>.2</w:t>
            </w:r>
          </w:p>
          <w:p w14:paraId="71AC4B8A" w14:textId="77777777" w:rsidR="00AD79FE" w:rsidRDefault="00AD79FE" w:rsidP="00EA3542">
            <w:pPr>
              <w:tabs>
                <w:tab w:val="num" w:pos="3600"/>
              </w:tabs>
              <w:rPr>
                <w:rFonts w:cs="Arial"/>
                <w:sz w:val="18"/>
                <w:szCs w:val="18"/>
              </w:rPr>
            </w:pPr>
            <w:r>
              <w:rPr>
                <w:rFonts w:cs="Arial"/>
                <w:sz w:val="18"/>
                <w:szCs w:val="18"/>
              </w:rPr>
              <w:t>Each dwelling has an individual design and appearance that is not a mirror image of the adjoining dwelling.</w:t>
            </w:r>
          </w:p>
          <w:p w14:paraId="79DAD282" w14:textId="77777777" w:rsidR="00AD79FE" w:rsidRDefault="00AD79FE" w:rsidP="00EA3542">
            <w:pPr>
              <w:tabs>
                <w:tab w:val="num" w:pos="3600"/>
              </w:tabs>
              <w:rPr>
                <w:rFonts w:cs="Arial"/>
                <w:sz w:val="18"/>
                <w:szCs w:val="18"/>
              </w:rPr>
            </w:pPr>
          </w:p>
          <w:p w14:paraId="5ACABC49" w14:textId="77777777" w:rsidR="00AD79FE" w:rsidRPr="00706698" w:rsidRDefault="00AD79FE" w:rsidP="00EA3542">
            <w:pPr>
              <w:tabs>
                <w:tab w:val="num" w:pos="3600"/>
              </w:tabs>
              <w:rPr>
                <w:rFonts w:cs="Arial"/>
                <w:b/>
                <w:sz w:val="18"/>
                <w:szCs w:val="18"/>
              </w:rPr>
            </w:pPr>
            <w:r w:rsidRPr="00706698">
              <w:rPr>
                <w:rFonts w:cs="Arial"/>
                <w:b/>
                <w:sz w:val="18"/>
                <w:szCs w:val="18"/>
              </w:rPr>
              <w:t>AO</w:t>
            </w:r>
            <w:r>
              <w:rPr>
                <w:rFonts w:cs="Arial"/>
                <w:b/>
                <w:sz w:val="18"/>
                <w:szCs w:val="18"/>
              </w:rPr>
              <w:t>5</w:t>
            </w:r>
            <w:r w:rsidRPr="00706698">
              <w:rPr>
                <w:rFonts w:cs="Arial"/>
                <w:b/>
                <w:sz w:val="18"/>
                <w:szCs w:val="18"/>
              </w:rPr>
              <w:t>.3</w:t>
            </w:r>
          </w:p>
          <w:p w14:paraId="2EA62E7D" w14:textId="77777777" w:rsidR="00AD79FE" w:rsidRDefault="00AD79FE" w:rsidP="00EA3542">
            <w:pPr>
              <w:tabs>
                <w:tab w:val="num" w:pos="3600"/>
              </w:tabs>
              <w:rPr>
                <w:rFonts w:cs="Arial"/>
                <w:sz w:val="18"/>
                <w:szCs w:val="18"/>
              </w:rPr>
            </w:pPr>
            <w:r>
              <w:rPr>
                <w:rFonts w:cs="Arial"/>
                <w:sz w:val="18"/>
                <w:szCs w:val="18"/>
              </w:rPr>
              <w:t>The total width of garage openings facing each street frontage does not exceed 6m or 50% of the street frontage, whichever is the lesser.</w:t>
            </w:r>
          </w:p>
          <w:p w14:paraId="38522F74" w14:textId="77777777" w:rsidR="00AD79FE" w:rsidRDefault="00AD79FE" w:rsidP="00EA3542">
            <w:pPr>
              <w:tabs>
                <w:tab w:val="num" w:pos="3600"/>
              </w:tabs>
              <w:rPr>
                <w:rFonts w:cs="Arial"/>
                <w:sz w:val="18"/>
                <w:szCs w:val="18"/>
              </w:rPr>
            </w:pPr>
          </w:p>
          <w:p w14:paraId="43F337E7" w14:textId="77777777" w:rsidR="00AD79FE" w:rsidRPr="00706698" w:rsidRDefault="00AD79FE" w:rsidP="00EA3542">
            <w:pPr>
              <w:tabs>
                <w:tab w:val="num" w:pos="3600"/>
              </w:tabs>
              <w:rPr>
                <w:rFonts w:cs="Arial"/>
                <w:b/>
                <w:sz w:val="18"/>
                <w:szCs w:val="18"/>
              </w:rPr>
            </w:pPr>
            <w:r w:rsidRPr="00706698">
              <w:rPr>
                <w:rFonts w:cs="Arial"/>
                <w:b/>
                <w:sz w:val="18"/>
                <w:szCs w:val="18"/>
              </w:rPr>
              <w:t>AO</w:t>
            </w:r>
            <w:r>
              <w:rPr>
                <w:rFonts w:cs="Arial"/>
                <w:b/>
                <w:sz w:val="18"/>
                <w:szCs w:val="18"/>
              </w:rPr>
              <w:t>5</w:t>
            </w:r>
            <w:r w:rsidRPr="00706698">
              <w:rPr>
                <w:rFonts w:cs="Arial"/>
                <w:b/>
                <w:sz w:val="18"/>
                <w:szCs w:val="18"/>
              </w:rPr>
              <w:t>.4</w:t>
            </w:r>
          </w:p>
          <w:p w14:paraId="64B46CB0" w14:textId="77777777" w:rsidR="00AD79FE" w:rsidRDefault="00AD79FE" w:rsidP="00EA3542">
            <w:pPr>
              <w:tabs>
                <w:tab w:val="num" w:pos="3600"/>
              </w:tabs>
              <w:rPr>
                <w:rFonts w:cs="Arial"/>
                <w:sz w:val="18"/>
                <w:szCs w:val="18"/>
              </w:rPr>
            </w:pPr>
            <w:r>
              <w:rPr>
                <w:rFonts w:cs="Arial"/>
                <w:sz w:val="18"/>
                <w:szCs w:val="18"/>
              </w:rPr>
              <w:t>Where the site has an approved development footprint plan and the plan nominates setbacks from front, side or rear property boundaries, the dual occupancy is setback in accordance with the approved plan.</w:t>
            </w:r>
          </w:p>
          <w:p w14:paraId="78BA789F" w14:textId="77777777" w:rsidR="00AD79FE" w:rsidRDefault="00AD79FE" w:rsidP="00EA3542">
            <w:pPr>
              <w:tabs>
                <w:tab w:val="num" w:pos="3600"/>
              </w:tabs>
              <w:rPr>
                <w:rFonts w:cs="Arial"/>
                <w:sz w:val="18"/>
                <w:szCs w:val="18"/>
              </w:rPr>
            </w:pPr>
          </w:p>
          <w:p w14:paraId="24B2600D" w14:textId="77777777" w:rsidR="00AD79FE" w:rsidRDefault="00AD79FE" w:rsidP="00EA3542">
            <w:pPr>
              <w:tabs>
                <w:tab w:val="num" w:pos="3600"/>
              </w:tabs>
              <w:rPr>
                <w:rFonts w:cs="Arial"/>
                <w:b/>
                <w:sz w:val="18"/>
                <w:szCs w:val="18"/>
              </w:rPr>
            </w:pPr>
            <w:r>
              <w:rPr>
                <w:rFonts w:cs="Arial"/>
                <w:b/>
                <w:sz w:val="18"/>
                <w:szCs w:val="18"/>
              </w:rPr>
              <w:t>AO5.5</w:t>
            </w:r>
          </w:p>
          <w:p w14:paraId="6A1BA8F6" w14:textId="77777777" w:rsidR="00AD79FE" w:rsidRDefault="00AD79FE" w:rsidP="00EA3542">
            <w:pPr>
              <w:tabs>
                <w:tab w:val="num" w:pos="3600"/>
              </w:tabs>
              <w:rPr>
                <w:rFonts w:cs="Arial"/>
                <w:sz w:val="18"/>
                <w:szCs w:val="18"/>
              </w:rPr>
            </w:pPr>
            <w:r>
              <w:rPr>
                <w:rFonts w:cs="Arial"/>
                <w:sz w:val="18"/>
                <w:szCs w:val="18"/>
              </w:rPr>
              <w:t>Where there is no approved development footprint plan that nominates setbacks from a property boundary for the site, the dual occupancy is setback in accordance with the following:-</w:t>
            </w:r>
          </w:p>
          <w:p w14:paraId="422DE831" w14:textId="77777777" w:rsidR="00AD79FE" w:rsidRPr="001E01FC" w:rsidRDefault="00AD79FE" w:rsidP="00AD79FE">
            <w:pPr>
              <w:pStyle w:val="ListParagraph"/>
              <w:numPr>
                <w:ilvl w:val="0"/>
                <w:numId w:val="36"/>
              </w:numPr>
              <w:tabs>
                <w:tab w:val="num" w:pos="3600"/>
              </w:tabs>
              <w:ind w:left="392" w:hanging="425"/>
              <w:rPr>
                <w:rFonts w:cs="Arial"/>
                <w:b/>
                <w:sz w:val="18"/>
                <w:szCs w:val="18"/>
              </w:rPr>
            </w:pPr>
            <w:r>
              <w:rPr>
                <w:rFonts w:cs="Arial"/>
                <w:sz w:val="18"/>
                <w:szCs w:val="18"/>
              </w:rPr>
              <w:t>t</w:t>
            </w:r>
            <w:r w:rsidRPr="001E01FC">
              <w:rPr>
                <w:rFonts w:cs="Arial"/>
                <w:sz w:val="18"/>
                <w:szCs w:val="18"/>
              </w:rPr>
              <w:t>he dual occupancy is setback at least 6m from any street frontage</w:t>
            </w:r>
            <w:r>
              <w:rPr>
                <w:rFonts w:cs="Arial"/>
                <w:sz w:val="18"/>
                <w:szCs w:val="18"/>
              </w:rPr>
              <w:t>;</w:t>
            </w:r>
          </w:p>
          <w:p w14:paraId="76317F2E" w14:textId="77777777" w:rsidR="00AD79FE" w:rsidRPr="001E01FC" w:rsidRDefault="00AD79FE" w:rsidP="00AD79FE">
            <w:pPr>
              <w:pStyle w:val="ListParagraph"/>
              <w:numPr>
                <w:ilvl w:val="0"/>
                <w:numId w:val="36"/>
              </w:numPr>
              <w:tabs>
                <w:tab w:val="num" w:pos="3600"/>
              </w:tabs>
              <w:ind w:left="392" w:hanging="425"/>
              <w:rPr>
                <w:rFonts w:cs="Arial"/>
                <w:sz w:val="18"/>
                <w:szCs w:val="18"/>
              </w:rPr>
            </w:pPr>
            <w:r>
              <w:rPr>
                <w:rFonts w:cs="Arial"/>
                <w:sz w:val="18"/>
                <w:szCs w:val="18"/>
              </w:rPr>
              <w:t>t</w:t>
            </w:r>
            <w:r w:rsidRPr="001E01FC">
              <w:rPr>
                <w:rFonts w:cs="Arial"/>
                <w:sz w:val="18"/>
                <w:szCs w:val="18"/>
              </w:rPr>
              <w:t>he dual occupancy, other than any garage, carport or shed, is setback from any side or rear property boundary in accordance with the following:-</w:t>
            </w:r>
          </w:p>
          <w:p w14:paraId="63E910AE" w14:textId="77777777" w:rsidR="00AD79FE" w:rsidRDefault="00AD79FE" w:rsidP="00AD79FE">
            <w:pPr>
              <w:numPr>
                <w:ilvl w:val="0"/>
                <w:numId w:val="37"/>
              </w:numPr>
              <w:tabs>
                <w:tab w:val="clear" w:pos="720"/>
                <w:tab w:val="num" w:pos="817"/>
                <w:tab w:val="num" w:pos="3600"/>
              </w:tabs>
              <w:ind w:left="817" w:hanging="425"/>
              <w:rPr>
                <w:rFonts w:cs="Arial"/>
                <w:sz w:val="18"/>
                <w:szCs w:val="18"/>
              </w:rPr>
            </w:pPr>
            <w:r>
              <w:rPr>
                <w:rFonts w:cs="Arial"/>
                <w:sz w:val="18"/>
                <w:szCs w:val="18"/>
              </w:rPr>
              <w:t>1.5m for any part of the building that is 4.5m in height or less;</w:t>
            </w:r>
          </w:p>
          <w:p w14:paraId="7F31BE8C" w14:textId="77777777" w:rsidR="00AD79FE" w:rsidRDefault="00AD79FE" w:rsidP="00AD79FE">
            <w:pPr>
              <w:numPr>
                <w:ilvl w:val="0"/>
                <w:numId w:val="37"/>
              </w:numPr>
              <w:tabs>
                <w:tab w:val="clear" w:pos="720"/>
                <w:tab w:val="num" w:pos="817"/>
                <w:tab w:val="num" w:pos="3600"/>
              </w:tabs>
              <w:ind w:left="817" w:hanging="425"/>
              <w:rPr>
                <w:rFonts w:cs="Arial"/>
                <w:sz w:val="18"/>
                <w:szCs w:val="18"/>
              </w:rPr>
            </w:pPr>
            <w:r>
              <w:rPr>
                <w:rFonts w:cs="Arial"/>
                <w:sz w:val="18"/>
                <w:szCs w:val="18"/>
              </w:rPr>
              <w:t>2m for any part of the building that is higher than 4.5m but not higher than 8.5m; and</w:t>
            </w:r>
          </w:p>
          <w:p w14:paraId="3267EACF" w14:textId="77777777" w:rsidR="00AD79FE" w:rsidRDefault="00AD79FE" w:rsidP="00AD79FE">
            <w:pPr>
              <w:numPr>
                <w:ilvl w:val="0"/>
                <w:numId w:val="37"/>
              </w:numPr>
              <w:tabs>
                <w:tab w:val="clear" w:pos="720"/>
                <w:tab w:val="num" w:pos="817"/>
                <w:tab w:val="num" w:pos="3600"/>
              </w:tabs>
              <w:ind w:left="817" w:hanging="425"/>
              <w:rPr>
                <w:rFonts w:cs="Arial"/>
                <w:sz w:val="18"/>
                <w:szCs w:val="18"/>
              </w:rPr>
            </w:pPr>
            <w:r>
              <w:rPr>
                <w:rFonts w:cs="Arial"/>
                <w:sz w:val="18"/>
                <w:szCs w:val="18"/>
              </w:rPr>
              <w:lastRenderedPageBreak/>
              <w:t>2m plus 0.5m for every 3m of any part of the building that exceeds 8.5m in height.</w:t>
            </w:r>
          </w:p>
          <w:p w14:paraId="57A7DB0B" w14:textId="77777777" w:rsidR="00AD79FE" w:rsidRPr="00B30883" w:rsidRDefault="00AD79FE" w:rsidP="00AD79FE">
            <w:pPr>
              <w:pStyle w:val="ListParagraph"/>
              <w:numPr>
                <w:ilvl w:val="0"/>
                <w:numId w:val="36"/>
              </w:numPr>
              <w:tabs>
                <w:tab w:val="num" w:pos="3600"/>
              </w:tabs>
              <w:ind w:left="392" w:hanging="392"/>
              <w:rPr>
                <w:rFonts w:cs="Arial"/>
                <w:sz w:val="18"/>
                <w:szCs w:val="18"/>
              </w:rPr>
            </w:pPr>
            <w:r>
              <w:rPr>
                <w:rFonts w:cs="Arial"/>
                <w:sz w:val="18"/>
                <w:szCs w:val="18"/>
              </w:rPr>
              <w:t>a</w:t>
            </w:r>
            <w:r w:rsidRPr="00B30883">
              <w:rPr>
                <w:rFonts w:cs="Arial"/>
                <w:sz w:val="18"/>
                <w:szCs w:val="18"/>
              </w:rPr>
              <w:t>ny garage, carport or shed may be sited within the side and rear bo</w:t>
            </w:r>
            <w:r>
              <w:rPr>
                <w:rFonts w:cs="Arial"/>
                <w:sz w:val="18"/>
                <w:szCs w:val="18"/>
              </w:rPr>
              <w:t>undary setbacks specified in AO5</w:t>
            </w:r>
            <w:r w:rsidRPr="00B30883">
              <w:rPr>
                <w:rFonts w:cs="Arial"/>
                <w:sz w:val="18"/>
                <w:szCs w:val="18"/>
              </w:rPr>
              <w:t>.5</w:t>
            </w:r>
            <w:r>
              <w:rPr>
                <w:rFonts w:cs="Arial"/>
                <w:sz w:val="18"/>
                <w:szCs w:val="18"/>
              </w:rPr>
              <w:t>(b)</w:t>
            </w:r>
            <w:r w:rsidRPr="00B30883">
              <w:rPr>
                <w:rFonts w:cs="Arial"/>
                <w:sz w:val="18"/>
                <w:szCs w:val="18"/>
              </w:rPr>
              <w:t xml:space="preserve"> above provided that:-</w:t>
            </w:r>
          </w:p>
          <w:p w14:paraId="5D8B18A6" w14:textId="77777777" w:rsidR="00AD79FE" w:rsidRDefault="00AD79FE" w:rsidP="00AD79FE">
            <w:pPr>
              <w:numPr>
                <w:ilvl w:val="0"/>
                <w:numId w:val="33"/>
              </w:numPr>
              <w:tabs>
                <w:tab w:val="clear" w:pos="360"/>
                <w:tab w:val="num" w:pos="817"/>
                <w:tab w:val="num" w:pos="3600"/>
              </w:tabs>
              <w:ind w:left="817" w:hanging="425"/>
              <w:rPr>
                <w:rFonts w:cs="Arial"/>
                <w:sz w:val="18"/>
                <w:szCs w:val="18"/>
              </w:rPr>
            </w:pPr>
            <w:r>
              <w:rPr>
                <w:rFonts w:cs="Arial"/>
                <w:sz w:val="18"/>
                <w:szCs w:val="18"/>
              </w:rPr>
              <w:t>the total length of all buildings within the setback is not more than 9m along any one boundary; and</w:t>
            </w:r>
          </w:p>
          <w:p w14:paraId="3C3D8879" w14:textId="77777777" w:rsidR="00AD79FE" w:rsidRPr="00E930FF" w:rsidRDefault="00AD79FE" w:rsidP="00AD79FE">
            <w:pPr>
              <w:numPr>
                <w:ilvl w:val="0"/>
                <w:numId w:val="33"/>
              </w:numPr>
              <w:tabs>
                <w:tab w:val="clear" w:pos="360"/>
                <w:tab w:val="num" w:pos="817"/>
                <w:tab w:val="num" w:pos="3600"/>
              </w:tabs>
              <w:ind w:left="817" w:hanging="425"/>
              <w:rPr>
                <w:rFonts w:cs="Arial"/>
                <w:sz w:val="18"/>
                <w:szCs w:val="18"/>
              </w:rPr>
            </w:pPr>
            <w:r>
              <w:rPr>
                <w:rFonts w:cs="Arial"/>
                <w:sz w:val="18"/>
                <w:szCs w:val="18"/>
              </w:rPr>
              <w:t xml:space="preserve">any part of the garage, carport or shed within the setback are located no closer than 1.5m to a window in a habitable room of an adjoining dwelling. </w:t>
            </w:r>
          </w:p>
        </w:tc>
        <w:tc>
          <w:tcPr>
            <w:tcW w:w="5439" w:type="dxa"/>
          </w:tcPr>
          <w:p w14:paraId="5BB9F989" w14:textId="2CAD9394" w:rsidR="00AD79FE" w:rsidRDefault="00AD79FE" w:rsidP="00EA3542">
            <w:pPr>
              <w:rPr>
                <w:b/>
                <w:bCs/>
                <w:sz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2BE1BAC0" w14:textId="08A6DF27" w:rsidTr="00AD79FE">
        <w:tc>
          <w:tcPr>
            <w:tcW w:w="8505" w:type="dxa"/>
            <w:gridSpan w:val="2"/>
            <w:shd w:val="clear" w:color="auto" w:fill="D9D9D9"/>
          </w:tcPr>
          <w:p w14:paraId="3FEAC058" w14:textId="77777777" w:rsidR="00AD79FE" w:rsidRPr="00FD1AF3" w:rsidRDefault="00AD79FE" w:rsidP="00EA3542">
            <w:pPr>
              <w:rPr>
                <w:rFonts w:cs="Arial"/>
                <w:b/>
                <w:i/>
                <w:sz w:val="18"/>
                <w:szCs w:val="18"/>
              </w:rPr>
            </w:pPr>
            <w:r>
              <w:rPr>
                <w:rFonts w:cs="Arial"/>
                <w:b/>
                <w:i/>
                <w:sz w:val="18"/>
                <w:szCs w:val="18"/>
              </w:rPr>
              <w:lastRenderedPageBreak/>
              <w:t>Site landscaping</w:t>
            </w:r>
          </w:p>
        </w:tc>
        <w:tc>
          <w:tcPr>
            <w:tcW w:w="5439" w:type="dxa"/>
            <w:shd w:val="clear" w:color="auto" w:fill="D9D9D9"/>
          </w:tcPr>
          <w:p w14:paraId="04CBA19B" w14:textId="77777777" w:rsidR="00AD79FE" w:rsidRDefault="00AD79FE" w:rsidP="00EA3542">
            <w:pPr>
              <w:rPr>
                <w:rFonts w:cs="Arial"/>
                <w:b/>
                <w:i/>
                <w:sz w:val="18"/>
                <w:szCs w:val="18"/>
              </w:rPr>
            </w:pPr>
          </w:p>
        </w:tc>
      </w:tr>
      <w:tr w:rsidR="00AD79FE" w:rsidRPr="00FD1AF3" w14:paraId="4777C5A6" w14:textId="130360E6" w:rsidTr="00AD79FE">
        <w:tc>
          <w:tcPr>
            <w:tcW w:w="4253" w:type="dxa"/>
            <w:shd w:val="clear" w:color="auto" w:fill="auto"/>
          </w:tcPr>
          <w:p w14:paraId="0DC615DE" w14:textId="77777777" w:rsidR="00AD79FE" w:rsidRPr="00C501E7" w:rsidRDefault="00AD79FE" w:rsidP="00EA3542">
            <w:pPr>
              <w:rPr>
                <w:b/>
                <w:sz w:val="18"/>
                <w:szCs w:val="18"/>
              </w:rPr>
            </w:pPr>
            <w:r>
              <w:rPr>
                <w:b/>
                <w:sz w:val="18"/>
                <w:szCs w:val="18"/>
              </w:rPr>
              <w:t>PO6</w:t>
            </w:r>
          </w:p>
          <w:p w14:paraId="0341AF62" w14:textId="77777777" w:rsidR="00AD79FE" w:rsidRDefault="00AD79FE" w:rsidP="00EA3542">
            <w:pPr>
              <w:rPr>
                <w:sz w:val="18"/>
                <w:szCs w:val="18"/>
              </w:rPr>
            </w:pPr>
            <w:r>
              <w:rPr>
                <w:sz w:val="18"/>
                <w:szCs w:val="18"/>
              </w:rPr>
              <w:t>The dual occupancy incorporates on-site landscaping that:-</w:t>
            </w:r>
          </w:p>
          <w:p w14:paraId="09F1EBE4" w14:textId="77777777" w:rsidR="00AD79FE" w:rsidRDefault="00AD79FE" w:rsidP="00AD79FE">
            <w:pPr>
              <w:numPr>
                <w:ilvl w:val="0"/>
                <w:numId w:val="29"/>
              </w:numPr>
              <w:rPr>
                <w:sz w:val="18"/>
                <w:szCs w:val="18"/>
              </w:rPr>
            </w:pPr>
            <w:r>
              <w:rPr>
                <w:sz w:val="18"/>
                <w:szCs w:val="18"/>
              </w:rPr>
              <w:t>provides an attractive landscape setting for the enjoyment and appreciation of residents;</w:t>
            </w:r>
          </w:p>
          <w:p w14:paraId="20F34088" w14:textId="77777777" w:rsidR="00AD79FE" w:rsidRDefault="00AD79FE" w:rsidP="00AD79FE">
            <w:pPr>
              <w:numPr>
                <w:ilvl w:val="0"/>
                <w:numId w:val="29"/>
              </w:numPr>
              <w:rPr>
                <w:sz w:val="18"/>
                <w:szCs w:val="18"/>
              </w:rPr>
            </w:pPr>
            <w:r>
              <w:rPr>
                <w:sz w:val="18"/>
                <w:szCs w:val="18"/>
              </w:rPr>
              <w:t>integrates the development into the surrounding urban landscape;</w:t>
            </w:r>
          </w:p>
          <w:p w14:paraId="2EFF5C71" w14:textId="77777777" w:rsidR="00AD79FE" w:rsidRDefault="00AD79FE" w:rsidP="00AD79FE">
            <w:pPr>
              <w:numPr>
                <w:ilvl w:val="0"/>
                <w:numId w:val="29"/>
              </w:numPr>
              <w:rPr>
                <w:sz w:val="18"/>
                <w:szCs w:val="18"/>
              </w:rPr>
            </w:pPr>
            <w:r>
              <w:rPr>
                <w:sz w:val="18"/>
                <w:szCs w:val="18"/>
              </w:rPr>
              <w:t>effectively defines and screens private open space and service areas; and</w:t>
            </w:r>
          </w:p>
          <w:p w14:paraId="158A2ABD" w14:textId="77777777" w:rsidR="00AD79FE" w:rsidRPr="00C501E7" w:rsidRDefault="00AD79FE" w:rsidP="00AD79FE">
            <w:pPr>
              <w:numPr>
                <w:ilvl w:val="0"/>
                <w:numId w:val="29"/>
              </w:numPr>
              <w:rPr>
                <w:sz w:val="18"/>
                <w:szCs w:val="18"/>
              </w:rPr>
            </w:pPr>
            <w:proofErr w:type="gramStart"/>
            <w:r>
              <w:rPr>
                <w:sz w:val="18"/>
                <w:szCs w:val="18"/>
              </w:rPr>
              <w:t>maintains</w:t>
            </w:r>
            <w:proofErr w:type="gramEnd"/>
            <w:r>
              <w:rPr>
                <w:sz w:val="18"/>
                <w:szCs w:val="18"/>
              </w:rPr>
              <w:t xml:space="preserve"> opportunities for casual surveillance to the street.</w:t>
            </w:r>
          </w:p>
        </w:tc>
        <w:tc>
          <w:tcPr>
            <w:tcW w:w="4252" w:type="dxa"/>
            <w:shd w:val="clear" w:color="auto" w:fill="auto"/>
          </w:tcPr>
          <w:p w14:paraId="70966205" w14:textId="77777777" w:rsidR="00AD79FE" w:rsidRPr="00C501E7" w:rsidRDefault="00AD79FE" w:rsidP="00EA3542">
            <w:pPr>
              <w:rPr>
                <w:b/>
                <w:sz w:val="18"/>
                <w:szCs w:val="18"/>
              </w:rPr>
            </w:pPr>
            <w:r>
              <w:rPr>
                <w:b/>
                <w:sz w:val="18"/>
                <w:szCs w:val="18"/>
              </w:rPr>
              <w:t>AO6.1</w:t>
            </w:r>
          </w:p>
          <w:p w14:paraId="543B5BB4" w14:textId="77777777" w:rsidR="00AD79FE" w:rsidRDefault="00AD79FE" w:rsidP="00EA3542">
            <w:pPr>
              <w:rPr>
                <w:sz w:val="18"/>
                <w:szCs w:val="18"/>
              </w:rPr>
            </w:pPr>
            <w:r>
              <w:rPr>
                <w:sz w:val="18"/>
                <w:szCs w:val="18"/>
              </w:rPr>
              <w:t xml:space="preserve">The site is landscaped with turf and tree and shrub species. </w:t>
            </w:r>
          </w:p>
          <w:p w14:paraId="0439F09F" w14:textId="77777777" w:rsidR="00AD79FE" w:rsidRDefault="00AD79FE" w:rsidP="00EA3542">
            <w:pPr>
              <w:rPr>
                <w:sz w:val="18"/>
                <w:szCs w:val="18"/>
              </w:rPr>
            </w:pPr>
          </w:p>
          <w:p w14:paraId="3DD0AA46" w14:textId="77777777" w:rsidR="00AD79FE" w:rsidRDefault="00AD79FE" w:rsidP="00EA3542">
            <w:pPr>
              <w:keepNext/>
              <w:keepLines/>
              <w:rPr>
                <w:b/>
                <w:sz w:val="18"/>
                <w:szCs w:val="18"/>
              </w:rPr>
            </w:pPr>
            <w:r w:rsidRPr="00706698">
              <w:rPr>
                <w:b/>
                <w:sz w:val="18"/>
                <w:szCs w:val="18"/>
              </w:rPr>
              <w:t>AO</w:t>
            </w:r>
            <w:r>
              <w:rPr>
                <w:b/>
                <w:sz w:val="18"/>
                <w:szCs w:val="18"/>
              </w:rPr>
              <w:t>6</w:t>
            </w:r>
            <w:r w:rsidRPr="00706698">
              <w:rPr>
                <w:b/>
                <w:sz w:val="18"/>
                <w:szCs w:val="18"/>
              </w:rPr>
              <w:t>.2</w:t>
            </w:r>
          </w:p>
          <w:p w14:paraId="09212736" w14:textId="77777777" w:rsidR="00AD79FE" w:rsidRDefault="00AD79FE" w:rsidP="00EA3542">
            <w:pPr>
              <w:keepNext/>
              <w:keepLines/>
              <w:rPr>
                <w:sz w:val="18"/>
                <w:szCs w:val="18"/>
              </w:rPr>
            </w:pPr>
            <w:r>
              <w:rPr>
                <w:sz w:val="18"/>
                <w:szCs w:val="18"/>
              </w:rPr>
              <w:t>At least 25% of the site is retained for soft landscaping (i.e. not used as hardstand area).</w:t>
            </w:r>
          </w:p>
          <w:p w14:paraId="57E9E5AF" w14:textId="77777777" w:rsidR="00AD79FE" w:rsidRDefault="00AD79FE" w:rsidP="00EA3542">
            <w:pPr>
              <w:rPr>
                <w:sz w:val="18"/>
                <w:szCs w:val="18"/>
              </w:rPr>
            </w:pPr>
          </w:p>
          <w:p w14:paraId="431D44B7" w14:textId="77777777" w:rsidR="00AD79FE" w:rsidRPr="00706698" w:rsidRDefault="00AD79FE" w:rsidP="00EA3542">
            <w:pPr>
              <w:rPr>
                <w:b/>
                <w:sz w:val="18"/>
                <w:szCs w:val="18"/>
              </w:rPr>
            </w:pPr>
            <w:r w:rsidRPr="00706698">
              <w:rPr>
                <w:b/>
                <w:sz w:val="18"/>
                <w:szCs w:val="18"/>
              </w:rPr>
              <w:t>AO</w:t>
            </w:r>
            <w:r>
              <w:rPr>
                <w:b/>
                <w:sz w:val="18"/>
                <w:szCs w:val="18"/>
              </w:rPr>
              <w:t>6</w:t>
            </w:r>
            <w:r w:rsidRPr="00706698">
              <w:rPr>
                <w:b/>
                <w:sz w:val="18"/>
                <w:szCs w:val="18"/>
              </w:rPr>
              <w:t>.3</w:t>
            </w:r>
          </w:p>
          <w:p w14:paraId="54E1E7A9" w14:textId="77777777" w:rsidR="00AD79FE" w:rsidRDefault="00AD79FE" w:rsidP="00EA3542">
            <w:pPr>
              <w:rPr>
                <w:sz w:val="18"/>
                <w:szCs w:val="18"/>
              </w:rPr>
            </w:pPr>
            <w:r>
              <w:rPr>
                <w:sz w:val="18"/>
                <w:szCs w:val="18"/>
              </w:rPr>
              <w:t>A 1.8m high no-gap screen fence is provided along all side and rear boundaries of the site, tapering to a maximum height of 1.2m for any fence:-</w:t>
            </w:r>
          </w:p>
          <w:p w14:paraId="79812DA9" w14:textId="77777777" w:rsidR="00AD79FE" w:rsidRDefault="00AD79FE" w:rsidP="00AD79FE">
            <w:pPr>
              <w:pStyle w:val="ListParagraph"/>
              <w:numPr>
                <w:ilvl w:val="0"/>
                <w:numId w:val="38"/>
              </w:numPr>
              <w:ind w:left="392" w:hanging="392"/>
              <w:rPr>
                <w:sz w:val="18"/>
                <w:szCs w:val="18"/>
              </w:rPr>
            </w:pPr>
            <w:r w:rsidRPr="00314949">
              <w:rPr>
                <w:sz w:val="18"/>
                <w:szCs w:val="18"/>
              </w:rPr>
              <w:t>within the front building line</w:t>
            </w:r>
            <w:r>
              <w:rPr>
                <w:sz w:val="18"/>
                <w:szCs w:val="18"/>
              </w:rPr>
              <w:t>; or</w:t>
            </w:r>
          </w:p>
          <w:p w14:paraId="6BC1A27B" w14:textId="77777777" w:rsidR="00AD79FE" w:rsidRPr="00314949" w:rsidRDefault="00AD79FE" w:rsidP="00AD79FE">
            <w:pPr>
              <w:pStyle w:val="ListParagraph"/>
              <w:numPr>
                <w:ilvl w:val="0"/>
                <w:numId w:val="38"/>
              </w:numPr>
              <w:ind w:left="392" w:hanging="392"/>
              <w:rPr>
                <w:sz w:val="18"/>
                <w:szCs w:val="18"/>
              </w:rPr>
            </w:pPr>
            <w:proofErr w:type="gramStart"/>
            <w:r w:rsidRPr="00314949">
              <w:rPr>
                <w:sz w:val="18"/>
                <w:szCs w:val="18"/>
              </w:rPr>
              <w:t>within</w:t>
            </w:r>
            <w:proofErr w:type="gramEnd"/>
            <w:r w:rsidRPr="00314949">
              <w:rPr>
                <w:sz w:val="18"/>
                <w:szCs w:val="18"/>
              </w:rPr>
              <w:t xml:space="preserve"> 6m from a street frontage</w:t>
            </w:r>
            <w:r>
              <w:rPr>
                <w:sz w:val="18"/>
                <w:szCs w:val="18"/>
              </w:rPr>
              <w:t>,</w:t>
            </w:r>
            <w:r w:rsidRPr="00314949">
              <w:rPr>
                <w:sz w:val="18"/>
                <w:szCs w:val="18"/>
              </w:rPr>
              <w:t xml:space="preserve"> </w:t>
            </w:r>
            <w:r>
              <w:rPr>
                <w:sz w:val="18"/>
                <w:szCs w:val="18"/>
              </w:rPr>
              <w:t>for any hatchet shaped lot or lot accessed via an easement</w:t>
            </w:r>
            <w:r w:rsidRPr="00314949">
              <w:rPr>
                <w:sz w:val="18"/>
                <w:szCs w:val="18"/>
              </w:rPr>
              <w:t xml:space="preserve">. </w:t>
            </w:r>
          </w:p>
          <w:p w14:paraId="7E832CB6" w14:textId="77777777" w:rsidR="00AD79FE" w:rsidRDefault="00AD79FE" w:rsidP="00EA3542">
            <w:pPr>
              <w:rPr>
                <w:sz w:val="18"/>
                <w:szCs w:val="18"/>
              </w:rPr>
            </w:pPr>
          </w:p>
          <w:p w14:paraId="09572ED8" w14:textId="77777777" w:rsidR="00AD79FE" w:rsidRPr="0054423A" w:rsidRDefault="00AD79FE" w:rsidP="00EA3542">
            <w:pPr>
              <w:rPr>
                <w:sz w:val="16"/>
                <w:szCs w:val="16"/>
              </w:rPr>
            </w:pPr>
            <w:r w:rsidRPr="0054423A">
              <w:rPr>
                <w:sz w:val="16"/>
                <w:szCs w:val="16"/>
              </w:rPr>
              <w:t xml:space="preserve">Note—the change in height of the fence may be stepped down or tapered </w:t>
            </w:r>
            <w:r>
              <w:rPr>
                <w:sz w:val="16"/>
                <w:szCs w:val="16"/>
              </w:rPr>
              <w:t>over</w:t>
            </w:r>
            <w:r w:rsidRPr="0054423A">
              <w:rPr>
                <w:sz w:val="16"/>
                <w:szCs w:val="16"/>
              </w:rPr>
              <w:t xml:space="preserve"> a maximum distance of 2.5m.</w:t>
            </w:r>
          </w:p>
          <w:p w14:paraId="70ACB728" w14:textId="77777777" w:rsidR="00AD79FE" w:rsidRDefault="00AD79FE" w:rsidP="00EA3542">
            <w:pPr>
              <w:rPr>
                <w:sz w:val="18"/>
                <w:szCs w:val="18"/>
              </w:rPr>
            </w:pPr>
          </w:p>
          <w:p w14:paraId="2CFB7D8E" w14:textId="77777777" w:rsidR="00AD79FE" w:rsidRPr="00706698" w:rsidRDefault="00AD79FE" w:rsidP="00EA3542">
            <w:pPr>
              <w:rPr>
                <w:b/>
                <w:sz w:val="18"/>
                <w:szCs w:val="18"/>
              </w:rPr>
            </w:pPr>
            <w:r w:rsidRPr="00706698">
              <w:rPr>
                <w:b/>
                <w:sz w:val="18"/>
                <w:szCs w:val="18"/>
              </w:rPr>
              <w:t>AO</w:t>
            </w:r>
            <w:r>
              <w:rPr>
                <w:b/>
                <w:sz w:val="18"/>
                <w:szCs w:val="18"/>
              </w:rPr>
              <w:t>6</w:t>
            </w:r>
            <w:r w:rsidRPr="00706698">
              <w:rPr>
                <w:b/>
                <w:sz w:val="18"/>
                <w:szCs w:val="18"/>
              </w:rPr>
              <w:t>.4</w:t>
            </w:r>
          </w:p>
          <w:p w14:paraId="470C8C86" w14:textId="77777777" w:rsidR="00AD79FE" w:rsidRPr="00C501E7" w:rsidRDefault="00AD79FE" w:rsidP="00EA3542">
            <w:pPr>
              <w:rPr>
                <w:sz w:val="18"/>
                <w:szCs w:val="18"/>
              </w:rPr>
            </w:pPr>
            <w:r>
              <w:rPr>
                <w:sz w:val="18"/>
                <w:szCs w:val="18"/>
              </w:rPr>
              <w:t>Any fence provided to a street frontage or in front of the building line (where not a side or rear boundary referred to in AO6.3) is not more than 1.2m high.</w:t>
            </w:r>
          </w:p>
        </w:tc>
        <w:tc>
          <w:tcPr>
            <w:tcW w:w="5439" w:type="dxa"/>
          </w:tcPr>
          <w:p w14:paraId="03A903C4" w14:textId="52C9EBA9" w:rsidR="00AD79FE" w:rsidRDefault="00AD79FE"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15C0DD69" w14:textId="06023020" w:rsidTr="00AD79FE">
        <w:tc>
          <w:tcPr>
            <w:tcW w:w="8505" w:type="dxa"/>
            <w:gridSpan w:val="2"/>
            <w:shd w:val="clear" w:color="auto" w:fill="D9D9D9"/>
          </w:tcPr>
          <w:p w14:paraId="58E64A65" w14:textId="77777777" w:rsidR="00AD79FE" w:rsidRPr="00FD1AF3" w:rsidRDefault="00AD79FE" w:rsidP="00EA3542">
            <w:pPr>
              <w:rPr>
                <w:rFonts w:cs="Arial"/>
                <w:b/>
                <w:i/>
                <w:sz w:val="18"/>
                <w:szCs w:val="18"/>
              </w:rPr>
            </w:pPr>
            <w:r>
              <w:rPr>
                <w:rFonts w:cs="Arial"/>
                <w:b/>
                <w:i/>
                <w:sz w:val="18"/>
                <w:szCs w:val="18"/>
              </w:rPr>
              <w:t>Private open space</w:t>
            </w:r>
          </w:p>
        </w:tc>
        <w:tc>
          <w:tcPr>
            <w:tcW w:w="5439" w:type="dxa"/>
            <w:shd w:val="clear" w:color="auto" w:fill="D9D9D9"/>
          </w:tcPr>
          <w:p w14:paraId="1CFCFEC3" w14:textId="77777777" w:rsidR="00AD79FE" w:rsidRDefault="00AD79FE" w:rsidP="00EA3542">
            <w:pPr>
              <w:rPr>
                <w:rFonts w:cs="Arial"/>
                <w:b/>
                <w:i/>
                <w:sz w:val="18"/>
                <w:szCs w:val="18"/>
              </w:rPr>
            </w:pPr>
          </w:p>
        </w:tc>
      </w:tr>
      <w:tr w:rsidR="00AD79FE" w:rsidRPr="00FD1AF3" w14:paraId="4D392995" w14:textId="30C64F17" w:rsidTr="00AD79FE">
        <w:tc>
          <w:tcPr>
            <w:tcW w:w="4253" w:type="dxa"/>
            <w:shd w:val="clear" w:color="auto" w:fill="auto"/>
          </w:tcPr>
          <w:p w14:paraId="22FABB05" w14:textId="77777777" w:rsidR="00AD79FE" w:rsidRDefault="00AD79FE" w:rsidP="00EA3542">
            <w:pPr>
              <w:rPr>
                <w:b/>
                <w:sz w:val="18"/>
                <w:szCs w:val="18"/>
              </w:rPr>
            </w:pPr>
            <w:r>
              <w:rPr>
                <w:b/>
                <w:sz w:val="18"/>
                <w:szCs w:val="18"/>
              </w:rPr>
              <w:t>PO7</w:t>
            </w:r>
          </w:p>
          <w:p w14:paraId="07E5794D" w14:textId="77777777" w:rsidR="00AD79FE" w:rsidRDefault="00AD79FE" w:rsidP="00EA3542">
            <w:pPr>
              <w:rPr>
                <w:sz w:val="18"/>
                <w:szCs w:val="18"/>
              </w:rPr>
            </w:pPr>
            <w:r>
              <w:rPr>
                <w:sz w:val="18"/>
                <w:szCs w:val="18"/>
              </w:rPr>
              <w:t>Occupants of the dual occupancy are provided with sufficient areas of private open space which:-</w:t>
            </w:r>
          </w:p>
          <w:p w14:paraId="096B2138" w14:textId="77777777" w:rsidR="00AD79FE" w:rsidRPr="00737265" w:rsidRDefault="00AD79FE" w:rsidP="00AD79FE">
            <w:pPr>
              <w:numPr>
                <w:ilvl w:val="0"/>
                <w:numId w:val="35"/>
              </w:numPr>
              <w:rPr>
                <w:sz w:val="18"/>
                <w:szCs w:val="18"/>
              </w:rPr>
            </w:pPr>
            <w:r>
              <w:rPr>
                <w:sz w:val="18"/>
                <w:szCs w:val="18"/>
              </w:rPr>
              <w:t>has a suitable area, dimensions and configuration to encourage outdoor living use;</w:t>
            </w:r>
          </w:p>
          <w:p w14:paraId="6DE61531" w14:textId="77777777" w:rsidR="00AD79FE" w:rsidRDefault="00AD79FE" w:rsidP="00AD79FE">
            <w:pPr>
              <w:numPr>
                <w:ilvl w:val="0"/>
                <w:numId w:val="35"/>
              </w:numPr>
              <w:rPr>
                <w:sz w:val="18"/>
                <w:szCs w:val="18"/>
              </w:rPr>
            </w:pPr>
            <w:r>
              <w:rPr>
                <w:sz w:val="18"/>
                <w:szCs w:val="18"/>
              </w:rPr>
              <w:lastRenderedPageBreak/>
              <w:t>is available for the sole use of the residents of individual dwelling units; and</w:t>
            </w:r>
          </w:p>
          <w:p w14:paraId="2EC7ED51" w14:textId="77777777" w:rsidR="00AD79FE" w:rsidRDefault="00AD79FE" w:rsidP="00AD79FE">
            <w:pPr>
              <w:numPr>
                <w:ilvl w:val="0"/>
                <w:numId w:val="35"/>
              </w:numPr>
              <w:rPr>
                <w:sz w:val="18"/>
                <w:szCs w:val="18"/>
              </w:rPr>
            </w:pPr>
            <w:proofErr w:type="gramStart"/>
            <w:r>
              <w:rPr>
                <w:sz w:val="18"/>
                <w:szCs w:val="18"/>
              </w:rPr>
              <w:t>is</w:t>
            </w:r>
            <w:proofErr w:type="gramEnd"/>
            <w:r>
              <w:rPr>
                <w:sz w:val="18"/>
                <w:szCs w:val="18"/>
              </w:rPr>
              <w:t xml:space="preserve"> adequately separated from each other to provide visual privacy.</w:t>
            </w:r>
          </w:p>
        </w:tc>
        <w:tc>
          <w:tcPr>
            <w:tcW w:w="4252" w:type="dxa"/>
            <w:shd w:val="clear" w:color="auto" w:fill="auto"/>
          </w:tcPr>
          <w:p w14:paraId="46E80149" w14:textId="77777777" w:rsidR="00AD79FE" w:rsidRDefault="00AD79FE" w:rsidP="00EA3542">
            <w:pPr>
              <w:rPr>
                <w:b/>
                <w:sz w:val="18"/>
                <w:szCs w:val="18"/>
              </w:rPr>
            </w:pPr>
            <w:r>
              <w:rPr>
                <w:b/>
                <w:sz w:val="18"/>
                <w:szCs w:val="18"/>
              </w:rPr>
              <w:lastRenderedPageBreak/>
              <w:t>AO7</w:t>
            </w:r>
          </w:p>
          <w:p w14:paraId="4D862496" w14:textId="77777777" w:rsidR="00AD79FE" w:rsidRDefault="00AD79FE" w:rsidP="00EA3542">
            <w:pPr>
              <w:rPr>
                <w:sz w:val="18"/>
                <w:szCs w:val="18"/>
              </w:rPr>
            </w:pPr>
            <w:r>
              <w:rPr>
                <w:sz w:val="18"/>
                <w:szCs w:val="18"/>
              </w:rPr>
              <w:t>Each dwelling has a clearly defined area of private open space which:-</w:t>
            </w:r>
          </w:p>
          <w:p w14:paraId="2E366AE1" w14:textId="77777777" w:rsidR="00AD79FE" w:rsidRPr="00105140" w:rsidRDefault="00AD79FE" w:rsidP="00AD79FE">
            <w:pPr>
              <w:numPr>
                <w:ilvl w:val="0"/>
                <w:numId w:val="34"/>
              </w:numPr>
              <w:rPr>
                <w:rFonts w:cs="Arial"/>
                <w:sz w:val="18"/>
                <w:szCs w:val="18"/>
              </w:rPr>
            </w:pPr>
            <w:r>
              <w:rPr>
                <w:rFonts w:cs="Arial"/>
                <w:sz w:val="18"/>
                <w:szCs w:val="18"/>
              </w:rPr>
              <w:t>h</w:t>
            </w:r>
            <w:r w:rsidRPr="00105140">
              <w:rPr>
                <w:rFonts w:cs="Arial"/>
                <w:sz w:val="18"/>
                <w:szCs w:val="18"/>
              </w:rPr>
              <w:t>as an area of at least 16m</w:t>
            </w:r>
            <w:r w:rsidRPr="00105140">
              <w:rPr>
                <w:rFonts w:cs="Arial"/>
                <w:sz w:val="18"/>
                <w:szCs w:val="18"/>
                <w:vertAlign w:val="superscript"/>
              </w:rPr>
              <w:t>2</w:t>
            </w:r>
            <w:r>
              <w:rPr>
                <w:rFonts w:cs="Arial"/>
                <w:sz w:val="18"/>
                <w:szCs w:val="18"/>
              </w:rPr>
              <w:t>;</w:t>
            </w:r>
          </w:p>
          <w:p w14:paraId="78AF1227" w14:textId="77777777" w:rsidR="00AD79FE" w:rsidRPr="00105140" w:rsidRDefault="00AD79FE" w:rsidP="00AD79FE">
            <w:pPr>
              <w:numPr>
                <w:ilvl w:val="0"/>
                <w:numId w:val="34"/>
              </w:numPr>
              <w:tabs>
                <w:tab w:val="num" w:pos="3600"/>
              </w:tabs>
              <w:rPr>
                <w:rFonts w:cs="Arial"/>
                <w:sz w:val="18"/>
                <w:szCs w:val="18"/>
              </w:rPr>
            </w:pPr>
            <w:r>
              <w:rPr>
                <w:rFonts w:cs="Arial"/>
                <w:sz w:val="18"/>
                <w:szCs w:val="18"/>
              </w:rPr>
              <w:t>h</w:t>
            </w:r>
            <w:r w:rsidRPr="00105140">
              <w:rPr>
                <w:rFonts w:cs="Arial"/>
                <w:sz w:val="18"/>
                <w:szCs w:val="18"/>
              </w:rPr>
              <w:t>as a minimum dimension of 4m</w:t>
            </w:r>
            <w:r>
              <w:rPr>
                <w:rFonts w:cs="Arial"/>
                <w:sz w:val="18"/>
                <w:szCs w:val="18"/>
              </w:rPr>
              <w:t>;</w:t>
            </w:r>
          </w:p>
          <w:p w14:paraId="6F5848E4" w14:textId="77777777" w:rsidR="00AD79FE" w:rsidRPr="00105140" w:rsidRDefault="00AD79FE" w:rsidP="00AD79FE">
            <w:pPr>
              <w:numPr>
                <w:ilvl w:val="0"/>
                <w:numId w:val="34"/>
              </w:numPr>
              <w:tabs>
                <w:tab w:val="num" w:pos="3600"/>
              </w:tabs>
              <w:rPr>
                <w:rFonts w:cs="Arial"/>
                <w:sz w:val="18"/>
                <w:szCs w:val="18"/>
              </w:rPr>
            </w:pPr>
            <w:r>
              <w:rPr>
                <w:rFonts w:cs="Arial"/>
                <w:sz w:val="18"/>
                <w:szCs w:val="18"/>
              </w:rPr>
              <w:lastRenderedPageBreak/>
              <w:t>i</w:t>
            </w:r>
            <w:r w:rsidRPr="00105140">
              <w:rPr>
                <w:rFonts w:cs="Arial"/>
                <w:sz w:val="18"/>
                <w:szCs w:val="18"/>
              </w:rPr>
              <w:t xml:space="preserve">s directly accessible </w:t>
            </w:r>
            <w:r>
              <w:rPr>
                <w:rFonts w:cs="Arial"/>
                <w:sz w:val="18"/>
                <w:szCs w:val="18"/>
              </w:rPr>
              <w:t>from a living area of the dwelling; and</w:t>
            </w:r>
          </w:p>
          <w:p w14:paraId="28F1543B" w14:textId="77777777" w:rsidR="00AD79FE" w:rsidRDefault="00AD79FE" w:rsidP="00AD79FE">
            <w:pPr>
              <w:numPr>
                <w:ilvl w:val="0"/>
                <w:numId w:val="34"/>
              </w:numPr>
              <w:tabs>
                <w:tab w:val="num" w:pos="3600"/>
              </w:tabs>
              <w:rPr>
                <w:sz w:val="18"/>
                <w:szCs w:val="18"/>
              </w:rPr>
            </w:pPr>
            <w:proofErr w:type="gramStart"/>
            <w:r>
              <w:rPr>
                <w:rFonts w:cs="Arial"/>
                <w:sz w:val="18"/>
                <w:szCs w:val="18"/>
              </w:rPr>
              <w:t>p</w:t>
            </w:r>
            <w:r w:rsidRPr="00105140">
              <w:rPr>
                <w:rFonts w:cs="Arial"/>
                <w:sz w:val="18"/>
                <w:szCs w:val="18"/>
              </w:rPr>
              <w:t>rovides</w:t>
            </w:r>
            <w:proofErr w:type="gramEnd"/>
            <w:r w:rsidRPr="00105140">
              <w:rPr>
                <w:rFonts w:cs="Arial"/>
                <w:sz w:val="18"/>
                <w:szCs w:val="18"/>
              </w:rPr>
              <w:t xml:space="preserve"> visual privacy from </w:t>
            </w:r>
            <w:r>
              <w:rPr>
                <w:rFonts w:cs="Arial"/>
                <w:sz w:val="18"/>
                <w:szCs w:val="18"/>
              </w:rPr>
              <w:t>other private open</w:t>
            </w:r>
            <w:r w:rsidRPr="00105140">
              <w:rPr>
                <w:rFonts w:cs="Arial"/>
                <w:sz w:val="18"/>
                <w:szCs w:val="18"/>
              </w:rPr>
              <w:t xml:space="preserve"> space </w:t>
            </w:r>
            <w:r>
              <w:rPr>
                <w:rFonts w:cs="Arial"/>
                <w:sz w:val="18"/>
                <w:szCs w:val="18"/>
              </w:rPr>
              <w:t xml:space="preserve">areas </w:t>
            </w:r>
            <w:r w:rsidRPr="00105140">
              <w:rPr>
                <w:rFonts w:cs="Arial"/>
                <w:sz w:val="18"/>
                <w:szCs w:val="18"/>
              </w:rPr>
              <w:t>by a screen</w:t>
            </w:r>
            <w:r>
              <w:rPr>
                <w:rFonts w:cs="Arial"/>
                <w:sz w:val="18"/>
                <w:szCs w:val="18"/>
              </w:rPr>
              <w:t>, wall or fence</w:t>
            </w:r>
            <w:r w:rsidRPr="00105140">
              <w:rPr>
                <w:rFonts w:cs="Arial"/>
                <w:sz w:val="18"/>
                <w:szCs w:val="18"/>
              </w:rPr>
              <w:t>.</w:t>
            </w:r>
            <w:r>
              <w:rPr>
                <w:sz w:val="18"/>
                <w:szCs w:val="18"/>
              </w:rPr>
              <w:t xml:space="preserve"> </w:t>
            </w:r>
          </w:p>
        </w:tc>
        <w:tc>
          <w:tcPr>
            <w:tcW w:w="5439" w:type="dxa"/>
          </w:tcPr>
          <w:p w14:paraId="42D4ED70" w14:textId="276297ED" w:rsidR="00AD79FE" w:rsidRDefault="00AD79FE"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1E6587E5" w14:textId="7DA5B17C" w:rsidTr="00AD79FE">
        <w:tc>
          <w:tcPr>
            <w:tcW w:w="8505" w:type="dxa"/>
            <w:gridSpan w:val="2"/>
            <w:shd w:val="clear" w:color="auto" w:fill="D9D9D9"/>
          </w:tcPr>
          <w:p w14:paraId="24FD2447" w14:textId="77777777" w:rsidR="00AD79FE" w:rsidRPr="00FD1AF3" w:rsidRDefault="00AD79FE" w:rsidP="00EA3542">
            <w:pPr>
              <w:rPr>
                <w:rFonts w:cs="Arial"/>
                <w:b/>
                <w:i/>
                <w:sz w:val="18"/>
                <w:szCs w:val="18"/>
              </w:rPr>
            </w:pPr>
            <w:r>
              <w:rPr>
                <w:rFonts w:cs="Arial"/>
                <w:b/>
                <w:i/>
                <w:sz w:val="18"/>
                <w:szCs w:val="18"/>
              </w:rPr>
              <w:lastRenderedPageBreak/>
              <w:t>Safety and security</w:t>
            </w:r>
          </w:p>
        </w:tc>
        <w:tc>
          <w:tcPr>
            <w:tcW w:w="5439" w:type="dxa"/>
            <w:shd w:val="clear" w:color="auto" w:fill="D9D9D9"/>
          </w:tcPr>
          <w:p w14:paraId="5896CD0B" w14:textId="77777777" w:rsidR="00AD79FE" w:rsidRDefault="00AD79FE" w:rsidP="00EA3542">
            <w:pPr>
              <w:rPr>
                <w:rFonts w:cs="Arial"/>
                <w:b/>
                <w:i/>
                <w:sz w:val="18"/>
                <w:szCs w:val="18"/>
              </w:rPr>
            </w:pPr>
          </w:p>
        </w:tc>
      </w:tr>
      <w:tr w:rsidR="00AD79FE" w:rsidRPr="00FD1AF3" w14:paraId="137B47A8" w14:textId="2C450786" w:rsidTr="00AD79FE">
        <w:tc>
          <w:tcPr>
            <w:tcW w:w="4253" w:type="dxa"/>
            <w:shd w:val="clear" w:color="auto" w:fill="auto"/>
          </w:tcPr>
          <w:p w14:paraId="381B1656" w14:textId="77777777" w:rsidR="00AD79FE" w:rsidRPr="00FD1AF3" w:rsidRDefault="00AD79FE" w:rsidP="00EA3542">
            <w:pPr>
              <w:rPr>
                <w:b/>
                <w:sz w:val="18"/>
                <w:szCs w:val="18"/>
              </w:rPr>
            </w:pPr>
            <w:r>
              <w:rPr>
                <w:b/>
                <w:sz w:val="18"/>
                <w:szCs w:val="18"/>
              </w:rPr>
              <w:t>PO8</w:t>
            </w:r>
          </w:p>
          <w:p w14:paraId="0234B949" w14:textId="77777777" w:rsidR="00AD79FE" w:rsidRDefault="00AD79FE" w:rsidP="00EA3542">
            <w:pPr>
              <w:rPr>
                <w:sz w:val="18"/>
                <w:szCs w:val="18"/>
              </w:rPr>
            </w:pPr>
            <w:r>
              <w:rPr>
                <w:sz w:val="18"/>
                <w:szCs w:val="18"/>
              </w:rPr>
              <w:t xml:space="preserve">The dual occupancy including buildings and outdoor spaces is designed to protect the personal safety and security of residents by allowing for natural surveillance.  </w:t>
            </w:r>
          </w:p>
        </w:tc>
        <w:tc>
          <w:tcPr>
            <w:tcW w:w="4252" w:type="dxa"/>
            <w:shd w:val="clear" w:color="auto" w:fill="auto"/>
          </w:tcPr>
          <w:p w14:paraId="3BB4E968" w14:textId="77777777" w:rsidR="00AD79FE" w:rsidRPr="00FD1AF3" w:rsidRDefault="00AD79FE" w:rsidP="00EA3542">
            <w:pPr>
              <w:rPr>
                <w:b/>
                <w:sz w:val="18"/>
                <w:szCs w:val="18"/>
              </w:rPr>
            </w:pPr>
            <w:r>
              <w:rPr>
                <w:b/>
                <w:sz w:val="18"/>
                <w:szCs w:val="18"/>
              </w:rPr>
              <w:t>AO8.1</w:t>
            </w:r>
          </w:p>
          <w:p w14:paraId="266B03FE" w14:textId="77777777" w:rsidR="00AD79FE" w:rsidRDefault="00AD79FE" w:rsidP="00EA3542">
            <w:pPr>
              <w:rPr>
                <w:rFonts w:cs="Arial"/>
                <w:sz w:val="18"/>
                <w:szCs w:val="18"/>
              </w:rPr>
            </w:pPr>
            <w:r>
              <w:rPr>
                <w:rFonts w:cs="Arial"/>
                <w:sz w:val="18"/>
                <w:szCs w:val="18"/>
              </w:rPr>
              <w:t xml:space="preserve">Each dwelling has a front door (not being a garage door) that is visible and clearly identifiable from the street (expect where on a hatchet shaped lot or lot accessed via an easement) and from the driveway. </w:t>
            </w:r>
          </w:p>
          <w:p w14:paraId="7284DD25" w14:textId="77777777" w:rsidR="00AD79FE" w:rsidRDefault="00AD79FE" w:rsidP="00EA3542">
            <w:pPr>
              <w:rPr>
                <w:rFonts w:cs="Arial"/>
                <w:sz w:val="18"/>
                <w:szCs w:val="18"/>
              </w:rPr>
            </w:pPr>
          </w:p>
          <w:p w14:paraId="6E24C548" w14:textId="77777777" w:rsidR="00AD79FE" w:rsidRPr="00706698" w:rsidRDefault="00AD79FE" w:rsidP="00EA3542">
            <w:pPr>
              <w:rPr>
                <w:rFonts w:cs="Arial"/>
                <w:b/>
                <w:sz w:val="18"/>
                <w:szCs w:val="18"/>
              </w:rPr>
            </w:pPr>
            <w:r w:rsidRPr="00706698">
              <w:rPr>
                <w:rFonts w:cs="Arial"/>
                <w:b/>
                <w:sz w:val="18"/>
                <w:szCs w:val="18"/>
              </w:rPr>
              <w:t>AO</w:t>
            </w:r>
            <w:r>
              <w:rPr>
                <w:rFonts w:cs="Arial"/>
                <w:b/>
                <w:sz w:val="18"/>
                <w:szCs w:val="18"/>
              </w:rPr>
              <w:t>8</w:t>
            </w:r>
            <w:r w:rsidRPr="00706698">
              <w:rPr>
                <w:rFonts w:cs="Arial"/>
                <w:b/>
                <w:sz w:val="18"/>
                <w:szCs w:val="18"/>
              </w:rPr>
              <w:t>.2</w:t>
            </w:r>
          </w:p>
          <w:p w14:paraId="13B14A47" w14:textId="77777777" w:rsidR="00AD79FE" w:rsidRPr="007D124B" w:rsidRDefault="00AD79FE" w:rsidP="00EA3542">
            <w:pPr>
              <w:rPr>
                <w:rFonts w:cs="Arial"/>
                <w:sz w:val="18"/>
                <w:szCs w:val="18"/>
              </w:rPr>
            </w:pPr>
            <w:r>
              <w:rPr>
                <w:rFonts w:cs="Arial"/>
                <w:sz w:val="18"/>
                <w:szCs w:val="18"/>
              </w:rPr>
              <w:t xml:space="preserve">The internal pathway network has clear sightlines to each dwelling’s front door and street access points. </w:t>
            </w:r>
          </w:p>
        </w:tc>
        <w:tc>
          <w:tcPr>
            <w:tcW w:w="5439" w:type="dxa"/>
          </w:tcPr>
          <w:p w14:paraId="6F3E6210" w14:textId="0C6B174C" w:rsidR="00AD79FE" w:rsidRDefault="00AD79FE"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6326E00E" w14:textId="4744FD78" w:rsidTr="00AD79FE">
        <w:tc>
          <w:tcPr>
            <w:tcW w:w="8505" w:type="dxa"/>
            <w:gridSpan w:val="2"/>
            <w:shd w:val="clear" w:color="auto" w:fill="D9D9D9"/>
          </w:tcPr>
          <w:p w14:paraId="7B78C4E8" w14:textId="77777777" w:rsidR="00AD79FE" w:rsidRPr="00FD1AF3" w:rsidRDefault="00AD79FE" w:rsidP="00EA3542">
            <w:pPr>
              <w:rPr>
                <w:b/>
                <w:i/>
                <w:sz w:val="18"/>
                <w:szCs w:val="18"/>
              </w:rPr>
            </w:pPr>
            <w:r w:rsidRPr="00FD1AF3">
              <w:rPr>
                <w:b/>
                <w:i/>
                <w:sz w:val="18"/>
                <w:szCs w:val="18"/>
              </w:rPr>
              <w:t xml:space="preserve">Services and </w:t>
            </w:r>
            <w:r>
              <w:rPr>
                <w:b/>
                <w:i/>
                <w:sz w:val="18"/>
                <w:szCs w:val="18"/>
              </w:rPr>
              <w:t>u</w:t>
            </w:r>
            <w:r w:rsidRPr="00FD1AF3">
              <w:rPr>
                <w:b/>
                <w:i/>
                <w:sz w:val="18"/>
                <w:szCs w:val="18"/>
              </w:rPr>
              <w:t>tilities</w:t>
            </w:r>
          </w:p>
        </w:tc>
        <w:tc>
          <w:tcPr>
            <w:tcW w:w="5439" w:type="dxa"/>
            <w:shd w:val="clear" w:color="auto" w:fill="D9D9D9"/>
          </w:tcPr>
          <w:p w14:paraId="3CBCAF99" w14:textId="77777777" w:rsidR="00AD79FE" w:rsidRPr="00FD1AF3" w:rsidRDefault="00AD79FE" w:rsidP="00EA3542">
            <w:pPr>
              <w:rPr>
                <w:b/>
                <w:i/>
                <w:sz w:val="18"/>
                <w:szCs w:val="18"/>
              </w:rPr>
            </w:pPr>
          </w:p>
        </w:tc>
      </w:tr>
      <w:tr w:rsidR="00AD79FE" w:rsidRPr="00FD1AF3" w14:paraId="6DCF110E" w14:textId="2DA9539B" w:rsidTr="00AD79FE">
        <w:tc>
          <w:tcPr>
            <w:tcW w:w="4253" w:type="dxa"/>
            <w:tcBorders>
              <w:bottom w:val="single" w:sz="4" w:space="0" w:color="auto"/>
            </w:tcBorders>
            <w:shd w:val="clear" w:color="auto" w:fill="auto"/>
          </w:tcPr>
          <w:p w14:paraId="656E68F4" w14:textId="77777777" w:rsidR="00AD79FE" w:rsidRPr="001657E8" w:rsidRDefault="00AD79FE" w:rsidP="00EA3542">
            <w:pPr>
              <w:rPr>
                <w:rFonts w:cs="Arial"/>
                <w:b/>
                <w:sz w:val="18"/>
                <w:szCs w:val="18"/>
              </w:rPr>
            </w:pPr>
            <w:r>
              <w:rPr>
                <w:rFonts w:cs="Arial"/>
                <w:b/>
                <w:sz w:val="18"/>
                <w:szCs w:val="18"/>
              </w:rPr>
              <w:t>PO9</w:t>
            </w:r>
          </w:p>
          <w:p w14:paraId="57BD39BF" w14:textId="77777777" w:rsidR="00AD79FE" w:rsidRPr="0007359A" w:rsidRDefault="00AD79FE" w:rsidP="00EA3542">
            <w:pPr>
              <w:rPr>
                <w:rFonts w:cs="Arial"/>
                <w:sz w:val="18"/>
                <w:szCs w:val="18"/>
              </w:rPr>
            </w:pPr>
            <w:r w:rsidRPr="002B4632">
              <w:rPr>
                <w:sz w:val="18"/>
                <w:szCs w:val="18"/>
              </w:rPr>
              <w:t>The dual occupancy is provided with and connected to essential infrastructure and services</w:t>
            </w:r>
            <w:r>
              <w:rPr>
                <w:sz w:val="18"/>
                <w:szCs w:val="18"/>
              </w:rPr>
              <w:t>, where available</w:t>
            </w:r>
            <w:r w:rsidRPr="002B4632">
              <w:rPr>
                <w:sz w:val="18"/>
                <w:szCs w:val="18"/>
              </w:rPr>
              <w:t>.</w:t>
            </w:r>
          </w:p>
        </w:tc>
        <w:tc>
          <w:tcPr>
            <w:tcW w:w="4252" w:type="dxa"/>
            <w:tcBorders>
              <w:bottom w:val="single" w:sz="4" w:space="0" w:color="auto"/>
            </w:tcBorders>
            <w:shd w:val="clear" w:color="auto" w:fill="auto"/>
          </w:tcPr>
          <w:p w14:paraId="115D3DD0" w14:textId="77777777" w:rsidR="00AD79FE" w:rsidRPr="001657E8" w:rsidRDefault="00AD79FE" w:rsidP="00EA3542">
            <w:pPr>
              <w:rPr>
                <w:rFonts w:cs="Arial"/>
                <w:b/>
                <w:sz w:val="18"/>
                <w:szCs w:val="18"/>
              </w:rPr>
            </w:pPr>
            <w:r w:rsidRPr="001657E8">
              <w:rPr>
                <w:rFonts w:cs="Arial"/>
                <w:b/>
                <w:sz w:val="18"/>
                <w:szCs w:val="18"/>
              </w:rPr>
              <w:t>AO</w:t>
            </w:r>
            <w:r>
              <w:rPr>
                <w:rFonts w:cs="Arial"/>
                <w:b/>
                <w:sz w:val="18"/>
                <w:szCs w:val="18"/>
              </w:rPr>
              <w:t>9.1</w:t>
            </w:r>
          </w:p>
          <w:p w14:paraId="41191DD8" w14:textId="77777777" w:rsidR="00AD79FE" w:rsidRDefault="00AD79FE" w:rsidP="00EA3542">
            <w:pPr>
              <w:rPr>
                <w:sz w:val="18"/>
                <w:szCs w:val="18"/>
              </w:rPr>
            </w:pPr>
            <w:r w:rsidRPr="002B4632">
              <w:rPr>
                <w:sz w:val="18"/>
                <w:szCs w:val="18"/>
              </w:rPr>
              <w:t>The dual occupancy is connected to the ret</w:t>
            </w:r>
            <w:r>
              <w:rPr>
                <w:sz w:val="18"/>
                <w:szCs w:val="18"/>
              </w:rPr>
              <w:t xml:space="preserve">iculated water supply, sewerage, </w:t>
            </w:r>
            <w:r w:rsidRPr="002B4632">
              <w:rPr>
                <w:sz w:val="18"/>
                <w:szCs w:val="18"/>
              </w:rPr>
              <w:t>stormwater drainage</w:t>
            </w:r>
            <w:r>
              <w:rPr>
                <w:sz w:val="18"/>
                <w:szCs w:val="18"/>
              </w:rPr>
              <w:t xml:space="preserve"> and electricity supply</w:t>
            </w:r>
            <w:r w:rsidRPr="002B4632">
              <w:rPr>
                <w:sz w:val="18"/>
                <w:szCs w:val="18"/>
              </w:rPr>
              <w:t xml:space="preserve"> infrastructure networks </w:t>
            </w:r>
            <w:r>
              <w:rPr>
                <w:sz w:val="18"/>
                <w:szCs w:val="18"/>
              </w:rPr>
              <w:t>(where available to the lot).</w:t>
            </w:r>
          </w:p>
          <w:p w14:paraId="7B9AB3AB" w14:textId="77777777" w:rsidR="00AD79FE" w:rsidRDefault="00AD79FE" w:rsidP="00EA3542">
            <w:pPr>
              <w:rPr>
                <w:sz w:val="18"/>
                <w:szCs w:val="18"/>
              </w:rPr>
            </w:pPr>
          </w:p>
          <w:p w14:paraId="78EB9CE8" w14:textId="77777777" w:rsidR="00AD79FE" w:rsidRPr="00706698" w:rsidRDefault="00AD79FE" w:rsidP="00EA3542">
            <w:pPr>
              <w:rPr>
                <w:b/>
                <w:sz w:val="18"/>
                <w:szCs w:val="18"/>
              </w:rPr>
            </w:pPr>
            <w:r w:rsidRPr="00706698">
              <w:rPr>
                <w:b/>
                <w:sz w:val="18"/>
                <w:szCs w:val="18"/>
              </w:rPr>
              <w:t>AO</w:t>
            </w:r>
            <w:r>
              <w:rPr>
                <w:b/>
                <w:sz w:val="18"/>
                <w:szCs w:val="18"/>
              </w:rPr>
              <w:t>9</w:t>
            </w:r>
            <w:r w:rsidRPr="00706698">
              <w:rPr>
                <w:b/>
                <w:sz w:val="18"/>
                <w:szCs w:val="18"/>
              </w:rPr>
              <w:t>.2</w:t>
            </w:r>
          </w:p>
          <w:p w14:paraId="01EF5ECE" w14:textId="77777777" w:rsidR="00AD79FE" w:rsidRDefault="00AD79FE" w:rsidP="00EA3542">
            <w:pPr>
              <w:rPr>
                <w:rFonts w:cs="Arial"/>
                <w:iCs/>
                <w:sz w:val="16"/>
                <w:szCs w:val="16"/>
              </w:rPr>
            </w:pPr>
            <w:r>
              <w:rPr>
                <w:sz w:val="18"/>
                <w:szCs w:val="18"/>
              </w:rPr>
              <w:t xml:space="preserve">Where not located in a </w:t>
            </w:r>
            <w:proofErr w:type="spellStart"/>
            <w:r>
              <w:rPr>
                <w:sz w:val="18"/>
                <w:szCs w:val="18"/>
              </w:rPr>
              <w:t>sewered</w:t>
            </w:r>
            <w:proofErr w:type="spellEnd"/>
            <w:r>
              <w:rPr>
                <w:sz w:val="18"/>
                <w:szCs w:val="18"/>
              </w:rPr>
              <w:t xml:space="preserve"> area, the dual occupancy is provided with an effluent treatment and disposal system in accordance with the </w:t>
            </w:r>
            <w:r w:rsidRPr="00FF6664">
              <w:rPr>
                <w:i/>
                <w:sz w:val="18"/>
                <w:szCs w:val="18"/>
              </w:rPr>
              <w:t xml:space="preserve">Plumbing and Drainage Act </w:t>
            </w:r>
            <w:r>
              <w:rPr>
                <w:i/>
                <w:sz w:val="18"/>
                <w:szCs w:val="18"/>
              </w:rPr>
              <w:t>2018</w:t>
            </w:r>
            <w:r>
              <w:rPr>
                <w:rFonts w:cs="Arial"/>
                <w:i/>
                <w:iCs/>
                <w:sz w:val="16"/>
                <w:szCs w:val="16"/>
              </w:rPr>
              <w:t>.</w:t>
            </w:r>
          </w:p>
          <w:p w14:paraId="5714B550" w14:textId="77777777" w:rsidR="00AD79FE" w:rsidRDefault="00AD79FE" w:rsidP="00EA3542">
            <w:pPr>
              <w:rPr>
                <w:rFonts w:cs="Arial"/>
                <w:iCs/>
                <w:sz w:val="16"/>
                <w:szCs w:val="16"/>
              </w:rPr>
            </w:pPr>
          </w:p>
          <w:p w14:paraId="507CABE9" w14:textId="77777777" w:rsidR="00AD79FE" w:rsidRPr="00772AAE" w:rsidRDefault="00AD79FE" w:rsidP="00EA3542">
            <w:pPr>
              <w:rPr>
                <w:rFonts w:cs="Arial"/>
                <w:b/>
                <w:iCs/>
                <w:sz w:val="18"/>
                <w:szCs w:val="18"/>
              </w:rPr>
            </w:pPr>
            <w:r w:rsidRPr="00772AAE">
              <w:rPr>
                <w:rFonts w:cs="Arial"/>
                <w:b/>
                <w:iCs/>
                <w:sz w:val="18"/>
                <w:szCs w:val="18"/>
              </w:rPr>
              <w:t>AO9.3</w:t>
            </w:r>
          </w:p>
          <w:p w14:paraId="59DBDF10" w14:textId="77777777" w:rsidR="00AD79FE" w:rsidRDefault="00AD79FE" w:rsidP="00EA3542">
            <w:pPr>
              <w:rPr>
                <w:rFonts w:cs="Arial"/>
                <w:iCs/>
                <w:sz w:val="18"/>
                <w:szCs w:val="18"/>
              </w:rPr>
            </w:pPr>
            <w:r w:rsidRPr="00772AAE">
              <w:rPr>
                <w:rFonts w:cs="Arial"/>
                <w:iCs/>
                <w:sz w:val="18"/>
                <w:szCs w:val="18"/>
              </w:rPr>
              <w:t xml:space="preserve">Where reticulated water supply is not available to the lot, </w:t>
            </w:r>
            <w:r>
              <w:rPr>
                <w:rFonts w:cs="Arial"/>
                <w:iCs/>
                <w:sz w:val="18"/>
                <w:szCs w:val="18"/>
              </w:rPr>
              <w:t xml:space="preserve">each dwelling in </w:t>
            </w:r>
            <w:r w:rsidRPr="00772AAE">
              <w:rPr>
                <w:rFonts w:cs="Arial"/>
                <w:iCs/>
                <w:sz w:val="18"/>
                <w:szCs w:val="18"/>
              </w:rPr>
              <w:t>the dual occupancy is provided wi</w:t>
            </w:r>
            <w:r>
              <w:rPr>
                <w:rFonts w:cs="Arial"/>
                <w:iCs/>
                <w:sz w:val="18"/>
                <w:szCs w:val="18"/>
              </w:rPr>
              <w:t xml:space="preserve">th water supply via a minimum 45,000 litre </w:t>
            </w:r>
            <w:r w:rsidRPr="00772AAE">
              <w:rPr>
                <w:rFonts w:cs="Arial"/>
                <w:iCs/>
                <w:sz w:val="18"/>
                <w:szCs w:val="18"/>
              </w:rPr>
              <w:t>rainwater collection tank</w:t>
            </w:r>
            <w:r>
              <w:rPr>
                <w:rFonts w:cs="Arial"/>
                <w:iCs/>
                <w:sz w:val="18"/>
                <w:szCs w:val="18"/>
              </w:rPr>
              <w:t>.</w:t>
            </w:r>
          </w:p>
          <w:p w14:paraId="63094559" w14:textId="77777777" w:rsidR="00AD79FE" w:rsidRDefault="00AD79FE" w:rsidP="00EA3542">
            <w:pPr>
              <w:rPr>
                <w:rFonts w:cs="Arial"/>
                <w:iCs/>
                <w:sz w:val="18"/>
                <w:szCs w:val="18"/>
              </w:rPr>
            </w:pPr>
          </w:p>
          <w:p w14:paraId="75B64DAE" w14:textId="77777777" w:rsidR="00AD79FE" w:rsidRPr="00772AAE" w:rsidRDefault="00AD79FE" w:rsidP="00EA3542">
            <w:pPr>
              <w:rPr>
                <w:sz w:val="18"/>
                <w:szCs w:val="18"/>
              </w:rPr>
            </w:pPr>
            <w:r w:rsidRPr="00925B4A">
              <w:rPr>
                <w:rFonts w:cs="Arial"/>
                <w:iCs/>
                <w:sz w:val="16"/>
                <w:szCs w:val="16"/>
              </w:rPr>
              <w:t xml:space="preserve">Editor’s note—Standards Australia </w:t>
            </w:r>
            <w:r w:rsidRPr="00925B4A">
              <w:rPr>
                <w:rFonts w:cs="Arial"/>
                <w:i/>
                <w:iCs/>
                <w:sz w:val="16"/>
                <w:szCs w:val="16"/>
              </w:rPr>
              <w:t>HB230-2008 Rainwater Tank Design and Installation Handbook</w:t>
            </w:r>
            <w:r w:rsidRPr="00925B4A">
              <w:rPr>
                <w:rFonts w:cs="Arial"/>
                <w:iCs/>
                <w:sz w:val="16"/>
                <w:szCs w:val="16"/>
              </w:rPr>
              <w:t xml:space="preserve"> includes information for the collection, storage and use of rainwater for private domestic use.</w:t>
            </w:r>
          </w:p>
        </w:tc>
        <w:tc>
          <w:tcPr>
            <w:tcW w:w="5439" w:type="dxa"/>
            <w:tcBorders>
              <w:bottom w:val="single" w:sz="4" w:space="0" w:color="auto"/>
            </w:tcBorders>
          </w:tcPr>
          <w:p w14:paraId="53F91EAD" w14:textId="03697AEE" w:rsidR="00AD79FE" w:rsidRPr="001657E8" w:rsidRDefault="00AD79FE"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7FE5A6E8" w14:textId="171AA3A0" w:rsidTr="00AD79FE">
        <w:tc>
          <w:tcPr>
            <w:tcW w:w="4253" w:type="dxa"/>
            <w:shd w:val="clear" w:color="auto" w:fill="auto"/>
          </w:tcPr>
          <w:p w14:paraId="3BCE483D" w14:textId="77777777" w:rsidR="00AD79FE" w:rsidRPr="00FD1AF3" w:rsidRDefault="00AD79FE" w:rsidP="00EA3542">
            <w:pPr>
              <w:rPr>
                <w:b/>
                <w:sz w:val="18"/>
                <w:szCs w:val="18"/>
              </w:rPr>
            </w:pPr>
            <w:r>
              <w:rPr>
                <w:b/>
                <w:sz w:val="18"/>
                <w:szCs w:val="18"/>
              </w:rPr>
              <w:t>PO10</w:t>
            </w:r>
          </w:p>
          <w:p w14:paraId="73B61344" w14:textId="77777777" w:rsidR="00AD79FE" w:rsidRPr="00FD1AF3" w:rsidRDefault="00AD79FE" w:rsidP="00EA3542">
            <w:pPr>
              <w:rPr>
                <w:sz w:val="18"/>
                <w:szCs w:val="18"/>
              </w:rPr>
            </w:pPr>
            <w:r w:rsidRPr="00FD1AF3">
              <w:rPr>
                <w:sz w:val="18"/>
                <w:szCs w:val="18"/>
              </w:rPr>
              <w:t>The dual occupancy is provided with adequate areas for the storage of waste and recyclable items, in appropriate containers, which are convenient to use and service.</w:t>
            </w:r>
          </w:p>
        </w:tc>
        <w:tc>
          <w:tcPr>
            <w:tcW w:w="4252" w:type="dxa"/>
            <w:shd w:val="clear" w:color="auto" w:fill="auto"/>
          </w:tcPr>
          <w:p w14:paraId="2B0E0001" w14:textId="77777777" w:rsidR="00AD79FE" w:rsidRPr="00FD1AF3" w:rsidRDefault="00AD79FE" w:rsidP="00EA3542">
            <w:pPr>
              <w:rPr>
                <w:b/>
                <w:sz w:val="18"/>
                <w:szCs w:val="18"/>
                <w:vertAlign w:val="superscript"/>
              </w:rPr>
            </w:pPr>
            <w:r w:rsidRPr="00FD1AF3">
              <w:rPr>
                <w:b/>
                <w:sz w:val="18"/>
                <w:szCs w:val="18"/>
              </w:rPr>
              <w:t>AO</w:t>
            </w:r>
            <w:r>
              <w:rPr>
                <w:b/>
                <w:sz w:val="18"/>
                <w:szCs w:val="18"/>
              </w:rPr>
              <w:t>10</w:t>
            </w:r>
          </w:p>
          <w:p w14:paraId="5322FA35" w14:textId="77777777" w:rsidR="00AD79FE" w:rsidRPr="00FD1AF3" w:rsidRDefault="00AD79FE" w:rsidP="00EA3542">
            <w:pPr>
              <w:rPr>
                <w:sz w:val="18"/>
                <w:szCs w:val="18"/>
              </w:rPr>
            </w:pPr>
            <w:r>
              <w:rPr>
                <w:sz w:val="18"/>
                <w:szCs w:val="18"/>
              </w:rPr>
              <w:t>The dual occupancy provides for the storage and collection of mobile garbage bins, with bin storage via a</w:t>
            </w:r>
            <w:r w:rsidRPr="00FD1AF3">
              <w:rPr>
                <w:sz w:val="18"/>
                <w:szCs w:val="18"/>
              </w:rPr>
              <w:t xml:space="preserve"> separate waste storage area for each dwelling </w:t>
            </w:r>
            <w:r>
              <w:rPr>
                <w:sz w:val="18"/>
                <w:szCs w:val="18"/>
              </w:rPr>
              <w:t xml:space="preserve">or a common </w:t>
            </w:r>
            <w:r w:rsidRPr="00FD1AF3">
              <w:rPr>
                <w:sz w:val="18"/>
                <w:szCs w:val="18"/>
              </w:rPr>
              <w:t>waste storage area</w:t>
            </w:r>
            <w:r>
              <w:rPr>
                <w:sz w:val="18"/>
                <w:szCs w:val="18"/>
              </w:rPr>
              <w:t xml:space="preserve">, in accordance with the requirements specified in the </w:t>
            </w:r>
            <w:r w:rsidRPr="00F71C52">
              <w:rPr>
                <w:b/>
                <w:sz w:val="18"/>
                <w:szCs w:val="18"/>
              </w:rPr>
              <w:lastRenderedPageBreak/>
              <w:t>Planning scheme policy for waste management</w:t>
            </w:r>
            <w:r w:rsidRPr="00FD1AF3">
              <w:rPr>
                <w:sz w:val="18"/>
                <w:szCs w:val="18"/>
              </w:rPr>
              <w:t>.</w:t>
            </w:r>
          </w:p>
        </w:tc>
        <w:tc>
          <w:tcPr>
            <w:tcW w:w="5439" w:type="dxa"/>
          </w:tcPr>
          <w:p w14:paraId="7403DD41" w14:textId="009DB868" w:rsidR="00AD79FE" w:rsidRPr="00FD1AF3" w:rsidRDefault="00AD79FE"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6107CC78" w14:textId="534C064A" w:rsidTr="00AD79FE">
        <w:tc>
          <w:tcPr>
            <w:tcW w:w="8505" w:type="dxa"/>
            <w:gridSpan w:val="2"/>
            <w:shd w:val="clear" w:color="auto" w:fill="D9D9D9"/>
          </w:tcPr>
          <w:p w14:paraId="28410273" w14:textId="77777777" w:rsidR="00AD79FE" w:rsidRPr="009D0353" w:rsidRDefault="00AD79FE" w:rsidP="00EA3542">
            <w:pPr>
              <w:keepNext/>
              <w:rPr>
                <w:b/>
                <w:i/>
                <w:sz w:val="18"/>
                <w:szCs w:val="18"/>
              </w:rPr>
            </w:pPr>
            <w:r>
              <w:rPr>
                <w:b/>
                <w:i/>
                <w:sz w:val="18"/>
                <w:szCs w:val="18"/>
              </w:rPr>
              <w:lastRenderedPageBreak/>
              <w:t xml:space="preserve">Access and </w:t>
            </w:r>
            <w:r w:rsidRPr="009D0353">
              <w:rPr>
                <w:b/>
                <w:i/>
                <w:sz w:val="18"/>
                <w:szCs w:val="18"/>
              </w:rPr>
              <w:t>On-site car parking</w:t>
            </w:r>
          </w:p>
        </w:tc>
        <w:tc>
          <w:tcPr>
            <w:tcW w:w="5439" w:type="dxa"/>
            <w:shd w:val="clear" w:color="auto" w:fill="D9D9D9"/>
          </w:tcPr>
          <w:p w14:paraId="269A3281" w14:textId="77777777" w:rsidR="00AD79FE" w:rsidRDefault="00AD79FE" w:rsidP="00EA3542">
            <w:pPr>
              <w:keepNext/>
              <w:rPr>
                <w:b/>
                <w:i/>
                <w:sz w:val="18"/>
                <w:szCs w:val="18"/>
              </w:rPr>
            </w:pPr>
          </w:p>
        </w:tc>
      </w:tr>
      <w:tr w:rsidR="00AD79FE" w:rsidRPr="00FD1AF3" w14:paraId="6B05E40D" w14:textId="04904EBE" w:rsidTr="00AD79FE">
        <w:tc>
          <w:tcPr>
            <w:tcW w:w="4253" w:type="dxa"/>
            <w:shd w:val="clear" w:color="auto" w:fill="auto"/>
          </w:tcPr>
          <w:p w14:paraId="033BF782" w14:textId="77777777" w:rsidR="00AD79FE" w:rsidRDefault="00AD79FE" w:rsidP="00EA3542">
            <w:pPr>
              <w:rPr>
                <w:b/>
                <w:sz w:val="18"/>
                <w:szCs w:val="18"/>
              </w:rPr>
            </w:pPr>
            <w:r>
              <w:rPr>
                <w:b/>
                <w:sz w:val="18"/>
                <w:szCs w:val="18"/>
              </w:rPr>
              <w:t>PO11</w:t>
            </w:r>
          </w:p>
          <w:p w14:paraId="2E92D686" w14:textId="77777777" w:rsidR="00AD79FE" w:rsidRPr="00872E96" w:rsidRDefault="00AD79FE" w:rsidP="00EA3542">
            <w:pPr>
              <w:rPr>
                <w:b/>
                <w:sz w:val="18"/>
                <w:szCs w:val="18"/>
              </w:rPr>
            </w:pPr>
            <w:r w:rsidRPr="009D0353">
              <w:rPr>
                <w:sz w:val="18"/>
                <w:szCs w:val="18"/>
              </w:rPr>
              <w:t>The dual occupancy provides sufficient on-site car</w:t>
            </w:r>
            <w:r>
              <w:rPr>
                <w:sz w:val="18"/>
                <w:szCs w:val="18"/>
              </w:rPr>
              <w:t xml:space="preserve"> </w:t>
            </w:r>
            <w:r w:rsidRPr="009D0353">
              <w:rPr>
                <w:sz w:val="18"/>
                <w:szCs w:val="18"/>
              </w:rPr>
              <w:t>parking to satisfy the projected needs of residents having regard to:-</w:t>
            </w:r>
          </w:p>
          <w:p w14:paraId="523C912C" w14:textId="77777777" w:rsidR="00AD79FE" w:rsidRPr="009D0353" w:rsidRDefault="00AD79FE" w:rsidP="00AD79FE">
            <w:pPr>
              <w:numPr>
                <w:ilvl w:val="0"/>
                <w:numId w:val="30"/>
              </w:numPr>
              <w:rPr>
                <w:sz w:val="18"/>
                <w:szCs w:val="18"/>
              </w:rPr>
            </w:pPr>
            <w:r w:rsidRPr="009D0353">
              <w:rPr>
                <w:sz w:val="18"/>
                <w:szCs w:val="18"/>
              </w:rPr>
              <w:t>the availability of public transport;</w:t>
            </w:r>
          </w:p>
          <w:p w14:paraId="789A2231" w14:textId="77777777" w:rsidR="00AD79FE" w:rsidRPr="009D0353" w:rsidRDefault="00AD79FE" w:rsidP="00AD79FE">
            <w:pPr>
              <w:numPr>
                <w:ilvl w:val="0"/>
                <w:numId w:val="30"/>
              </w:numPr>
              <w:rPr>
                <w:sz w:val="18"/>
                <w:szCs w:val="18"/>
              </w:rPr>
            </w:pPr>
            <w:r w:rsidRPr="009D0353">
              <w:rPr>
                <w:sz w:val="18"/>
                <w:szCs w:val="18"/>
              </w:rPr>
              <w:t xml:space="preserve">the availability of on-street parking; </w:t>
            </w:r>
          </w:p>
          <w:p w14:paraId="4C1EB081" w14:textId="77777777" w:rsidR="00AD79FE" w:rsidRPr="009D0353" w:rsidRDefault="00AD79FE" w:rsidP="00AD79FE">
            <w:pPr>
              <w:numPr>
                <w:ilvl w:val="0"/>
                <w:numId w:val="30"/>
              </w:numPr>
              <w:rPr>
                <w:sz w:val="18"/>
                <w:szCs w:val="18"/>
              </w:rPr>
            </w:pPr>
            <w:r w:rsidRPr="009D0353">
              <w:rPr>
                <w:sz w:val="18"/>
                <w:szCs w:val="18"/>
              </w:rPr>
              <w:t>the desirability of on-street parking in respect to streetscape character; and</w:t>
            </w:r>
          </w:p>
          <w:p w14:paraId="506624B2" w14:textId="77777777" w:rsidR="00AD79FE" w:rsidRPr="009D0353" w:rsidRDefault="00AD79FE" w:rsidP="00AD79FE">
            <w:pPr>
              <w:numPr>
                <w:ilvl w:val="0"/>
                <w:numId w:val="30"/>
              </w:numPr>
              <w:rPr>
                <w:sz w:val="18"/>
                <w:szCs w:val="18"/>
              </w:rPr>
            </w:pPr>
            <w:proofErr w:type="gramStart"/>
            <w:r w:rsidRPr="009D0353">
              <w:rPr>
                <w:sz w:val="18"/>
                <w:szCs w:val="18"/>
              </w:rPr>
              <w:t>the</w:t>
            </w:r>
            <w:proofErr w:type="gramEnd"/>
            <w:r w:rsidRPr="009D0353">
              <w:rPr>
                <w:sz w:val="18"/>
                <w:szCs w:val="18"/>
              </w:rPr>
              <w:t xml:space="preserve"> residents’ likelihood to have or need a vehicle. </w:t>
            </w:r>
          </w:p>
        </w:tc>
        <w:tc>
          <w:tcPr>
            <w:tcW w:w="4252" w:type="dxa"/>
            <w:shd w:val="clear" w:color="auto" w:fill="auto"/>
          </w:tcPr>
          <w:p w14:paraId="799AA6B7" w14:textId="77777777" w:rsidR="00AD79FE" w:rsidRPr="009D0353" w:rsidRDefault="00AD79FE" w:rsidP="00EA3542">
            <w:pPr>
              <w:rPr>
                <w:b/>
                <w:sz w:val="18"/>
                <w:szCs w:val="18"/>
              </w:rPr>
            </w:pPr>
            <w:r>
              <w:rPr>
                <w:b/>
                <w:sz w:val="18"/>
                <w:szCs w:val="18"/>
              </w:rPr>
              <w:t>AO11</w:t>
            </w:r>
          </w:p>
          <w:p w14:paraId="3CFAA375" w14:textId="77777777" w:rsidR="00AD79FE" w:rsidRDefault="00AD79FE" w:rsidP="00EA3542">
            <w:pPr>
              <w:rPr>
                <w:sz w:val="18"/>
                <w:szCs w:val="18"/>
              </w:rPr>
            </w:pPr>
            <w:r>
              <w:rPr>
                <w:sz w:val="18"/>
                <w:szCs w:val="18"/>
              </w:rPr>
              <w:t>The dual occupancy provides 2 on-site car parking spaces per dwelling, of which a minimum of 1 space per dwelling is covered.</w:t>
            </w:r>
          </w:p>
          <w:p w14:paraId="765D8569" w14:textId="77777777" w:rsidR="00AD79FE" w:rsidRDefault="00AD79FE" w:rsidP="00EA3542">
            <w:pPr>
              <w:rPr>
                <w:sz w:val="18"/>
                <w:szCs w:val="18"/>
              </w:rPr>
            </w:pPr>
          </w:p>
          <w:p w14:paraId="7CD3F90A" w14:textId="77777777" w:rsidR="00AD79FE" w:rsidRPr="009D0353" w:rsidRDefault="00AD79FE" w:rsidP="00EA3542">
            <w:pPr>
              <w:rPr>
                <w:sz w:val="18"/>
                <w:szCs w:val="18"/>
              </w:rPr>
            </w:pPr>
            <w:r w:rsidRPr="000A040D">
              <w:rPr>
                <w:sz w:val="16"/>
                <w:szCs w:val="16"/>
              </w:rPr>
              <w:t>Note—Car parking spaces may</w:t>
            </w:r>
            <w:r>
              <w:rPr>
                <w:sz w:val="16"/>
                <w:szCs w:val="16"/>
              </w:rPr>
              <w:t xml:space="preserve"> be</w:t>
            </w:r>
            <w:r w:rsidRPr="000A040D">
              <w:rPr>
                <w:sz w:val="16"/>
                <w:szCs w:val="16"/>
              </w:rPr>
              <w:t xml:space="preserve"> in a tandem configuration provided </w:t>
            </w:r>
            <w:r>
              <w:rPr>
                <w:sz w:val="16"/>
                <w:szCs w:val="16"/>
              </w:rPr>
              <w:t>that these spaces are wholly contained within the site such that parked vehicles do not protrude into the road reserve</w:t>
            </w:r>
            <w:r>
              <w:rPr>
                <w:sz w:val="18"/>
                <w:szCs w:val="18"/>
              </w:rPr>
              <w:t xml:space="preserve">. </w:t>
            </w:r>
          </w:p>
        </w:tc>
        <w:tc>
          <w:tcPr>
            <w:tcW w:w="5439" w:type="dxa"/>
          </w:tcPr>
          <w:p w14:paraId="2F297444" w14:textId="3DB82D3F" w:rsidR="00AD79FE" w:rsidRDefault="00AD79FE"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D79FE" w:rsidRPr="00FD1AF3" w14:paraId="43EBF994" w14:textId="645E12BE" w:rsidTr="00AD79FE">
        <w:tc>
          <w:tcPr>
            <w:tcW w:w="4253" w:type="dxa"/>
            <w:shd w:val="clear" w:color="auto" w:fill="auto"/>
          </w:tcPr>
          <w:p w14:paraId="5C0AA475" w14:textId="77777777" w:rsidR="00AD79FE" w:rsidRDefault="00AD79FE" w:rsidP="00EA3542">
            <w:pPr>
              <w:rPr>
                <w:b/>
                <w:sz w:val="18"/>
                <w:szCs w:val="18"/>
              </w:rPr>
            </w:pPr>
            <w:r>
              <w:rPr>
                <w:b/>
                <w:sz w:val="18"/>
                <w:szCs w:val="18"/>
              </w:rPr>
              <w:t>PO12</w:t>
            </w:r>
          </w:p>
          <w:p w14:paraId="1F53FF56" w14:textId="77777777" w:rsidR="00AD79FE" w:rsidRPr="001F3346" w:rsidRDefault="00AD79FE" w:rsidP="00EA3542">
            <w:pPr>
              <w:rPr>
                <w:sz w:val="18"/>
                <w:szCs w:val="18"/>
              </w:rPr>
            </w:pPr>
            <w:r>
              <w:rPr>
                <w:sz w:val="18"/>
                <w:szCs w:val="18"/>
              </w:rPr>
              <w:t>Development ensures that vehicle access and parking is safe, and does not interfere with the function, safety and operation of the transport network.</w:t>
            </w:r>
          </w:p>
        </w:tc>
        <w:tc>
          <w:tcPr>
            <w:tcW w:w="4252" w:type="dxa"/>
            <w:shd w:val="clear" w:color="auto" w:fill="auto"/>
          </w:tcPr>
          <w:p w14:paraId="7477501E" w14:textId="77777777" w:rsidR="00AD79FE" w:rsidRPr="00706698" w:rsidRDefault="00AD79FE" w:rsidP="00EA3542">
            <w:pPr>
              <w:rPr>
                <w:b/>
                <w:sz w:val="18"/>
                <w:szCs w:val="18"/>
              </w:rPr>
            </w:pPr>
            <w:r w:rsidRPr="00706698">
              <w:rPr>
                <w:b/>
                <w:sz w:val="18"/>
                <w:szCs w:val="18"/>
              </w:rPr>
              <w:t>AO1</w:t>
            </w:r>
            <w:r>
              <w:rPr>
                <w:b/>
                <w:sz w:val="18"/>
                <w:szCs w:val="18"/>
              </w:rPr>
              <w:t>2</w:t>
            </w:r>
            <w:r w:rsidRPr="00706698">
              <w:rPr>
                <w:b/>
                <w:sz w:val="18"/>
                <w:szCs w:val="18"/>
              </w:rPr>
              <w:t>.</w:t>
            </w:r>
            <w:r>
              <w:rPr>
                <w:b/>
                <w:sz w:val="18"/>
                <w:szCs w:val="18"/>
              </w:rPr>
              <w:t>1</w:t>
            </w:r>
          </w:p>
          <w:p w14:paraId="204992D9" w14:textId="77777777" w:rsidR="00AD79FE" w:rsidRDefault="00AD79FE" w:rsidP="00EA3542">
            <w:pPr>
              <w:rPr>
                <w:rFonts w:cs="Arial"/>
                <w:sz w:val="18"/>
                <w:szCs w:val="18"/>
              </w:rPr>
            </w:pPr>
            <w:r>
              <w:rPr>
                <w:rFonts w:cs="Arial"/>
                <w:sz w:val="18"/>
                <w:szCs w:val="18"/>
              </w:rPr>
              <w:t xml:space="preserve">Access driveways, internal circulation and manoeuvring areas, and on-site car parking areas are designed and constructed in accordance with </w:t>
            </w:r>
            <w:r w:rsidRPr="00133124">
              <w:rPr>
                <w:rFonts w:cs="Arial"/>
                <w:i/>
                <w:sz w:val="18"/>
                <w:szCs w:val="18"/>
              </w:rPr>
              <w:t>AS2890 Parking facilities – Off-street car parking</w:t>
            </w:r>
            <w:r>
              <w:rPr>
                <w:rFonts w:cs="Arial"/>
                <w:sz w:val="18"/>
                <w:szCs w:val="18"/>
              </w:rPr>
              <w:t xml:space="preserve"> and the </w:t>
            </w:r>
            <w:r w:rsidRPr="006B2F21">
              <w:rPr>
                <w:rFonts w:cs="Arial"/>
                <w:b/>
                <w:sz w:val="18"/>
                <w:szCs w:val="18"/>
              </w:rPr>
              <w:t>Planning scheme policy for development works</w:t>
            </w:r>
            <w:r>
              <w:rPr>
                <w:rFonts w:cs="Arial"/>
                <w:sz w:val="18"/>
                <w:szCs w:val="18"/>
              </w:rPr>
              <w:t>.  Access driveways are to be concrete, while internal driveway and car parking areas are to be minimum asphalt or concrete paved.</w:t>
            </w:r>
          </w:p>
          <w:p w14:paraId="419363BA" w14:textId="77777777" w:rsidR="00AD79FE" w:rsidRDefault="00AD79FE" w:rsidP="00EA3542">
            <w:pPr>
              <w:rPr>
                <w:rFonts w:cs="Arial"/>
                <w:sz w:val="18"/>
                <w:szCs w:val="18"/>
              </w:rPr>
            </w:pPr>
          </w:p>
          <w:p w14:paraId="4E65A8B1" w14:textId="77777777" w:rsidR="00AD79FE" w:rsidRPr="006B2F21" w:rsidRDefault="00AD79FE" w:rsidP="00EA3542">
            <w:pPr>
              <w:rPr>
                <w:rFonts w:cs="Arial"/>
                <w:b/>
                <w:sz w:val="18"/>
                <w:szCs w:val="18"/>
              </w:rPr>
            </w:pPr>
            <w:r w:rsidRPr="006B2F21">
              <w:rPr>
                <w:rFonts w:cs="Arial"/>
                <w:b/>
                <w:sz w:val="18"/>
                <w:szCs w:val="18"/>
              </w:rPr>
              <w:t>AO1</w:t>
            </w:r>
            <w:r>
              <w:rPr>
                <w:rFonts w:cs="Arial"/>
                <w:b/>
                <w:sz w:val="18"/>
                <w:szCs w:val="18"/>
              </w:rPr>
              <w:t>2</w:t>
            </w:r>
            <w:r w:rsidRPr="006B2F21">
              <w:rPr>
                <w:rFonts w:cs="Arial"/>
                <w:b/>
                <w:sz w:val="18"/>
                <w:szCs w:val="18"/>
              </w:rPr>
              <w:t>.</w:t>
            </w:r>
            <w:r>
              <w:rPr>
                <w:rFonts w:cs="Arial"/>
                <w:b/>
                <w:sz w:val="18"/>
                <w:szCs w:val="18"/>
              </w:rPr>
              <w:t>2</w:t>
            </w:r>
          </w:p>
          <w:p w14:paraId="2D056B23" w14:textId="77777777" w:rsidR="00AD79FE" w:rsidRDefault="00AD79FE" w:rsidP="00EA3542">
            <w:pPr>
              <w:rPr>
                <w:b/>
                <w:sz w:val="18"/>
                <w:szCs w:val="18"/>
              </w:rPr>
            </w:pPr>
            <w:r>
              <w:rPr>
                <w:rFonts w:cs="Arial"/>
                <w:sz w:val="18"/>
                <w:szCs w:val="18"/>
              </w:rPr>
              <w:t>Where the development is accessed via a collector road or trunk road, on-site car parking and manoeuvring areas are designed to ensure vehicles can enter and leave the site in a forward motion</w:t>
            </w:r>
            <w:r>
              <w:rPr>
                <w:sz w:val="18"/>
                <w:szCs w:val="18"/>
              </w:rPr>
              <w:t>.</w:t>
            </w:r>
          </w:p>
        </w:tc>
        <w:tc>
          <w:tcPr>
            <w:tcW w:w="5439" w:type="dxa"/>
          </w:tcPr>
          <w:p w14:paraId="0801EC27" w14:textId="5DAC9DF5" w:rsidR="00AD79FE" w:rsidRPr="00706698" w:rsidRDefault="00AD79FE"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1A114A7F" w14:textId="77777777" w:rsidR="00AD79FE" w:rsidRPr="00AD79FE" w:rsidRDefault="00AD79FE" w:rsidP="00AD79FE"/>
    <w:sectPr w:rsidR="00AD79FE"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FB46FE">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FB46FE">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proofErr w:type="gramStart"/>
    <w:r>
      <w:rPr>
        <w:sz w:val="14"/>
        <w:szCs w:val="14"/>
      </w:rPr>
      <w:t>9.2  Use</w:t>
    </w:r>
    <w:proofErr w:type="gramEnd"/>
    <w:r>
      <w:rPr>
        <w:sz w:val="14"/>
        <w:szCs w:val="14"/>
      </w:rPr>
      <w:t xml:space="preserve"> codes</w:t>
    </w:r>
    <w:r w:rsidR="00480409">
      <w:rPr>
        <w:sz w:val="14"/>
        <w:szCs w:val="14"/>
      </w:rPr>
      <w:tab/>
      <w:t>Editable word version</w:t>
    </w:r>
  </w:p>
  <w:p w14:paraId="33FF00DA" w14:textId="5105E844" w:rsidR="00F17CEA" w:rsidRPr="0076688A" w:rsidRDefault="00FB46FE" w:rsidP="0076688A">
    <w:pPr>
      <w:rPr>
        <w:sz w:val="14"/>
        <w:szCs w:val="14"/>
      </w:rPr>
    </w:pPr>
    <w:r>
      <w:rPr>
        <w:b/>
        <w:noProof/>
        <w:sz w:val="14"/>
        <w:szCs w:val="14"/>
      </w:rPr>
      <w:t>9.2.5</w:t>
    </w:r>
    <w:r w:rsidR="005B563F" w:rsidRPr="005B563F">
      <w:rPr>
        <w:b/>
        <w:noProof/>
        <w:sz w:val="14"/>
        <w:szCs w:val="14"/>
      </w:rPr>
      <w:t xml:space="preserve"> </w:t>
    </w:r>
    <w:r w:rsidR="005B563F">
      <w:rPr>
        <w:b/>
        <w:noProof/>
        <w:sz w:val="14"/>
        <w:szCs w:val="14"/>
      </w:rPr>
      <w:t xml:space="preserve"> </w:t>
    </w:r>
    <w:r w:rsidR="00867839">
      <w:rPr>
        <w:b/>
        <w:noProof/>
        <w:sz w:val="14"/>
        <w:szCs w:val="14"/>
      </w:rPr>
      <w:t>Dual ocuupancy</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proofErr w:type="gramStart"/>
    <w:r w:rsidR="00F17CEA">
      <w:rPr>
        <w:sz w:val="14"/>
        <w:szCs w:val="14"/>
      </w:rPr>
      <w:t>9.2  Use</w:t>
    </w:r>
    <w:proofErr w:type="gramEnd"/>
    <w:r w:rsidR="00F17CEA">
      <w:rPr>
        <w:sz w:val="14"/>
        <w:szCs w:val="14"/>
      </w:rPr>
      <w:t xml:space="preserve"> codes</w:t>
    </w:r>
  </w:p>
  <w:p w14:paraId="317B0F38" w14:textId="2473AB18"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867839">
      <w:rPr>
        <w:b/>
        <w:noProof/>
        <w:sz w:val="14"/>
        <w:szCs w:val="14"/>
      </w:rPr>
      <w:t>9.2.5</w:t>
    </w:r>
    <w:r w:rsidR="005B563F">
      <w:rPr>
        <w:b/>
        <w:noProof/>
        <w:sz w:val="14"/>
        <w:szCs w:val="14"/>
      </w:rPr>
      <w:t xml:space="preserve"> </w:t>
    </w:r>
    <w:r w:rsidR="005B563F" w:rsidRPr="005B563F">
      <w:rPr>
        <w:b/>
        <w:noProof/>
        <w:sz w:val="14"/>
        <w:szCs w:val="14"/>
      </w:rPr>
      <w:t xml:space="preserve"> </w:t>
    </w:r>
    <w:r w:rsidR="00867839">
      <w:rPr>
        <w:b/>
        <w:noProof/>
        <w:sz w:val="14"/>
        <w:szCs w:val="14"/>
      </w:rPr>
      <w:t xml:space="preserve">Dual ocuupancy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A366EF"/>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F0148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7">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8E1D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6172A3"/>
    <w:multiLevelType w:val="multilevel"/>
    <w:tmpl w:val="DC50824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15314B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6040F00"/>
    <w:multiLevelType w:val="hybridMultilevel"/>
    <w:tmpl w:val="410A84F6"/>
    <w:lvl w:ilvl="0" w:tplc="57969CE2">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3">
    <w:nsid w:val="26D3335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051CF3"/>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E84D8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3D8345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932FA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9B7156"/>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1E9565A"/>
    <w:multiLevelType w:val="multilevel"/>
    <w:tmpl w:val="3D184830"/>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lowerRoman"/>
      <w:lvlText w:val="(%2)"/>
      <w:lvlJc w:val="left"/>
      <w:pPr>
        <w:tabs>
          <w:tab w:val="num" w:pos="1080"/>
        </w:tabs>
        <w:ind w:left="1080" w:hanging="360"/>
      </w:pPr>
      <w:rPr>
        <w:rFonts w:ascii="Arial" w:hAnsi="Arial" w:hint="default"/>
        <w:b w:val="0"/>
        <w:i w:val="0"/>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533C5CEC"/>
    <w:multiLevelType w:val="hybridMultilevel"/>
    <w:tmpl w:val="1AC8E12C"/>
    <w:lvl w:ilvl="0" w:tplc="BB16E29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4E70F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990229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D71283"/>
    <w:multiLevelType w:val="multilevel"/>
    <w:tmpl w:val="2DAEB1E8"/>
    <w:lvl w:ilvl="0">
      <w:start w:val="1"/>
      <w:numFmt w:val="lowerRoman"/>
      <w:lvlText w:val="(%1)"/>
      <w:lvlJc w:val="left"/>
      <w:pPr>
        <w:tabs>
          <w:tab w:val="num" w:pos="360"/>
        </w:tabs>
        <w:ind w:left="360" w:hanging="360"/>
      </w:pPr>
      <w:rPr>
        <w:rFonts w:ascii="Arial" w:hAnsi="Arial" w:hint="default"/>
        <w:b w:val="0"/>
        <w:i w:val="0"/>
        <w:sz w:val="18"/>
        <w:szCs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E2F4C2B"/>
    <w:multiLevelType w:val="hybridMultilevel"/>
    <w:tmpl w:val="CB46E400"/>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32D49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1">
    <w:nsid w:val="75DE0A4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90D4B8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abstractNum w:abstractNumId="35">
    <w:nsid w:val="7C081D7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3"/>
  </w:num>
  <w:num w:numId="3">
    <w:abstractNumId w:val="9"/>
  </w:num>
  <w:num w:numId="4">
    <w:abstractNumId w:val="17"/>
  </w:num>
  <w:num w:numId="5">
    <w:abstractNumId w:val="16"/>
  </w:num>
  <w:num w:numId="6">
    <w:abstractNumId w:val="5"/>
  </w:num>
  <w:num w:numId="7">
    <w:abstractNumId w:val="32"/>
  </w:num>
  <w:num w:numId="8">
    <w:abstractNumId w:val="1"/>
  </w:num>
  <w:num w:numId="9">
    <w:abstractNumId w:val="6"/>
  </w:num>
  <w:num w:numId="10">
    <w:abstractNumId w:val="18"/>
  </w:num>
  <w:num w:numId="11">
    <w:abstractNumId w:val="27"/>
  </w:num>
  <w:num w:numId="12">
    <w:abstractNumId w:val="0"/>
  </w:num>
  <w:num w:numId="13">
    <w:abstractNumId w:val="34"/>
  </w:num>
  <w:num w:numId="14">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9"/>
    </w:lvlOverride>
    <w:lvlOverride w:ilvl="1">
      <w:startOverride w:val="2"/>
    </w:lvlOverride>
    <w:lvlOverride w:ilvl="2">
      <w:startOverride w:val="3"/>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3"/>
  </w:num>
  <w:num w:numId="22">
    <w:abstractNumId w:val="30"/>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1"/>
  </w:num>
  <w:num w:numId="27">
    <w:abstractNumId w:val="19"/>
  </w:num>
  <w:num w:numId="28">
    <w:abstractNumId w:val="21"/>
  </w:num>
  <w:num w:numId="29">
    <w:abstractNumId w:val="25"/>
  </w:num>
  <w:num w:numId="30">
    <w:abstractNumId w:val="29"/>
  </w:num>
  <w:num w:numId="31">
    <w:abstractNumId w:val="13"/>
  </w:num>
  <w:num w:numId="32">
    <w:abstractNumId w:val="35"/>
  </w:num>
  <w:num w:numId="33">
    <w:abstractNumId w:val="28"/>
  </w:num>
  <w:num w:numId="34">
    <w:abstractNumId w:val="4"/>
  </w:num>
  <w:num w:numId="35">
    <w:abstractNumId w:val="26"/>
  </w:num>
  <w:num w:numId="36">
    <w:abstractNumId w:val="24"/>
  </w:num>
  <w:num w:numId="37">
    <w:abstractNumId w:val="22"/>
  </w:num>
  <w:num w:numId="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5017"/>
    <w:rsid w:val="00AC6DC6"/>
    <w:rsid w:val="00AD2172"/>
    <w:rsid w:val="00AD22C5"/>
    <w:rsid w:val="00AD3425"/>
    <w:rsid w:val="00AD4506"/>
    <w:rsid w:val="00AD79FE"/>
    <w:rsid w:val="00AD7F81"/>
    <w:rsid w:val="00AE24C5"/>
    <w:rsid w:val="00AE3079"/>
    <w:rsid w:val="00AE34D0"/>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46FE"/>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5707F0EA-7E24-49DE-9CF4-B411A148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1873</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11691</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4</cp:revision>
  <cp:lastPrinted>2020-01-21T03:32:00Z</cp:lastPrinted>
  <dcterms:created xsi:type="dcterms:W3CDTF">2020-02-06T23:37:00Z</dcterms:created>
  <dcterms:modified xsi:type="dcterms:W3CDTF">2020-02-06T23:44:00Z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