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CF20D" w14:textId="77777777" w:rsidR="005C03F2" w:rsidRPr="005C03F2" w:rsidRDefault="005C03F2" w:rsidP="005C03F2">
      <w:pPr>
        <w:pStyle w:val="ListParagraph"/>
        <w:keepNext/>
        <w:numPr>
          <w:ilvl w:val="0"/>
          <w:numId w:val="1"/>
        </w:numPr>
        <w:spacing w:before="100" w:after="200"/>
        <w:outlineLvl w:val="0"/>
        <w:rPr>
          <w:rFonts w:cs="Arial"/>
          <w:b/>
          <w:bCs/>
          <w:vanish/>
          <w:kern w:val="32"/>
          <w:sz w:val="32"/>
          <w:szCs w:val="32"/>
        </w:rPr>
      </w:pPr>
      <w:bookmarkStart w:id="0" w:name="_Toc29997556"/>
    </w:p>
    <w:p w14:paraId="5FC22E52" w14:textId="77777777" w:rsidR="005C03F2" w:rsidRPr="005C03F2" w:rsidRDefault="005C03F2" w:rsidP="005C03F2">
      <w:pPr>
        <w:pStyle w:val="ListParagraph"/>
        <w:keepNext/>
        <w:numPr>
          <w:ilvl w:val="1"/>
          <w:numId w:val="1"/>
        </w:numPr>
        <w:spacing w:before="100" w:after="20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0FB05B74" w14:textId="77777777" w:rsidR="005C03F2" w:rsidRPr="005C03F2" w:rsidRDefault="005C03F2" w:rsidP="005C03F2">
      <w:pPr>
        <w:pStyle w:val="ListParagraph"/>
        <w:keepNext/>
        <w:numPr>
          <w:ilvl w:val="1"/>
          <w:numId w:val="1"/>
        </w:numPr>
        <w:spacing w:before="100" w:after="20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7E5FE50F" w14:textId="77777777" w:rsidR="005C03F2" w:rsidRPr="005C03F2" w:rsidRDefault="005C03F2" w:rsidP="005C03F2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11743EDE" w14:textId="77777777" w:rsidR="005C03F2" w:rsidRPr="005C03F2" w:rsidRDefault="005C03F2" w:rsidP="005C03F2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15408791" w14:textId="77777777" w:rsidR="005C03F2" w:rsidRPr="005C03F2" w:rsidRDefault="005C03F2" w:rsidP="005C03F2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224E5B89" w14:textId="77777777" w:rsidR="005C03F2" w:rsidRPr="005C03F2" w:rsidRDefault="005C03F2" w:rsidP="005C03F2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166D98B8" w14:textId="77777777" w:rsidR="005C03F2" w:rsidRPr="005C03F2" w:rsidRDefault="005C03F2" w:rsidP="005C03F2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63AD1B91" w14:textId="77777777" w:rsidR="005C03F2" w:rsidRPr="005C03F2" w:rsidRDefault="005C03F2" w:rsidP="005C03F2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50758E9D" w14:textId="77777777" w:rsidR="005C03F2" w:rsidRPr="005C03F2" w:rsidRDefault="005C03F2" w:rsidP="005C03F2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4443C982" w14:textId="77777777" w:rsidR="005C03F2" w:rsidRPr="005C03F2" w:rsidRDefault="005C03F2" w:rsidP="005C03F2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23BCC8E5" w14:textId="48ECECC3" w:rsidR="005C03F2" w:rsidRPr="00E04DAC" w:rsidRDefault="005C03F2" w:rsidP="005C03F2">
      <w:pPr>
        <w:pStyle w:val="Heading3"/>
        <w:ind w:right="5951"/>
      </w:pPr>
      <w:r w:rsidRPr="00E04DAC">
        <w:t>Heritage and neighbourhood character overlay code</w:t>
      </w:r>
      <w:r w:rsidRPr="00106A51">
        <w:rPr>
          <w:rStyle w:val="FootnoteReference"/>
          <w:b w:val="0"/>
        </w:rPr>
        <w:footnoteReference w:id="1"/>
      </w:r>
      <w:r w:rsidRPr="00106A51">
        <w:t xml:space="preserve"> </w:t>
      </w:r>
      <w:r w:rsidRPr="00106A51">
        <w:rPr>
          <w:rStyle w:val="FootnoteReference"/>
          <w:b w:val="0"/>
          <w:szCs w:val="24"/>
        </w:rPr>
        <w:footnoteReference w:id="2"/>
      </w:r>
      <w:r w:rsidRPr="00106A51">
        <w:t xml:space="preserve"> </w:t>
      </w:r>
      <w:r w:rsidRPr="00106A51">
        <w:rPr>
          <w:rStyle w:val="FootnoteReference"/>
          <w:b w:val="0"/>
        </w:rPr>
        <w:footnoteReference w:id="3"/>
      </w:r>
      <w:bookmarkEnd w:id="0"/>
    </w:p>
    <w:p w14:paraId="1C73C10D" w14:textId="77777777" w:rsidR="005C03F2" w:rsidRDefault="005C03F2" w:rsidP="005C03F2">
      <w:pPr>
        <w:pStyle w:val="Heading4"/>
        <w:ind w:right="5951"/>
      </w:pPr>
      <w:r>
        <w:t>Application</w:t>
      </w:r>
    </w:p>
    <w:p w14:paraId="1FC1CA9E" w14:textId="77777777" w:rsidR="005C03F2" w:rsidRDefault="005C03F2" w:rsidP="005C03F2">
      <w:pPr>
        <w:ind w:right="5951"/>
      </w:pPr>
      <w:r w:rsidRPr="009708B1">
        <w:t xml:space="preserve">This code applies to </w:t>
      </w:r>
      <w:proofErr w:type="gramStart"/>
      <w:r w:rsidRPr="00E11A4E">
        <w:t>development</w:t>
      </w:r>
      <w:r>
        <w:t>:-</w:t>
      </w:r>
      <w:proofErr w:type="gramEnd"/>
      <w:r w:rsidRPr="009708B1">
        <w:t xml:space="preserve"> </w:t>
      </w:r>
    </w:p>
    <w:p w14:paraId="6886E065" w14:textId="77777777" w:rsidR="005C03F2" w:rsidRDefault="005C03F2" w:rsidP="005C03F2">
      <w:pPr>
        <w:ind w:right="5951"/>
      </w:pPr>
    </w:p>
    <w:p w14:paraId="195B6A18" w14:textId="77777777" w:rsidR="005C03F2" w:rsidRPr="008D0D1E" w:rsidRDefault="005C03F2" w:rsidP="005C03F2">
      <w:pPr>
        <w:numPr>
          <w:ilvl w:val="0"/>
          <w:numId w:val="64"/>
        </w:numPr>
        <w:ind w:right="5951"/>
      </w:pPr>
      <w:r>
        <w:t xml:space="preserve">subject to the Heritage and neighbourhood character overlay shown on the overlay maps contained within </w:t>
      </w:r>
      <w:r w:rsidRPr="0004606C">
        <w:rPr>
          <w:b/>
        </w:rPr>
        <w:t>Schedule 2 (Mapping)</w:t>
      </w:r>
      <w:r>
        <w:t>, a cultural heritage place identified in the Queensland Heritage Register or the National Heritage Database, or on premises otherwise determined to have cultural heritage significance</w:t>
      </w:r>
      <w:r w:rsidRPr="00AE772E">
        <w:t xml:space="preserve">; </w:t>
      </w:r>
      <w:r>
        <w:t>and</w:t>
      </w:r>
    </w:p>
    <w:p w14:paraId="6301E7AB" w14:textId="77777777" w:rsidR="005C03F2" w:rsidRPr="008D0D1E" w:rsidRDefault="005C03F2" w:rsidP="005C03F2">
      <w:pPr>
        <w:ind w:right="5951"/>
      </w:pPr>
    </w:p>
    <w:p w14:paraId="5B2179DD" w14:textId="77777777" w:rsidR="005C03F2" w:rsidRPr="008D0D1E" w:rsidRDefault="005C03F2" w:rsidP="005C03F2">
      <w:pPr>
        <w:numPr>
          <w:ilvl w:val="0"/>
          <w:numId w:val="64"/>
        </w:numPr>
        <w:ind w:right="5951"/>
      </w:pPr>
      <w:r w:rsidRPr="009708B1">
        <w:t xml:space="preserve">identified as requiring assessment against the </w:t>
      </w:r>
      <w:r>
        <w:t>Heritage and neighbourhood character overlay code</w:t>
      </w:r>
      <w:r w:rsidRPr="009708B1">
        <w:t xml:space="preserve"> by the tables of assessment in </w:t>
      </w:r>
      <w:r w:rsidRPr="009708B1">
        <w:rPr>
          <w:b/>
        </w:rPr>
        <w:t>Part 5 (Tables of assessment)</w:t>
      </w:r>
      <w:r w:rsidRPr="009708B1">
        <w:t>.</w:t>
      </w:r>
    </w:p>
    <w:p w14:paraId="2E4CFEF5" w14:textId="77777777" w:rsidR="005C03F2" w:rsidRDefault="005C03F2" w:rsidP="005C03F2">
      <w:pPr>
        <w:pStyle w:val="Heading4"/>
        <w:ind w:right="5951"/>
      </w:pPr>
      <w:r>
        <w:t>Purpose and overall outcomes</w:t>
      </w:r>
    </w:p>
    <w:p w14:paraId="5ADDD784" w14:textId="77777777" w:rsidR="005C03F2" w:rsidRPr="00357BD7" w:rsidRDefault="005C03F2" w:rsidP="005C03F2">
      <w:pPr>
        <w:numPr>
          <w:ilvl w:val="0"/>
          <w:numId w:val="67"/>
        </w:numPr>
        <w:ind w:right="5951"/>
        <w:rPr>
          <w:iCs/>
        </w:rPr>
      </w:pPr>
      <w:r w:rsidRPr="00AC4781">
        <w:rPr>
          <w:rFonts w:eastAsia="Calibri"/>
        </w:rPr>
        <w:t xml:space="preserve">The purpose of the Heritage </w:t>
      </w:r>
      <w:r>
        <w:rPr>
          <w:rFonts w:eastAsia="Calibri"/>
        </w:rPr>
        <w:t xml:space="preserve">and neighbourhood character </w:t>
      </w:r>
      <w:r w:rsidRPr="00AC4781">
        <w:rPr>
          <w:rFonts w:eastAsia="Calibri"/>
        </w:rPr>
        <w:t xml:space="preserve">overlay code is </w:t>
      </w:r>
      <w:proofErr w:type="gramStart"/>
      <w:r w:rsidRPr="00AC4781">
        <w:rPr>
          <w:rFonts w:eastAsia="Calibri"/>
        </w:rPr>
        <w:t>to</w:t>
      </w:r>
      <w:r>
        <w:rPr>
          <w:rFonts w:eastAsia="Calibri"/>
        </w:rPr>
        <w:t>:-</w:t>
      </w:r>
      <w:proofErr w:type="gramEnd"/>
    </w:p>
    <w:p w14:paraId="0BA1CCFB" w14:textId="77777777" w:rsidR="005C03F2" w:rsidRDefault="005C03F2" w:rsidP="005C03F2">
      <w:pPr>
        <w:ind w:right="5951"/>
        <w:rPr>
          <w:rFonts w:eastAsia="Calibri"/>
        </w:rPr>
      </w:pPr>
    </w:p>
    <w:p w14:paraId="59416D7B" w14:textId="77777777" w:rsidR="005C03F2" w:rsidRPr="00C41373" w:rsidRDefault="005C03F2" w:rsidP="005C03F2">
      <w:pPr>
        <w:numPr>
          <w:ilvl w:val="1"/>
          <w:numId w:val="67"/>
        </w:numPr>
        <w:ind w:right="5951"/>
        <w:rPr>
          <w:rFonts w:eastAsia="Calibri"/>
        </w:rPr>
      </w:pPr>
      <w:r w:rsidRPr="00C41373">
        <w:rPr>
          <w:rFonts w:eastAsia="Calibri"/>
        </w:rPr>
        <w:t>ensure that development on or adjoining a heritage place is compatible with the cultural heritage significance of the place;</w:t>
      </w:r>
    </w:p>
    <w:p w14:paraId="3E11FFA5" w14:textId="77777777" w:rsidR="005C03F2" w:rsidRDefault="005C03F2" w:rsidP="005C03F2">
      <w:pPr>
        <w:ind w:right="5951"/>
        <w:rPr>
          <w:rFonts w:eastAsia="Calibri"/>
        </w:rPr>
      </w:pPr>
    </w:p>
    <w:p w14:paraId="53892F5D" w14:textId="77777777" w:rsidR="005C03F2" w:rsidRPr="00357BD7" w:rsidRDefault="005C03F2" w:rsidP="005C03F2">
      <w:pPr>
        <w:numPr>
          <w:ilvl w:val="1"/>
          <w:numId w:val="67"/>
        </w:numPr>
        <w:ind w:right="5951"/>
        <w:rPr>
          <w:rFonts w:eastAsia="Calibri"/>
        </w:rPr>
      </w:pPr>
      <w:r>
        <w:t>the significance of neighbourhood character areas is conserved and enhanced.</w:t>
      </w:r>
    </w:p>
    <w:p w14:paraId="50EAD521" w14:textId="77777777" w:rsidR="005C03F2" w:rsidRPr="00EC369E" w:rsidRDefault="005C03F2" w:rsidP="005C03F2">
      <w:pPr>
        <w:ind w:right="5951"/>
        <w:rPr>
          <w:iCs/>
        </w:rPr>
      </w:pPr>
    </w:p>
    <w:p w14:paraId="5BFF44BA" w14:textId="77777777" w:rsidR="005C03F2" w:rsidRDefault="005C03F2" w:rsidP="005C03F2">
      <w:pPr>
        <w:numPr>
          <w:ilvl w:val="0"/>
          <w:numId w:val="67"/>
        </w:numPr>
        <w:ind w:right="5951"/>
        <w:rPr>
          <w:iCs/>
        </w:rPr>
      </w:pPr>
      <w:r>
        <w:rPr>
          <w:iCs/>
        </w:rPr>
        <w:t xml:space="preserve">The purpose of the code will be achieved through the following overall </w:t>
      </w:r>
      <w:proofErr w:type="gramStart"/>
      <w:r>
        <w:rPr>
          <w:iCs/>
        </w:rPr>
        <w:t>outcomes:-</w:t>
      </w:r>
      <w:proofErr w:type="gramEnd"/>
    </w:p>
    <w:p w14:paraId="6AFC896E" w14:textId="77777777" w:rsidR="005C03F2" w:rsidRPr="00EC369E" w:rsidRDefault="005C03F2" w:rsidP="005C03F2">
      <w:pPr>
        <w:ind w:right="5951"/>
        <w:rPr>
          <w:iCs/>
        </w:rPr>
      </w:pPr>
    </w:p>
    <w:p w14:paraId="75313672" w14:textId="77777777" w:rsidR="005C03F2" w:rsidRDefault="005C03F2" w:rsidP="005C03F2">
      <w:pPr>
        <w:numPr>
          <w:ilvl w:val="1"/>
          <w:numId w:val="67"/>
        </w:numPr>
        <w:ind w:right="5951"/>
        <w:rPr>
          <w:rFonts w:eastAsia="Calibri"/>
        </w:rPr>
      </w:pPr>
      <w:r>
        <w:rPr>
          <w:rFonts w:eastAsia="Calibri"/>
        </w:rPr>
        <w:t>the cultural heritage significance of individual sites and places is conserved;</w:t>
      </w:r>
    </w:p>
    <w:p w14:paraId="7C02AC6B" w14:textId="77777777" w:rsidR="005C03F2" w:rsidRPr="00EC369E" w:rsidRDefault="005C03F2" w:rsidP="005C03F2">
      <w:pPr>
        <w:ind w:right="5951"/>
        <w:rPr>
          <w:rFonts w:eastAsia="Calibri"/>
        </w:rPr>
      </w:pPr>
    </w:p>
    <w:p w14:paraId="0D9D9290" w14:textId="77777777" w:rsidR="005C03F2" w:rsidRDefault="005C03F2" w:rsidP="005C03F2">
      <w:pPr>
        <w:numPr>
          <w:ilvl w:val="1"/>
          <w:numId w:val="67"/>
        </w:numPr>
        <w:ind w:right="5951"/>
        <w:rPr>
          <w:rFonts w:eastAsia="Calibri"/>
        </w:rPr>
      </w:pPr>
      <w:r>
        <w:rPr>
          <w:rFonts w:eastAsia="Calibri"/>
        </w:rPr>
        <w:t xml:space="preserve">development on a local heritage place is compatible with the cultural heritage significance of the place </w:t>
      </w:r>
      <w:proofErr w:type="gramStart"/>
      <w:r>
        <w:rPr>
          <w:rFonts w:eastAsia="Calibri"/>
        </w:rPr>
        <w:t>by:-</w:t>
      </w:r>
      <w:proofErr w:type="gramEnd"/>
    </w:p>
    <w:p w14:paraId="710C645E" w14:textId="77777777" w:rsidR="005C03F2" w:rsidRDefault="005C03F2" w:rsidP="005C03F2">
      <w:pPr>
        <w:ind w:right="5951"/>
        <w:rPr>
          <w:rFonts w:eastAsia="Calibri"/>
        </w:rPr>
      </w:pPr>
    </w:p>
    <w:p w14:paraId="037363FC" w14:textId="77777777" w:rsidR="005C03F2" w:rsidRDefault="005C03F2" w:rsidP="005C03F2">
      <w:pPr>
        <w:numPr>
          <w:ilvl w:val="2"/>
          <w:numId w:val="67"/>
        </w:numPr>
        <w:ind w:right="5951"/>
        <w:rPr>
          <w:rFonts w:eastAsia="Calibri"/>
        </w:rPr>
      </w:pPr>
      <w:r>
        <w:rPr>
          <w:rFonts w:eastAsia="Calibri"/>
        </w:rPr>
        <w:t>preventing the demolition or removal of the local heritage place, unless there is no prudent and feasible alternative</w:t>
      </w:r>
      <w:r w:rsidRPr="009F584D">
        <w:rPr>
          <w:rFonts w:eastAsia="Calibri"/>
          <w:szCs w:val="20"/>
        </w:rPr>
        <w:t xml:space="preserve"> </w:t>
      </w:r>
      <w:r>
        <w:rPr>
          <w:rFonts w:eastAsia="Calibri"/>
        </w:rPr>
        <w:t>to the demolition or removal;</w:t>
      </w:r>
    </w:p>
    <w:p w14:paraId="7CCF7B82" w14:textId="77777777" w:rsidR="005C03F2" w:rsidRDefault="005C03F2" w:rsidP="005C03F2">
      <w:pPr>
        <w:ind w:right="5951"/>
        <w:rPr>
          <w:rFonts w:eastAsia="Calibri"/>
        </w:rPr>
      </w:pPr>
    </w:p>
    <w:p w14:paraId="3EC21693" w14:textId="77777777" w:rsidR="005C03F2" w:rsidRPr="001A6DFE" w:rsidRDefault="005C03F2" w:rsidP="005C03F2">
      <w:pPr>
        <w:pStyle w:val="FootnoteText"/>
        <w:ind w:left="1134" w:right="5951"/>
        <w:rPr>
          <w:sz w:val="16"/>
          <w:szCs w:val="16"/>
        </w:rPr>
      </w:pPr>
      <w:r w:rsidRPr="001A6DFE">
        <w:rPr>
          <w:rFonts w:eastAsia="Calibri"/>
          <w:sz w:val="16"/>
          <w:szCs w:val="16"/>
        </w:rPr>
        <w:lastRenderedPageBreak/>
        <w:t xml:space="preserve">Note—in </w:t>
      </w:r>
      <w:r>
        <w:rPr>
          <w:rFonts w:eastAsia="Calibri"/>
          <w:sz w:val="16"/>
          <w:szCs w:val="16"/>
        </w:rPr>
        <w:t>c</w:t>
      </w:r>
      <w:r w:rsidRPr="001A6DFE">
        <w:rPr>
          <w:sz w:val="16"/>
          <w:szCs w:val="16"/>
        </w:rPr>
        <w:t xml:space="preserve">onsidering whether there is no prudent and feasible alternative to the demolition or removal of a local heritage place, the Council will have regard </w:t>
      </w:r>
      <w:proofErr w:type="gramStart"/>
      <w:r w:rsidRPr="001A6DFE">
        <w:rPr>
          <w:sz w:val="16"/>
          <w:szCs w:val="16"/>
        </w:rPr>
        <w:t>to:-</w:t>
      </w:r>
      <w:proofErr w:type="gramEnd"/>
    </w:p>
    <w:p w14:paraId="36E8D20E" w14:textId="77777777" w:rsidR="005C03F2" w:rsidRDefault="005C03F2" w:rsidP="005C03F2">
      <w:pPr>
        <w:pStyle w:val="FootnoteText"/>
        <w:numPr>
          <w:ilvl w:val="1"/>
          <w:numId w:val="94"/>
        </w:numPr>
        <w:tabs>
          <w:tab w:val="clear" w:pos="1134"/>
          <w:tab w:val="num" w:pos="1701"/>
        </w:tabs>
        <w:ind w:left="1701" w:right="5951"/>
        <w:rPr>
          <w:sz w:val="16"/>
          <w:szCs w:val="16"/>
        </w:rPr>
      </w:pPr>
      <w:r w:rsidRPr="001A6DFE">
        <w:rPr>
          <w:sz w:val="16"/>
          <w:szCs w:val="16"/>
        </w:rPr>
        <w:t xml:space="preserve">safety, health and economic considerations; </w:t>
      </w:r>
    </w:p>
    <w:p w14:paraId="1CCF35F6" w14:textId="77777777" w:rsidR="005C03F2" w:rsidRDefault="005C03F2" w:rsidP="005C03F2">
      <w:pPr>
        <w:pStyle w:val="FootnoteText"/>
        <w:numPr>
          <w:ilvl w:val="1"/>
          <w:numId w:val="94"/>
        </w:numPr>
        <w:tabs>
          <w:tab w:val="clear" w:pos="1134"/>
          <w:tab w:val="num" w:pos="1701"/>
        </w:tabs>
        <w:ind w:left="1701" w:right="5951"/>
        <w:rPr>
          <w:sz w:val="16"/>
          <w:szCs w:val="16"/>
        </w:rPr>
      </w:pPr>
      <w:r w:rsidRPr="001A6DFE">
        <w:rPr>
          <w:sz w:val="16"/>
          <w:szCs w:val="16"/>
        </w:rPr>
        <w:t>any other matters the Council considers relevant.</w:t>
      </w:r>
    </w:p>
    <w:p w14:paraId="5455CDCC" w14:textId="77777777" w:rsidR="005C03F2" w:rsidRPr="005273F4" w:rsidRDefault="005C03F2" w:rsidP="005C03F2">
      <w:pPr>
        <w:pStyle w:val="FootnoteText"/>
        <w:tabs>
          <w:tab w:val="left" w:pos="1701"/>
        </w:tabs>
        <w:ind w:left="1134" w:right="5951"/>
        <w:rPr>
          <w:szCs w:val="18"/>
        </w:rPr>
      </w:pPr>
    </w:p>
    <w:p w14:paraId="7AC4E41F" w14:textId="77777777" w:rsidR="005C03F2" w:rsidRDefault="005C03F2" w:rsidP="005C03F2">
      <w:pPr>
        <w:numPr>
          <w:ilvl w:val="2"/>
          <w:numId w:val="67"/>
        </w:numPr>
        <w:ind w:right="5951"/>
        <w:rPr>
          <w:rFonts w:eastAsia="Calibri"/>
        </w:rPr>
      </w:pPr>
      <w:r>
        <w:rPr>
          <w:rFonts w:eastAsia="Calibri"/>
        </w:rPr>
        <w:t>maintaining or encouraging, as far as practicable, the appropriate use (including adaptive reuse) of the local heritage place whilst protecting the amenity of adjacent uses;</w:t>
      </w:r>
    </w:p>
    <w:p w14:paraId="6E70715F" w14:textId="77777777" w:rsidR="005C03F2" w:rsidRDefault="005C03F2" w:rsidP="005C03F2">
      <w:pPr>
        <w:numPr>
          <w:ilvl w:val="2"/>
          <w:numId w:val="67"/>
        </w:numPr>
        <w:ind w:right="5951"/>
        <w:rPr>
          <w:rFonts w:eastAsia="Calibri"/>
        </w:rPr>
      </w:pPr>
      <w:r>
        <w:rPr>
          <w:rFonts w:eastAsia="Calibri"/>
        </w:rPr>
        <w:t xml:space="preserve">protecting, as far as practicable, the materials and setting of the local heritage place; </w:t>
      </w:r>
    </w:p>
    <w:p w14:paraId="6ABA29F1" w14:textId="77777777" w:rsidR="005C03F2" w:rsidRDefault="005C03F2" w:rsidP="005C03F2">
      <w:pPr>
        <w:numPr>
          <w:ilvl w:val="2"/>
          <w:numId w:val="67"/>
        </w:numPr>
        <w:ind w:right="5951"/>
        <w:rPr>
          <w:rFonts w:eastAsia="Calibri"/>
        </w:rPr>
      </w:pPr>
      <w:r>
        <w:rPr>
          <w:rFonts w:eastAsia="Calibri"/>
        </w:rPr>
        <w:t>ensuring that any exposed archaeological artefact/s and/or features are identified and managed prior to the redevelopment of a site</w:t>
      </w:r>
      <w:r w:rsidRPr="009F584D">
        <w:rPr>
          <w:rStyle w:val="FootnoteReference"/>
          <w:rFonts w:eastAsia="Calibri"/>
          <w:szCs w:val="20"/>
        </w:rPr>
        <w:footnoteReference w:id="4"/>
      </w:r>
      <w:r>
        <w:rPr>
          <w:rFonts w:eastAsia="Calibri"/>
        </w:rPr>
        <w:t>;</w:t>
      </w:r>
    </w:p>
    <w:p w14:paraId="02E7FA11" w14:textId="77777777" w:rsidR="005C03F2" w:rsidRDefault="005C03F2" w:rsidP="005C03F2">
      <w:pPr>
        <w:numPr>
          <w:ilvl w:val="2"/>
          <w:numId w:val="67"/>
        </w:numPr>
        <w:ind w:right="5951"/>
        <w:rPr>
          <w:rFonts w:eastAsia="Calibri"/>
        </w:rPr>
      </w:pPr>
      <w:r>
        <w:rPr>
          <w:rFonts w:eastAsia="Calibri"/>
        </w:rPr>
        <w:t>ensuring, as far as practicable, development on the local heritage place is compatible with the cultural heritage significance of the place;</w:t>
      </w:r>
    </w:p>
    <w:p w14:paraId="187106CA" w14:textId="77777777" w:rsidR="005C03F2" w:rsidRPr="00EC369E" w:rsidRDefault="005C03F2" w:rsidP="005C03F2">
      <w:pPr>
        <w:ind w:right="5951"/>
        <w:rPr>
          <w:rFonts w:eastAsia="Calibri"/>
        </w:rPr>
      </w:pPr>
    </w:p>
    <w:p w14:paraId="431E3818" w14:textId="77777777" w:rsidR="005C03F2" w:rsidRDefault="005C03F2" w:rsidP="005C03F2">
      <w:pPr>
        <w:numPr>
          <w:ilvl w:val="1"/>
          <w:numId w:val="67"/>
        </w:numPr>
        <w:ind w:right="5951"/>
        <w:rPr>
          <w:rFonts w:eastAsia="Calibri"/>
        </w:rPr>
      </w:pPr>
      <w:r>
        <w:rPr>
          <w:rFonts w:eastAsia="Calibri"/>
        </w:rPr>
        <w:t>development adjoining a local or Queensland heritage place</w:t>
      </w:r>
      <w:r w:rsidRPr="009F584D">
        <w:rPr>
          <w:rStyle w:val="FootnoteReference"/>
          <w:rFonts w:eastAsia="Calibri"/>
          <w:szCs w:val="20"/>
        </w:rPr>
        <w:footnoteReference w:id="5"/>
      </w:r>
      <w:r>
        <w:rPr>
          <w:rFonts w:eastAsia="Calibri"/>
        </w:rPr>
        <w:t xml:space="preserve"> or a national heritage place is sympathetic to the cultural heritage significance of that place;</w:t>
      </w:r>
    </w:p>
    <w:p w14:paraId="795AD0D9" w14:textId="77777777" w:rsidR="005C03F2" w:rsidRDefault="005C03F2" w:rsidP="005C03F2">
      <w:pPr>
        <w:ind w:right="5951"/>
        <w:rPr>
          <w:rFonts w:eastAsia="Calibri"/>
        </w:rPr>
      </w:pPr>
    </w:p>
    <w:p w14:paraId="2C0B16C2" w14:textId="77777777" w:rsidR="005C03F2" w:rsidRDefault="005C03F2" w:rsidP="005C03F2">
      <w:pPr>
        <w:numPr>
          <w:ilvl w:val="1"/>
          <w:numId w:val="67"/>
        </w:numPr>
        <w:ind w:right="5951"/>
        <w:rPr>
          <w:rFonts w:eastAsia="Calibri"/>
        </w:rPr>
      </w:pPr>
      <w:r>
        <w:rPr>
          <w:rFonts w:eastAsia="Calibri"/>
        </w:rPr>
        <w:t xml:space="preserve">development in a commercial or residential neighbourhood character </w:t>
      </w:r>
      <w:proofErr w:type="gramStart"/>
      <w:r>
        <w:rPr>
          <w:rFonts w:eastAsia="Calibri"/>
        </w:rPr>
        <w:t>area:-</w:t>
      </w:r>
      <w:proofErr w:type="gramEnd"/>
    </w:p>
    <w:p w14:paraId="4074E91E" w14:textId="77777777" w:rsidR="005C03F2" w:rsidRDefault="005C03F2" w:rsidP="005C03F2">
      <w:pPr>
        <w:ind w:right="5951"/>
        <w:rPr>
          <w:rFonts w:eastAsia="Calibri"/>
        </w:rPr>
      </w:pPr>
    </w:p>
    <w:p w14:paraId="601FF92A" w14:textId="77777777" w:rsidR="005C03F2" w:rsidRDefault="005C03F2" w:rsidP="005C03F2">
      <w:pPr>
        <w:numPr>
          <w:ilvl w:val="2"/>
          <w:numId w:val="67"/>
        </w:numPr>
        <w:ind w:right="5951"/>
      </w:pPr>
      <w:r>
        <w:t>is sympathetic and complementary to the key character elements and preferred character of the applicable area</w:t>
      </w:r>
      <w:r>
        <w:rPr>
          <w:rStyle w:val="FootnoteReference"/>
        </w:rPr>
        <w:footnoteReference w:id="6"/>
      </w:r>
      <w:r>
        <w:t>;</w:t>
      </w:r>
    </w:p>
    <w:p w14:paraId="45A6B539" w14:textId="77777777" w:rsidR="005C03F2" w:rsidRPr="00E26758" w:rsidRDefault="005C03F2" w:rsidP="005C03F2">
      <w:pPr>
        <w:numPr>
          <w:ilvl w:val="2"/>
          <w:numId w:val="67"/>
        </w:numPr>
        <w:ind w:right="5951"/>
        <w:rPr>
          <w:rFonts w:eastAsia="Calibri"/>
        </w:rPr>
      </w:pPr>
      <w:r>
        <w:t>r</w:t>
      </w:r>
      <w:r w:rsidRPr="00CA288B">
        <w:t>etains buildings and structures that contribute to the preferred character of the area through their age, form, style</w:t>
      </w:r>
      <w:r>
        <w:t>,</w:t>
      </w:r>
      <w:r w:rsidRPr="00CA288B">
        <w:t xml:space="preserve"> siting and character;</w:t>
      </w:r>
      <w:r>
        <w:t xml:space="preserve"> and</w:t>
      </w:r>
    </w:p>
    <w:p w14:paraId="278313F1" w14:textId="77777777" w:rsidR="005C03F2" w:rsidRDefault="005C03F2" w:rsidP="005C03F2">
      <w:pPr>
        <w:numPr>
          <w:ilvl w:val="2"/>
          <w:numId w:val="67"/>
        </w:numPr>
        <w:ind w:right="5951"/>
        <w:rPr>
          <w:rFonts w:eastAsia="Calibri"/>
        </w:rPr>
      </w:pPr>
      <w:r>
        <w:t>c</w:t>
      </w:r>
      <w:r w:rsidRPr="00CA288B">
        <w:t>omplements, rather than mimics or replicates</w:t>
      </w:r>
      <w:r>
        <w:t>,</w:t>
      </w:r>
      <w:r w:rsidRPr="00CA288B">
        <w:t xml:space="preserve"> the predominant building styles in the street</w:t>
      </w:r>
      <w:r>
        <w:t>.</w:t>
      </w:r>
    </w:p>
    <w:p w14:paraId="6AA0BBEC" w14:textId="77777777" w:rsidR="005C03F2" w:rsidRDefault="005C03F2" w:rsidP="005C03F2">
      <w:pPr>
        <w:pStyle w:val="Heading4"/>
        <w:ind w:right="5951"/>
      </w:pPr>
      <w:r>
        <w:t>Specific benchmarks for assessment</w:t>
      </w:r>
    </w:p>
    <w:p w14:paraId="33562F7E" w14:textId="77777777" w:rsidR="005C03F2" w:rsidRPr="001F3A0C" w:rsidRDefault="005C03F2" w:rsidP="005C03F2">
      <w:pPr>
        <w:pStyle w:val="Heading7"/>
        <w:spacing w:after="100"/>
        <w:ind w:right="5951"/>
      </w:pPr>
      <w:bookmarkStart w:id="1" w:name="_Toc415057923"/>
      <w:bookmarkStart w:id="2" w:name="_Toc423601361"/>
      <w:r w:rsidRPr="001F3A0C">
        <w:t>Table 8.2.9.3.1</w:t>
      </w:r>
      <w:r w:rsidRPr="001F3A0C">
        <w:tab/>
      </w:r>
      <w:r>
        <w:t>Benchmarks</w:t>
      </w:r>
      <w:r w:rsidRPr="001F3A0C">
        <w:t xml:space="preserve"> for assessable development </w:t>
      </w:r>
      <w:r>
        <w:t xml:space="preserve">– </w:t>
      </w:r>
      <w:r w:rsidRPr="001F3A0C">
        <w:t xml:space="preserve">on a local heritage place or adjoining a </w:t>
      </w:r>
      <w:r>
        <w:t>national, Queensland</w:t>
      </w:r>
      <w:r w:rsidRPr="001F3A0C">
        <w:t xml:space="preserve"> or local heritage place</w:t>
      </w:r>
      <w:bookmarkEnd w:id="1"/>
      <w:bookmarkEnd w:id="2"/>
    </w:p>
    <w:tbl>
      <w:tblPr>
        <w:tblW w:w="1394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4536"/>
        <w:gridCol w:w="5439"/>
      </w:tblGrid>
      <w:tr w:rsidR="005C03F2" w:rsidRPr="00D4604E" w14:paraId="66C4CE9C" w14:textId="45D4F4C6" w:rsidTr="005C03F2">
        <w:trPr>
          <w:tblHeader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000000"/>
          </w:tcPr>
          <w:p w14:paraId="6B22A000" w14:textId="77777777" w:rsidR="005C03F2" w:rsidRPr="00D4604E" w:rsidRDefault="005C03F2" w:rsidP="005C03F2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 xml:space="preserve">Performance </w:t>
            </w:r>
            <w:r>
              <w:rPr>
                <w:b/>
                <w:szCs w:val="18"/>
              </w:rPr>
              <w:t>o</w:t>
            </w:r>
            <w:r w:rsidRPr="00D4604E">
              <w:rPr>
                <w:b/>
                <w:szCs w:val="18"/>
              </w:rPr>
              <w:t>utcomes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000000"/>
          </w:tcPr>
          <w:p w14:paraId="2A610335" w14:textId="77777777" w:rsidR="005C03F2" w:rsidRPr="00D4604E" w:rsidRDefault="005C03F2" w:rsidP="005C03F2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 xml:space="preserve">Acceptable </w:t>
            </w:r>
            <w:r>
              <w:rPr>
                <w:b/>
                <w:szCs w:val="18"/>
              </w:rPr>
              <w:t>o</w:t>
            </w:r>
            <w:r w:rsidRPr="00D4604E">
              <w:rPr>
                <w:b/>
                <w:szCs w:val="18"/>
              </w:rPr>
              <w:t>utcomes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000000"/>
          </w:tcPr>
          <w:p w14:paraId="15BF37A2" w14:textId="4598ED5F" w:rsidR="005C03F2" w:rsidRPr="00D4604E" w:rsidRDefault="005C03F2" w:rsidP="005C03F2">
            <w:pPr>
              <w:rPr>
                <w:b/>
                <w:szCs w:val="18"/>
              </w:rPr>
            </w:pPr>
            <w:r w:rsidRPr="00C50906">
              <w:rPr>
                <w:rFonts w:cs="Arial"/>
                <w:b/>
                <w:szCs w:val="18"/>
              </w:rPr>
              <w:t>Compliance / Representations</w:t>
            </w:r>
          </w:p>
        </w:tc>
      </w:tr>
      <w:tr w:rsidR="005C03F2" w:rsidRPr="00C41373" w14:paraId="09BA3E26" w14:textId="63C60450" w:rsidTr="005C03F2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7372604" w14:textId="77777777" w:rsidR="005C03F2" w:rsidRPr="00C41373" w:rsidRDefault="005C03F2" w:rsidP="005C03F2">
            <w:pPr>
              <w:rPr>
                <w:rFonts w:cs="Arial"/>
                <w:b/>
                <w:i/>
                <w:szCs w:val="18"/>
              </w:rPr>
            </w:pPr>
            <w:r w:rsidRPr="00C41373">
              <w:rPr>
                <w:rFonts w:cs="Arial"/>
                <w:b/>
                <w:i/>
                <w:szCs w:val="18"/>
              </w:rPr>
              <w:t>Material change of use involving a local heritage place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3EA04F53" w14:textId="77777777" w:rsidR="005C03F2" w:rsidRPr="00C41373" w:rsidRDefault="005C03F2" w:rsidP="005C03F2">
            <w:pPr>
              <w:rPr>
                <w:rFonts w:cs="Arial"/>
                <w:b/>
                <w:i/>
                <w:szCs w:val="18"/>
              </w:rPr>
            </w:pPr>
          </w:p>
        </w:tc>
      </w:tr>
      <w:tr w:rsidR="005C03F2" w:rsidRPr="00D4604E" w14:paraId="31F0815E" w14:textId="270FE9F6" w:rsidTr="005C03F2">
        <w:tc>
          <w:tcPr>
            <w:tcW w:w="3969" w:type="dxa"/>
            <w:tcBorders>
              <w:bottom w:val="single" w:sz="4" w:space="0" w:color="auto"/>
            </w:tcBorders>
          </w:tcPr>
          <w:p w14:paraId="48EEF159" w14:textId="77777777" w:rsidR="005C03F2" w:rsidRPr="00D4604E" w:rsidRDefault="005C03F2" w:rsidP="005C03F2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>PO1</w:t>
            </w:r>
          </w:p>
          <w:p w14:paraId="11ADD05B" w14:textId="77777777" w:rsidR="005C03F2" w:rsidRPr="00D4604E" w:rsidRDefault="005C03F2" w:rsidP="005C03F2">
            <w:pPr>
              <w:rPr>
                <w:szCs w:val="18"/>
              </w:rPr>
            </w:pPr>
            <w:r>
              <w:rPr>
                <w:szCs w:val="18"/>
              </w:rPr>
              <w:t xml:space="preserve">The material change of use is compatible with the conservation and/or management of the cultural significance of the local heritage place.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41EF18C" w14:textId="77777777" w:rsidR="005C03F2" w:rsidRPr="0019348E" w:rsidRDefault="005C03F2" w:rsidP="005C03F2">
            <w:pPr>
              <w:rPr>
                <w:b/>
                <w:szCs w:val="18"/>
              </w:rPr>
            </w:pPr>
            <w:r w:rsidRPr="0019348E">
              <w:rPr>
                <w:b/>
                <w:szCs w:val="18"/>
              </w:rPr>
              <w:t>AO1</w:t>
            </w:r>
          </w:p>
          <w:p w14:paraId="4225746E" w14:textId="77777777" w:rsidR="005C03F2" w:rsidRPr="00234AEF" w:rsidRDefault="005C03F2" w:rsidP="005C03F2">
            <w:pPr>
              <w:rPr>
                <w:i/>
                <w:sz w:val="17"/>
                <w:szCs w:val="17"/>
              </w:rPr>
            </w:pPr>
            <w:r>
              <w:rPr>
                <w:szCs w:val="18"/>
              </w:rPr>
              <w:t>Development is undertaken in accordance with the Australian ICOMOS</w:t>
            </w:r>
            <w:r>
              <w:rPr>
                <w:rStyle w:val="FootnoteReference"/>
                <w:szCs w:val="18"/>
              </w:rPr>
              <w:footnoteReference w:id="7"/>
            </w:r>
            <w:r>
              <w:rPr>
                <w:szCs w:val="18"/>
              </w:rPr>
              <w:t xml:space="preserve"> Charter for Places of Cultural Significance (Burra Charter).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288F4ECC" w14:textId="16D72BE8" w:rsidR="005C03F2" w:rsidRPr="0019348E" w:rsidRDefault="005C03F2" w:rsidP="005C03F2">
            <w:pPr>
              <w:rPr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a brief description how your proposal complies with the relevant Acceptable outcome (if applicable) or a detailed analysis how compliance is achieved with the Performance outcome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Provide a brief description how your proposal complies with the relevant Acceptable outcome (if applicable) or a detailed analysis how compliance is achieved with the Performance outcome.</w:t>
            </w:r>
            <w:r>
              <w:rPr>
                <w:szCs w:val="18"/>
              </w:rPr>
              <w:fldChar w:fldCharType="end"/>
            </w:r>
          </w:p>
        </w:tc>
      </w:tr>
      <w:tr w:rsidR="005C03F2" w:rsidRPr="00C41373" w14:paraId="784B4EC9" w14:textId="1CCEA614" w:rsidTr="005C03F2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29FD214" w14:textId="77777777" w:rsidR="005C03F2" w:rsidRPr="00C41373" w:rsidRDefault="005C03F2" w:rsidP="00146513">
            <w:pPr>
              <w:rPr>
                <w:szCs w:val="18"/>
              </w:rPr>
            </w:pPr>
            <w:r w:rsidRPr="00C41373">
              <w:rPr>
                <w:rFonts w:cs="Arial"/>
                <w:b/>
                <w:i/>
                <w:szCs w:val="18"/>
              </w:rPr>
              <w:lastRenderedPageBreak/>
              <w:t>Reconfiguring a lot involving a local heritage place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3EC6090F" w14:textId="77777777" w:rsidR="005C03F2" w:rsidRPr="00C41373" w:rsidRDefault="005C03F2" w:rsidP="00146513">
            <w:pPr>
              <w:rPr>
                <w:rFonts w:cs="Arial"/>
                <w:b/>
                <w:i/>
                <w:szCs w:val="18"/>
              </w:rPr>
            </w:pPr>
          </w:p>
        </w:tc>
      </w:tr>
      <w:tr w:rsidR="005C03F2" w:rsidRPr="00D4604E" w14:paraId="7926BA8D" w14:textId="4E565C57" w:rsidTr="005C03F2">
        <w:tc>
          <w:tcPr>
            <w:tcW w:w="3969" w:type="dxa"/>
            <w:tcBorders>
              <w:bottom w:val="single" w:sz="4" w:space="0" w:color="auto"/>
            </w:tcBorders>
          </w:tcPr>
          <w:p w14:paraId="7C1A693B" w14:textId="77777777" w:rsidR="005C03F2" w:rsidRPr="00D4604E" w:rsidRDefault="005C03F2" w:rsidP="00146513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>PO</w:t>
            </w:r>
            <w:r>
              <w:rPr>
                <w:b/>
                <w:szCs w:val="18"/>
              </w:rPr>
              <w:t>2</w:t>
            </w:r>
          </w:p>
          <w:p w14:paraId="1C43F226" w14:textId="77777777" w:rsidR="005C03F2" w:rsidRDefault="005C03F2" w:rsidP="00146513">
            <w:pPr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Reconfiguring a lot does </w:t>
            </w:r>
            <w:proofErr w:type="gramStart"/>
            <w:r>
              <w:rPr>
                <w:rFonts w:eastAsia="Calibri"/>
                <w:szCs w:val="18"/>
              </w:rPr>
              <w:t>not:-</w:t>
            </w:r>
            <w:proofErr w:type="gramEnd"/>
          </w:p>
          <w:p w14:paraId="75AD5D10" w14:textId="77777777" w:rsidR="005C03F2" w:rsidRDefault="005C03F2" w:rsidP="00146513">
            <w:pPr>
              <w:numPr>
                <w:ilvl w:val="4"/>
                <w:numId w:val="68"/>
              </w:numPr>
              <w:ind w:left="460" w:hanging="437"/>
              <w:rPr>
                <w:szCs w:val="18"/>
              </w:rPr>
            </w:pPr>
            <w:r>
              <w:rPr>
                <w:szCs w:val="18"/>
              </w:rPr>
              <w:t>r</w:t>
            </w:r>
            <w:r w:rsidRPr="00C41373">
              <w:rPr>
                <w:szCs w:val="18"/>
              </w:rPr>
              <w:t xml:space="preserve">educe public access to the local heritage place; </w:t>
            </w:r>
          </w:p>
          <w:p w14:paraId="16D83709" w14:textId="77777777" w:rsidR="005C03F2" w:rsidRPr="00C41373" w:rsidRDefault="005C03F2" w:rsidP="00146513">
            <w:pPr>
              <w:numPr>
                <w:ilvl w:val="4"/>
                <w:numId w:val="68"/>
              </w:numPr>
              <w:ind w:left="460" w:hanging="437"/>
              <w:rPr>
                <w:szCs w:val="18"/>
              </w:rPr>
            </w:pPr>
            <w:r>
              <w:rPr>
                <w:szCs w:val="18"/>
              </w:rPr>
              <w:t xml:space="preserve">result in the local heritage place being severed or obscured from public view; </w:t>
            </w:r>
            <w:r w:rsidRPr="00C41373">
              <w:rPr>
                <w:szCs w:val="18"/>
              </w:rPr>
              <w:t>or</w:t>
            </w:r>
          </w:p>
          <w:p w14:paraId="7FC4106F" w14:textId="77777777" w:rsidR="005C03F2" w:rsidRPr="00581D41" w:rsidRDefault="005C03F2" w:rsidP="00146513">
            <w:pPr>
              <w:numPr>
                <w:ilvl w:val="4"/>
                <w:numId w:val="68"/>
              </w:numPr>
              <w:ind w:left="460" w:hanging="437"/>
              <w:rPr>
                <w:rFonts w:eastAsia="Calibri"/>
                <w:szCs w:val="18"/>
              </w:rPr>
            </w:pPr>
            <w:r>
              <w:rPr>
                <w:szCs w:val="18"/>
              </w:rPr>
              <w:t>o</w:t>
            </w:r>
            <w:r w:rsidRPr="00C41373">
              <w:rPr>
                <w:szCs w:val="18"/>
              </w:rPr>
              <w:t>bscure or destroy</w:t>
            </w:r>
            <w:r>
              <w:rPr>
                <w:szCs w:val="18"/>
              </w:rPr>
              <w:t xml:space="preserve"> </w:t>
            </w:r>
            <w:r w:rsidRPr="00C41373">
              <w:rPr>
                <w:szCs w:val="18"/>
              </w:rPr>
              <w:t>any</w:t>
            </w:r>
            <w:r>
              <w:rPr>
                <w:szCs w:val="18"/>
              </w:rPr>
              <w:t xml:space="preserve"> of the following elements relating to the local heritage </w:t>
            </w:r>
            <w:proofErr w:type="gramStart"/>
            <w:r>
              <w:rPr>
                <w:szCs w:val="18"/>
              </w:rPr>
              <w:t>place:-</w:t>
            </w:r>
            <w:proofErr w:type="gramEnd"/>
          </w:p>
          <w:p w14:paraId="1FB76D0F" w14:textId="77777777" w:rsidR="005C03F2" w:rsidRDefault="005C03F2" w:rsidP="00146513">
            <w:pPr>
              <w:ind w:left="775" w:hanging="338"/>
              <w:rPr>
                <w:szCs w:val="18"/>
              </w:rPr>
            </w:pPr>
            <w:r>
              <w:rPr>
                <w:szCs w:val="18"/>
              </w:rPr>
              <w:t>(</w:t>
            </w:r>
            <w:proofErr w:type="spellStart"/>
            <w:r>
              <w:rPr>
                <w:szCs w:val="18"/>
              </w:rPr>
              <w:t>i</w:t>
            </w:r>
            <w:proofErr w:type="spellEnd"/>
            <w:r>
              <w:rPr>
                <w:szCs w:val="18"/>
              </w:rPr>
              <w:t>)</w:t>
            </w:r>
            <w:r>
              <w:rPr>
                <w:szCs w:val="18"/>
              </w:rPr>
              <w:tab/>
            </w:r>
            <w:r w:rsidRPr="00C41373">
              <w:rPr>
                <w:szCs w:val="18"/>
              </w:rPr>
              <w:t>pattern of historic subdivision</w:t>
            </w:r>
            <w:r>
              <w:rPr>
                <w:szCs w:val="18"/>
              </w:rPr>
              <w:t>;</w:t>
            </w:r>
          </w:p>
          <w:p w14:paraId="5ADFA04E" w14:textId="77777777" w:rsidR="005C03F2" w:rsidRDefault="005C03F2" w:rsidP="00146513">
            <w:pPr>
              <w:ind w:left="775" w:hanging="338"/>
              <w:rPr>
                <w:szCs w:val="18"/>
              </w:rPr>
            </w:pPr>
            <w:r>
              <w:rPr>
                <w:szCs w:val="18"/>
              </w:rPr>
              <w:t>(ii)</w:t>
            </w:r>
            <w:r>
              <w:rPr>
                <w:szCs w:val="18"/>
              </w:rPr>
              <w:tab/>
            </w:r>
            <w:r w:rsidRPr="00C41373">
              <w:rPr>
                <w:szCs w:val="18"/>
              </w:rPr>
              <w:t>the landscape setting</w:t>
            </w:r>
            <w:r>
              <w:rPr>
                <w:szCs w:val="18"/>
              </w:rPr>
              <w:t>;</w:t>
            </w:r>
            <w:r w:rsidRPr="00C41373">
              <w:rPr>
                <w:szCs w:val="18"/>
              </w:rPr>
              <w:t xml:space="preserve"> or</w:t>
            </w:r>
          </w:p>
          <w:p w14:paraId="5015B198" w14:textId="77777777" w:rsidR="005C03F2" w:rsidRPr="00D4604E" w:rsidRDefault="005C03F2" w:rsidP="00146513">
            <w:pPr>
              <w:ind w:left="775" w:hanging="338"/>
              <w:rPr>
                <w:rFonts w:eastAsia="Calibri"/>
                <w:szCs w:val="18"/>
              </w:rPr>
            </w:pPr>
            <w:r>
              <w:rPr>
                <w:szCs w:val="18"/>
              </w:rPr>
              <w:t>(iii)</w:t>
            </w:r>
            <w:r>
              <w:rPr>
                <w:szCs w:val="18"/>
              </w:rPr>
              <w:tab/>
            </w:r>
            <w:r w:rsidRPr="00C41373">
              <w:rPr>
                <w:szCs w:val="18"/>
              </w:rPr>
              <w:t>the scale and consistency of the urban fabric.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B4AE537" w14:textId="77777777" w:rsidR="005C03F2" w:rsidRPr="0019348E" w:rsidRDefault="005C03F2" w:rsidP="00146513">
            <w:pPr>
              <w:rPr>
                <w:b/>
                <w:szCs w:val="18"/>
              </w:rPr>
            </w:pPr>
            <w:r w:rsidRPr="0019348E">
              <w:rPr>
                <w:b/>
                <w:szCs w:val="18"/>
              </w:rPr>
              <w:t>AO</w:t>
            </w:r>
            <w:r>
              <w:rPr>
                <w:b/>
                <w:szCs w:val="18"/>
              </w:rPr>
              <w:t>2</w:t>
            </w:r>
          </w:p>
          <w:p w14:paraId="33485662" w14:textId="77777777" w:rsidR="005C03F2" w:rsidRPr="00D4604E" w:rsidRDefault="005C03F2" w:rsidP="00146513">
            <w:pPr>
              <w:rPr>
                <w:szCs w:val="18"/>
              </w:rPr>
            </w:pPr>
            <w:r>
              <w:rPr>
                <w:szCs w:val="18"/>
              </w:rPr>
              <w:t>Development is undertaken in accordance with the Australian ICOMOS Charter for Places of Cultural Significance (Burra Charter).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622151EA" w14:textId="7F44A193" w:rsidR="005C03F2" w:rsidRPr="0019348E" w:rsidRDefault="005C03F2" w:rsidP="00146513">
            <w:pPr>
              <w:rPr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5C03F2" w:rsidRPr="00C41373" w14:paraId="01856C8E" w14:textId="335075D2" w:rsidTr="005C03F2">
        <w:tc>
          <w:tcPr>
            <w:tcW w:w="8505" w:type="dxa"/>
            <w:gridSpan w:val="2"/>
            <w:shd w:val="clear" w:color="auto" w:fill="D9D9D9"/>
          </w:tcPr>
          <w:p w14:paraId="5DCFA1F7" w14:textId="77777777" w:rsidR="005C03F2" w:rsidRPr="00C41373" w:rsidRDefault="005C03F2" w:rsidP="00146513">
            <w:pPr>
              <w:rPr>
                <w:b/>
                <w:bCs/>
                <w:i/>
                <w:iCs/>
                <w:szCs w:val="18"/>
              </w:rPr>
            </w:pPr>
            <w:r w:rsidRPr="00C41373">
              <w:rPr>
                <w:b/>
                <w:bCs/>
                <w:i/>
                <w:iCs/>
                <w:szCs w:val="18"/>
              </w:rPr>
              <w:t>Building work or operational work involving a local heritage place</w:t>
            </w:r>
          </w:p>
        </w:tc>
        <w:tc>
          <w:tcPr>
            <w:tcW w:w="5439" w:type="dxa"/>
            <w:shd w:val="clear" w:color="auto" w:fill="D9D9D9"/>
          </w:tcPr>
          <w:p w14:paraId="30C4BDC6" w14:textId="77777777" w:rsidR="005C03F2" w:rsidRPr="00C41373" w:rsidRDefault="005C03F2" w:rsidP="00146513">
            <w:pPr>
              <w:rPr>
                <w:b/>
                <w:bCs/>
                <w:i/>
                <w:iCs/>
                <w:szCs w:val="18"/>
              </w:rPr>
            </w:pPr>
          </w:p>
        </w:tc>
      </w:tr>
      <w:tr w:rsidR="005C03F2" w:rsidRPr="00D4604E" w14:paraId="3F17DC4C" w14:textId="06B12F86" w:rsidTr="005C03F2">
        <w:tc>
          <w:tcPr>
            <w:tcW w:w="3969" w:type="dxa"/>
            <w:tcBorders>
              <w:bottom w:val="single" w:sz="4" w:space="0" w:color="auto"/>
            </w:tcBorders>
          </w:tcPr>
          <w:p w14:paraId="76A245AB" w14:textId="77777777" w:rsidR="005C03F2" w:rsidRPr="00D4604E" w:rsidRDefault="005C03F2" w:rsidP="00146513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>PO</w:t>
            </w:r>
            <w:r>
              <w:rPr>
                <w:b/>
                <w:szCs w:val="18"/>
              </w:rPr>
              <w:t>3</w:t>
            </w:r>
          </w:p>
          <w:p w14:paraId="4A57B944" w14:textId="77777777" w:rsidR="005C03F2" w:rsidRDefault="005C03F2" w:rsidP="00146513">
            <w:pPr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Development conserves and is subservient to the features and values of the local heritage place that contribute to its cultural heritage significance.</w:t>
            </w:r>
          </w:p>
          <w:p w14:paraId="226B4CBB" w14:textId="77777777" w:rsidR="005C03F2" w:rsidRPr="00D4604E" w:rsidRDefault="005C03F2" w:rsidP="00146513">
            <w:pPr>
              <w:rPr>
                <w:rFonts w:eastAsia="Calibri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96B7269" w14:textId="77777777" w:rsidR="005C03F2" w:rsidRDefault="005C03F2" w:rsidP="00146513">
            <w:pPr>
              <w:rPr>
                <w:b/>
                <w:szCs w:val="18"/>
              </w:rPr>
            </w:pPr>
            <w:r w:rsidRPr="0019348E">
              <w:rPr>
                <w:b/>
                <w:szCs w:val="18"/>
              </w:rPr>
              <w:t>AO</w:t>
            </w:r>
            <w:r>
              <w:rPr>
                <w:b/>
                <w:szCs w:val="18"/>
              </w:rPr>
              <w:t>3</w:t>
            </w:r>
          </w:p>
          <w:p w14:paraId="7A10DCC4" w14:textId="77777777" w:rsidR="005C03F2" w:rsidRDefault="005C03F2" w:rsidP="00146513">
            <w:pPr>
              <w:rPr>
                <w:rFonts w:eastAsia="Calibri"/>
                <w:szCs w:val="18"/>
              </w:rPr>
            </w:pPr>
            <w:proofErr w:type="gramStart"/>
            <w:r>
              <w:rPr>
                <w:rFonts w:eastAsia="Calibri"/>
                <w:szCs w:val="18"/>
              </w:rPr>
              <w:t>Development:-</w:t>
            </w:r>
            <w:proofErr w:type="gramEnd"/>
          </w:p>
          <w:p w14:paraId="73F23500" w14:textId="77777777" w:rsidR="005C03F2" w:rsidRPr="00581D41" w:rsidRDefault="005C03F2" w:rsidP="00146513">
            <w:pPr>
              <w:numPr>
                <w:ilvl w:val="4"/>
                <w:numId w:val="69"/>
              </w:numPr>
              <w:ind w:left="460" w:hanging="437"/>
              <w:rPr>
                <w:szCs w:val="18"/>
              </w:rPr>
            </w:pPr>
            <w:r>
              <w:rPr>
                <w:szCs w:val="18"/>
              </w:rPr>
              <w:t>d</w:t>
            </w:r>
            <w:r w:rsidRPr="00581D41">
              <w:rPr>
                <w:szCs w:val="18"/>
              </w:rPr>
              <w:t>oes not alter, remove or conceal significant features of the local heritage place; or</w:t>
            </w:r>
          </w:p>
          <w:p w14:paraId="2DE82D1F" w14:textId="77777777" w:rsidR="005C03F2" w:rsidRPr="00E33B23" w:rsidRDefault="005C03F2" w:rsidP="00146513">
            <w:pPr>
              <w:numPr>
                <w:ilvl w:val="4"/>
                <w:numId w:val="69"/>
              </w:numPr>
              <w:ind w:left="460" w:hanging="437"/>
              <w:rPr>
                <w:rFonts w:eastAsia="Calibri"/>
                <w:szCs w:val="18"/>
              </w:rPr>
            </w:pPr>
            <w:r>
              <w:rPr>
                <w:szCs w:val="18"/>
              </w:rPr>
              <w:t>i</w:t>
            </w:r>
            <w:r w:rsidRPr="00581D41">
              <w:rPr>
                <w:szCs w:val="18"/>
              </w:rPr>
              <w:t>s minor and necessary to maintain a significant use for the local heritage place.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5678CBF2" w14:textId="7E405F46" w:rsidR="005C03F2" w:rsidRPr="0019348E" w:rsidRDefault="005C03F2" w:rsidP="00146513">
            <w:pPr>
              <w:rPr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5C03F2" w:rsidRPr="00D4604E" w14:paraId="55BBE174" w14:textId="7334D974" w:rsidTr="005C03F2">
        <w:tc>
          <w:tcPr>
            <w:tcW w:w="3969" w:type="dxa"/>
            <w:tcBorders>
              <w:bottom w:val="single" w:sz="4" w:space="0" w:color="auto"/>
            </w:tcBorders>
          </w:tcPr>
          <w:p w14:paraId="116B27E1" w14:textId="77777777" w:rsidR="005C03F2" w:rsidRPr="00D4604E" w:rsidRDefault="005C03F2" w:rsidP="00146513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>PO</w:t>
            </w:r>
            <w:r>
              <w:rPr>
                <w:b/>
                <w:szCs w:val="18"/>
              </w:rPr>
              <w:t>4</w:t>
            </w:r>
          </w:p>
          <w:p w14:paraId="56E5952A" w14:textId="77777777" w:rsidR="005C03F2" w:rsidRDefault="005C03F2" w:rsidP="00146513">
            <w:pPr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Changes to a local heritage place are appropriately managed and documented.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0984F77" w14:textId="77777777" w:rsidR="005C03F2" w:rsidRDefault="005C03F2" w:rsidP="00146513">
            <w:pPr>
              <w:rPr>
                <w:b/>
                <w:szCs w:val="18"/>
              </w:rPr>
            </w:pPr>
            <w:r w:rsidRPr="0019348E">
              <w:rPr>
                <w:b/>
                <w:szCs w:val="18"/>
              </w:rPr>
              <w:t>AO</w:t>
            </w:r>
            <w:r>
              <w:rPr>
                <w:b/>
                <w:szCs w:val="18"/>
              </w:rPr>
              <w:t>4.1</w:t>
            </w:r>
          </w:p>
          <w:p w14:paraId="2E2D4E97" w14:textId="77777777" w:rsidR="005C03F2" w:rsidRDefault="005C03F2" w:rsidP="00146513">
            <w:pPr>
              <w:rPr>
                <w:szCs w:val="18"/>
              </w:rPr>
            </w:pPr>
            <w:r>
              <w:rPr>
                <w:szCs w:val="18"/>
              </w:rPr>
              <w:t>Development is compatible with a conservation management plan prepared in accordance with the Australian ICOMOS Charter for Places of Cultural Significance (Burra Charter).</w:t>
            </w:r>
          </w:p>
          <w:p w14:paraId="1B2CBFD7" w14:textId="77777777" w:rsidR="005C03F2" w:rsidRDefault="005C03F2" w:rsidP="00146513">
            <w:pPr>
              <w:rPr>
                <w:b/>
                <w:szCs w:val="18"/>
              </w:rPr>
            </w:pPr>
          </w:p>
          <w:p w14:paraId="1EC84B70" w14:textId="77777777" w:rsidR="005C03F2" w:rsidRDefault="005C03F2" w:rsidP="00146513">
            <w:pPr>
              <w:rPr>
                <w:b/>
                <w:szCs w:val="18"/>
              </w:rPr>
            </w:pPr>
            <w:r w:rsidRPr="0019348E">
              <w:rPr>
                <w:b/>
                <w:szCs w:val="18"/>
              </w:rPr>
              <w:t>AO</w:t>
            </w:r>
            <w:r>
              <w:rPr>
                <w:b/>
                <w:szCs w:val="18"/>
              </w:rPr>
              <w:t>4.2</w:t>
            </w:r>
          </w:p>
          <w:p w14:paraId="0502C13D" w14:textId="77777777" w:rsidR="005C03F2" w:rsidRPr="008F2D2F" w:rsidRDefault="005C03F2" w:rsidP="00146513">
            <w:pPr>
              <w:rPr>
                <w:szCs w:val="18"/>
              </w:rPr>
            </w:pPr>
            <w:r>
              <w:rPr>
                <w:szCs w:val="18"/>
              </w:rPr>
              <w:t xml:space="preserve">An archival quality photographic record is made of the features of the place that are destroyed because of the development that meets the standards outlined in the </w:t>
            </w:r>
            <w:r w:rsidRPr="00406B2A">
              <w:rPr>
                <w:i/>
                <w:szCs w:val="18"/>
              </w:rPr>
              <w:t>Guideline: Archival Recording of Heritage Registered Places</w:t>
            </w:r>
            <w:r>
              <w:rPr>
                <w:szCs w:val="18"/>
              </w:rPr>
              <w:t xml:space="preserve"> (Department of Environment and Heritage Protection).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4D872F7A" w14:textId="66B6D81A" w:rsidR="005C03F2" w:rsidRPr="0019348E" w:rsidRDefault="005C03F2" w:rsidP="00146513">
            <w:pPr>
              <w:rPr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5C03F2" w:rsidRPr="00D4604E" w14:paraId="4547C6B0" w14:textId="56352A5E" w:rsidTr="005C03F2">
        <w:tc>
          <w:tcPr>
            <w:tcW w:w="3969" w:type="dxa"/>
            <w:tcBorders>
              <w:bottom w:val="single" w:sz="4" w:space="0" w:color="auto"/>
            </w:tcBorders>
          </w:tcPr>
          <w:p w14:paraId="23C503FF" w14:textId="77777777" w:rsidR="005C03F2" w:rsidRPr="00D4604E" w:rsidRDefault="005C03F2" w:rsidP="00146513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>PO</w:t>
            </w:r>
            <w:r>
              <w:rPr>
                <w:b/>
                <w:szCs w:val="18"/>
              </w:rPr>
              <w:t>5</w:t>
            </w:r>
          </w:p>
          <w:p w14:paraId="583713D8" w14:textId="77777777" w:rsidR="005C03F2" w:rsidRDefault="005C03F2" w:rsidP="00146513">
            <w:pPr>
              <w:keepNext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Development does not adversely affect the character, setting or appearance of the local heritage place, including removal of vegetation that contributes to the cultural heritage significance of the place.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40126E0" w14:textId="77777777" w:rsidR="005C03F2" w:rsidRDefault="005C03F2" w:rsidP="00146513">
            <w:pPr>
              <w:rPr>
                <w:b/>
                <w:szCs w:val="18"/>
              </w:rPr>
            </w:pPr>
            <w:r w:rsidRPr="0019348E">
              <w:rPr>
                <w:b/>
                <w:szCs w:val="18"/>
              </w:rPr>
              <w:t>AO</w:t>
            </w:r>
            <w:r>
              <w:rPr>
                <w:b/>
                <w:szCs w:val="18"/>
              </w:rPr>
              <w:t>5.1</w:t>
            </w:r>
          </w:p>
          <w:p w14:paraId="4B3D3E4F" w14:textId="77777777" w:rsidR="005C03F2" w:rsidRDefault="005C03F2" w:rsidP="00146513">
            <w:pPr>
              <w:rPr>
                <w:szCs w:val="18"/>
              </w:rPr>
            </w:pPr>
            <w:r>
              <w:rPr>
                <w:szCs w:val="18"/>
              </w:rPr>
              <w:t>The scale, location and design of the development are compatible with the character, setting and appearance of the local heritage place.</w:t>
            </w:r>
          </w:p>
          <w:p w14:paraId="078C3BDD" w14:textId="77777777" w:rsidR="005C03F2" w:rsidRDefault="005C03F2" w:rsidP="00146513">
            <w:pPr>
              <w:keepNext/>
              <w:rPr>
                <w:b/>
                <w:szCs w:val="18"/>
              </w:rPr>
            </w:pPr>
          </w:p>
          <w:p w14:paraId="29E134A0" w14:textId="77777777" w:rsidR="005C03F2" w:rsidRDefault="005C03F2" w:rsidP="00146513">
            <w:pPr>
              <w:rPr>
                <w:b/>
                <w:szCs w:val="18"/>
              </w:rPr>
            </w:pPr>
            <w:r w:rsidRPr="0019348E">
              <w:rPr>
                <w:b/>
                <w:szCs w:val="18"/>
              </w:rPr>
              <w:t>AO</w:t>
            </w:r>
            <w:r>
              <w:rPr>
                <w:b/>
                <w:szCs w:val="18"/>
              </w:rPr>
              <w:t>5.2</w:t>
            </w:r>
          </w:p>
          <w:p w14:paraId="3FAC9F76" w14:textId="77777777" w:rsidR="005C03F2" w:rsidRDefault="005C03F2" w:rsidP="00146513">
            <w:pPr>
              <w:rPr>
                <w:szCs w:val="18"/>
              </w:rPr>
            </w:pPr>
            <w:r>
              <w:rPr>
                <w:szCs w:val="18"/>
              </w:rPr>
              <w:t>The development is unobtrusive and cannot readily be seen from surrounding streets or other public places.</w:t>
            </w:r>
          </w:p>
          <w:p w14:paraId="5C6E5AB1" w14:textId="77777777" w:rsidR="005C03F2" w:rsidRDefault="005C03F2" w:rsidP="00146513">
            <w:pPr>
              <w:rPr>
                <w:b/>
                <w:szCs w:val="18"/>
              </w:rPr>
            </w:pPr>
          </w:p>
          <w:p w14:paraId="109A1690" w14:textId="77777777" w:rsidR="005C03F2" w:rsidRDefault="005C03F2" w:rsidP="00146513">
            <w:pPr>
              <w:keepNext/>
              <w:rPr>
                <w:b/>
                <w:szCs w:val="18"/>
              </w:rPr>
            </w:pPr>
            <w:r w:rsidRPr="0019348E">
              <w:rPr>
                <w:b/>
                <w:szCs w:val="18"/>
              </w:rPr>
              <w:lastRenderedPageBreak/>
              <w:t>AO</w:t>
            </w:r>
            <w:r>
              <w:rPr>
                <w:b/>
                <w:szCs w:val="18"/>
              </w:rPr>
              <w:t>5.3</w:t>
            </w:r>
          </w:p>
          <w:p w14:paraId="02605920" w14:textId="77777777" w:rsidR="005C03F2" w:rsidRPr="008F2D2F" w:rsidRDefault="005C03F2" w:rsidP="00146513">
            <w:pPr>
              <w:rPr>
                <w:szCs w:val="18"/>
              </w:rPr>
            </w:pPr>
            <w:r>
              <w:rPr>
                <w:szCs w:val="18"/>
              </w:rPr>
              <w:t>Existing vegetation that forms part of the local heritage place is retained and incorporated into the design and layout of development.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50A74A30" w14:textId="08A119FF" w:rsidR="005C03F2" w:rsidRPr="0019348E" w:rsidRDefault="005C03F2" w:rsidP="00146513">
            <w:pPr>
              <w:rPr>
                <w:b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5C03F2" w:rsidRPr="00D4604E" w14:paraId="578B1D4A" w14:textId="3CD5FECF" w:rsidTr="005C03F2">
        <w:tc>
          <w:tcPr>
            <w:tcW w:w="3969" w:type="dxa"/>
            <w:tcBorders>
              <w:bottom w:val="single" w:sz="4" w:space="0" w:color="auto"/>
            </w:tcBorders>
          </w:tcPr>
          <w:p w14:paraId="6D9E3244" w14:textId="77777777" w:rsidR="005C03F2" w:rsidRPr="00D4604E" w:rsidRDefault="005C03F2" w:rsidP="0014651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PO6</w:t>
            </w:r>
          </w:p>
          <w:p w14:paraId="68FB53DC" w14:textId="77777777" w:rsidR="005C03F2" w:rsidRDefault="005C03F2" w:rsidP="00146513">
            <w:pPr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Excavation or other earthworks on a local heritage place do not have a detrimental impact on archaeological values.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CCD1430" w14:textId="77777777" w:rsidR="005C03F2" w:rsidRDefault="005C03F2" w:rsidP="00146513">
            <w:pPr>
              <w:rPr>
                <w:b/>
                <w:szCs w:val="18"/>
              </w:rPr>
            </w:pPr>
            <w:r w:rsidRPr="0019348E">
              <w:rPr>
                <w:b/>
                <w:szCs w:val="18"/>
              </w:rPr>
              <w:t>AO</w:t>
            </w:r>
            <w:r>
              <w:rPr>
                <w:b/>
                <w:szCs w:val="18"/>
              </w:rPr>
              <w:t>6.1</w:t>
            </w:r>
          </w:p>
          <w:p w14:paraId="328C332E" w14:textId="77777777" w:rsidR="005C03F2" w:rsidRDefault="005C03F2" w:rsidP="00146513">
            <w:pPr>
              <w:rPr>
                <w:szCs w:val="18"/>
              </w:rPr>
            </w:pPr>
            <w:r>
              <w:rPr>
                <w:szCs w:val="18"/>
              </w:rPr>
              <w:t>The impact on excavation is minor and limited to parts of the local heritage place that have been disturbed by previous excavation.</w:t>
            </w:r>
          </w:p>
          <w:p w14:paraId="479438F6" w14:textId="77777777" w:rsidR="005C03F2" w:rsidRDefault="005C03F2" w:rsidP="00146513">
            <w:pPr>
              <w:rPr>
                <w:b/>
                <w:szCs w:val="18"/>
              </w:rPr>
            </w:pPr>
          </w:p>
          <w:p w14:paraId="1C5A19A0" w14:textId="77777777" w:rsidR="005C03F2" w:rsidRDefault="005C03F2" w:rsidP="00146513">
            <w:pPr>
              <w:rPr>
                <w:b/>
                <w:szCs w:val="18"/>
              </w:rPr>
            </w:pPr>
            <w:r w:rsidRPr="0019348E">
              <w:rPr>
                <w:b/>
                <w:szCs w:val="18"/>
              </w:rPr>
              <w:t>AO</w:t>
            </w:r>
            <w:r>
              <w:rPr>
                <w:b/>
                <w:szCs w:val="18"/>
              </w:rPr>
              <w:t>6.2</w:t>
            </w:r>
          </w:p>
          <w:p w14:paraId="4795C3F3" w14:textId="77777777" w:rsidR="005C03F2" w:rsidRPr="008F2D2F" w:rsidRDefault="005C03F2" w:rsidP="00146513">
            <w:pPr>
              <w:rPr>
                <w:szCs w:val="18"/>
              </w:rPr>
            </w:pPr>
            <w:r>
              <w:rPr>
                <w:szCs w:val="18"/>
              </w:rPr>
              <w:t xml:space="preserve">An archaeological investigation is carried out for development on a local heritage place involving a high level of surface or sub-surface disturbance. 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789D3033" w14:textId="7393F181" w:rsidR="005C03F2" w:rsidRPr="0019348E" w:rsidRDefault="005C03F2" w:rsidP="00146513">
            <w:pPr>
              <w:rPr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5C03F2" w:rsidRPr="00C41373" w14:paraId="146DFC43" w14:textId="414F0F09" w:rsidTr="005C03F2">
        <w:tc>
          <w:tcPr>
            <w:tcW w:w="8505" w:type="dxa"/>
            <w:gridSpan w:val="2"/>
            <w:shd w:val="clear" w:color="auto" w:fill="D9D9D9"/>
          </w:tcPr>
          <w:p w14:paraId="0EEF7BD3" w14:textId="77777777" w:rsidR="005C03F2" w:rsidRPr="00C41373" w:rsidRDefault="005C03F2" w:rsidP="00146513">
            <w:pPr>
              <w:rPr>
                <w:b/>
                <w:bCs/>
                <w:i/>
                <w:iCs/>
                <w:szCs w:val="18"/>
              </w:rPr>
            </w:pPr>
            <w:r w:rsidRPr="00C41373">
              <w:rPr>
                <w:b/>
                <w:bCs/>
                <w:i/>
                <w:iCs/>
                <w:szCs w:val="18"/>
              </w:rPr>
              <w:t xml:space="preserve">Development adjoining a </w:t>
            </w:r>
            <w:r>
              <w:rPr>
                <w:b/>
                <w:bCs/>
                <w:i/>
                <w:iCs/>
                <w:szCs w:val="18"/>
              </w:rPr>
              <w:t>national, Queensland</w:t>
            </w:r>
            <w:r w:rsidRPr="00C41373">
              <w:rPr>
                <w:b/>
                <w:bCs/>
                <w:i/>
                <w:iCs/>
                <w:szCs w:val="18"/>
              </w:rPr>
              <w:t xml:space="preserve"> or local heritage place</w:t>
            </w:r>
          </w:p>
        </w:tc>
        <w:tc>
          <w:tcPr>
            <w:tcW w:w="5439" w:type="dxa"/>
            <w:shd w:val="clear" w:color="auto" w:fill="D9D9D9"/>
          </w:tcPr>
          <w:p w14:paraId="1100A583" w14:textId="77777777" w:rsidR="005C03F2" w:rsidRPr="00C41373" w:rsidRDefault="005C03F2" w:rsidP="00146513">
            <w:pPr>
              <w:rPr>
                <w:b/>
                <w:bCs/>
                <w:i/>
                <w:iCs/>
                <w:szCs w:val="18"/>
              </w:rPr>
            </w:pPr>
          </w:p>
        </w:tc>
      </w:tr>
      <w:tr w:rsidR="005C03F2" w:rsidRPr="00234AEF" w14:paraId="1BDC8EE4" w14:textId="60DA52E0" w:rsidTr="005C03F2">
        <w:tc>
          <w:tcPr>
            <w:tcW w:w="3969" w:type="dxa"/>
          </w:tcPr>
          <w:p w14:paraId="5A734911" w14:textId="77777777" w:rsidR="005C03F2" w:rsidRPr="00D4604E" w:rsidRDefault="005C03F2" w:rsidP="00146513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>PO</w:t>
            </w:r>
            <w:r>
              <w:rPr>
                <w:b/>
                <w:szCs w:val="18"/>
              </w:rPr>
              <w:t>7</w:t>
            </w:r>
          </w:p>
          <w:p w14:paraId="13C6E9E5" w14:textId="77777777" w:rsidR="005C03F2" w:rsidRDefault="005C03F2" w:rsidP="00146513">
            <w:pPr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Where on a lot or premises adjoining a national, Queensland or local heritage place, development is designed and constructed in a manner that does not adversely affect the cultural heritage significance of the heritage place, including its context, setting, appearance and archaeology.</w:t>
            </w:r>
          </w:p>
          <w:p w14:paraId="5107AC10" w14:textId="77777777" w:rsidR="005C03F2" w:rsidRPr="00D4604E" w:rsidRDefault="005C03F2" w:rsidP="00146513">
            <w:pPr>
              <w:rPr>
                <w:rFonts w:eastAsia="Calibri"/>
                <w:szCs w:val="18"/>
              </w:rPr>
            </w:pPr>
          </w:p>
        </w:tc>
        <w:tc>
          <w:tcPr>
            <w:tcW w:w="4536" w:type="dxa"/>
          </w:tcPr>
          <w:p w14:paraId="2E60D2A8" w14:textId="77777777" w:rsidR="005C03F2" w:rsidRDefault="005C03F2" w:rsidP="00146513">
            <w:pPr>
              <w:rPr>
                <w:b/>
                <w:szCs w:val="18"/>
              </w:rPr>
            </w:pPr>
            <w:r w:rsidRPr="0019348E">
              <w:rPr>
                <w:b/>
                <w:szCs w:val="18"/>
              </w:rPr>
              <w:t>AO</w:t>
            </w:r>
            <w:r>
              <w:rPr>
                <w:b/>
                <w:szCs w:val="18"/>
              </w:rPr>
              <w:t>7.1</w:t>
            </w:r>
          </w:p>
          <w:p w14:paraId="537E3FA3" w14:textId="77777777" w:rsidR="005C03F2" w:rsidRDefault="005C03F2" w:rsidP="00146513">
            <w:pPr>
              <w:rPr>
                <w:szCs w:val="18"/>
              </w:rPr>
            </w:pPr>
            <w:r>
              <w:rPr>
                <w:szCs w:val="18"/>
              </w:rPr>
              <w:t xml:space="preserve">The scale, location and design of the development is compatible with the cultural heritage significance of the adjoining heritage place, including its context, setting and appearance. </w:t>
            </w:r>
          </w:p>
          <w:p w14:paraId="2D5C2A6E" w14:textId="77777777" w:rsidR="005C03F2" w:rsidRDefault="005C03F2" w:rsidP="00146513">
            <w:pPr>
              <w:rPr>
                <w:b/>
                <w:szCs w:val="18"/>
              </w:rPr>
            </w:pPr>
          </w:p>
          <w:p w14:paraId="43D48C1C" w14:textId="77777777" w:rsidR="005C03F2" w:rsidRDefault="005C03F2" w:rsidP="00146513">
            <w:pPr>
              <w:rPr>
                <w:b/>
                <w:szCs w:val="18"/>
              </w:rPr>
            </w:pPr>
            <w:r w:rsidRPr="0019348E">
              <w:rPr>
                <w:b/>
                <w:szCs w:val="18"/>
              </w:rPr>
              <w:t>AO</w:t>
            </w:r>
            <w:r>
              <w:rPr>
                <w:b/>
                <w:szCs w:val="18"/>
              </w:rPr>
              <w:t>7.2</w:t>
            </w:r>
          </w:p>
          <w:p w14:paraId="4C0FF952" w14:textId="77777777" w:rsidR="005C03F2" w:rsidRPr="003F598E" w:rsidRDefault="005C03F2" w:rsidP="00146513">
            <w:pPr>
              <w:rPr>
                <w:szCs w:val="18"/>
              </w:rPr>
            </w:pPr>
            <w:r>
              <w:rPr>
                <w:szCs w:val="18"/>
              </w:rPr>
              <w:t>Where the site adjoins a heritage place that has been identified as an archaeological place, an archaeological investigation is carried out for development involving a high level of surface or sub-surface disturbance.</w:t>
            </w:r>
          </w:p>
        </w:tc>
        <w:tc>
          <w:tcPr>
            <w:tcW w:w="5439" w:type="dxa"/>
          </w:tcPr>
          <w:p w14:paraId="32AA55BC" w14:textId="2D290D5C" w:rsidR="005C03F2" w:rsidRPr="0019348E" w:rsidRDefault="005C03F2" w:rsidP="00146513">
            <w:pPr>
              <w:rPr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5C03F2" w:rsidRPr="00234AEF" w14:paraId="18147A80" w14:textId="4BA7D886" w:rsidTr="005C03F2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7627AF8" w14:textId="77777777" w:rsidR="005C03F2" w:rsidRPr="00A9324C" w:rsidRDefault="005C03F2" w:rsidP="00146513">
            <w:pPr>
              <w:rPr>
                <w:b/>
                <w:szCs w:val="18"/>
              </w:rPr>
            </w:pPr>
            <w:r w:rsidRPr="00A9324C">
              <w:rPr>
                <w:b/>
                <w:szCs w:val="18"/>
              </w:rPr>
              <w:t xml:space="preserve">Advertising devices (all </w:t>
            </w:r>
            <w:r>
              <w:rPr>
                <w:b/>
                <w:szCs w:val="18"/>
              </w:rPr>
              <w:t xml:space="preserve">heritage </w:t>
            </w:r>
            <w:r w:rsidRPr="00A9324C">
              <w:rPr>
                <w:b/>
                <w:szCs w:val="18"/>
              </w:rPr>
              <w:t>places)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012A749C" w14:textId="77777777" w:rsidR="005C03F2" w:rsidRPr="00A9324C" w:rsidRDefault="005C03F2" w:rsidP="00146513">
            <w:pPr>
              <w:rPr>
                <w:b/>
                <w:szCs w:val="18"/>
              </w:rPr>
            </w:pPr>
          </w:p>
        </w:tc>
      </w:tr>
      <w:tr w:rsidR="005C03F2" w:rsidRPr="00234AEF" w14:paraId="69965DA3" w14:textId="54C835AD" w:rsidTr="005C03F2">
        <w:tc>
          <w:tcPr>
            <w:tcW w:w="3969" w:type="dxa"/>
            <w:tcBorders>
              <w:bottom w:val="single" w:sz="4" w:space="0" w:color="auto"/>
            </w:tcBorders>
          </w:tcPr>
          <w:p w14:paraId="64AC4475" w14:textId="77777777" w:rsidR="005C03F2" w:rsidRPr="00D4604E" w:rsidRDefault="005C03F2" w:rsidP="0014651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PO8</w:t>
            </w:r>
          </w:p>
          <w:p w14:paraId="3FCB330A" w14:textId="77777777" w:rsidR="005C03F2" w:rsidRDefault="005C03F2" w:rsidP="00146513">
            <w:pPr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Advertising devices located on a local heritage place or adjoining a national, Queensland or local heritage place are sited and designed in a manner </w:t>
            </w:r>
            <w:proofErr w:type="gramStart"/>
            <w:r>
              <w:rPr>
                <w:rFonts w:eastAsia="Calibri"/>
                <w:szCs w:val="18"/>
              </w:rPr>
              <w:t>that:-</w:t>
            </w:r>
            <w:proofErr w:type="gramEnd"/>
          </w:p>
          <w:p w14:paraId="7171EE1B" w14:textId="77777777" w:rsidR="005C03F2" w:rsidRPr="00581D41" w:rsidRDefault="005C03F2" w:rsidP="00146513">
            <w:pPr>
              <w:numPr>
                <w:ilvl w:val="4"/>
                <w:numId w:val="70"/>
              </w:numPr>
              <w:tabs>
                <w:tab w:val="clear" w:pos="1800"/>
              </w:tabs>
              <w:ind w:left="382"/>
              <w:rPr>
                <w:szCs w:val="18"/>
              </w:rPr>
            </w:pPr>
            <w:r>
              <w:rPr>
                <w:szCs w:val="18"/>
              </w:rPr>
              <w:t>is c</w:t>
            </w:r>
            <w:r w:rsidRPr="00581D41">
              <w:rPr>
                <w:szCs w:val="18"/>
              </w:rPr>
              <w:t xml:space="preserve">ompatible with the cultural heritage significance of the place; </w:t>
            </w:r>
          </w:p>
          <w:p w14:paraId="3AC87C18" w14:textId="77777777" w:rsidR="005C03F2" w:rsidRDefault="005C03F2" w:rsidP="00146513">
            <w:pPr>
              <w:numPr>
                <w:ilvl w:val="4"/>
                <w:numId w:val="70"/>
              </w:numPr>
              <w:tabs>
                <w:tab w:val="clear" w:pos="1800"/>
              </w:tabs>
              <w:ind w:left="382"/>
              <w:rPr>
                <w:rFonts w:eastAsia="Calibri"/>
                <w:szCs w:val="18"/>
              </w:rPr>
            </w:pPr>
            <w:r>
              <w:rPr>
                <w:szCs w:val="18"/>
              </w:rPr>
              <w:t>does n</w:t>
            </w:r>
            <w:r w:rsidRPr="00581D41">
              <w:rPr>
                <w:szCs w:val="18"/>
              </w:rPr>
              <w:t xml:space="preserve">ot obscure the appearance or prominence of the </w:t>
            </w:r>
            <w:r>
              <w:rPr>
                <w:szCs w:val="18"/>
              </w:rPr>
              <w:t>heritage place</w:t>
            </w:r>
            <w:r w:rsidRPr="00581D41">
              <w:rPr>
                <w:szCs w:val="18"/>
              </w:rPr>
              <w:t xml:space="preserve"> when viewed from the street or other public places.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84D68FB" w14:textId="77777777" w:rsidR="005C03F2" w:rsidRDefault="005C03F2" w:rsidP="00146513">
            <w:pPr>
              <w:rPr>
                <w:b/>
                <w:szCs w:val="18"/>
              </w:rPr>
            </w:pPr>
            <w:r w:rsidRPr="0019348E">
              <w:rPr>
                <w:b/>
                <w:szCs w:val="18"/>
              </w:rPr>
              <w:t>AO</w:t>
            </w:r>
            <w:r>
              <w:rPr>
                <w:b/>
                <w:szCs w:val="18"/>
              </w:rPr>
              <w:t>8</w:t>
            </w:r>
          </w:p>
          <w:p w14:paraId="0CC12ADF" w14:textId="77777777" w:rsidR="005C03F2" w:rsidRPr="008F2D2F" w:rsidRDefault="005C03F2" w:rsidP="00146513">
            <w:pPr>
              <w:rPr>
                <w:szCs w:val="18"/>
              </w:rPr>
            </w:pPr>
            <w:r>
              <w:rPr>
                <w:szCs w:val="18"/>
              </w:rPr>
              <w:t>No acceptable outcome provided.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1FBFFFBF" w14:textId="10D0C75A" w:rsidR="005C03F2" w:rsidRPr="0019348E" w:rsidRDefault="005C03F2" w:rsidP="00146513">
            <w:pPr>
              <w:rPr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</w:tbl>
    <w:p w14:paraId="2124990B" w14:textId="739CC09E" w:rsidR="00265B8B" w:rsidRDefault="00265B8B" w:rsidP="002D68ED"/>
    <w:p w14:paraId="720E200A" w14:textId="77777777" w:rsidR="005C03F2" w:rsidRPr="001F3A0C" w:rsidRDefault="005C03F2" w:rsidP="008E48C5">
      <w:pPr>
        <w:pStyle w:val="Heading7"/>
        <w:keepNext/>
        <w:spacing w:after="100"/>
        <w:ind w:right="5951"/>
      </w:pPr>
      <w:bookmarkStart w:id="3" w:name="_Toc415057924"/>
      <w:bookmarkStart w:id="4" w:name="_Toc423601362"/>
      <w:r w:rsidRPr="001F3A0C">
        <w:lastRenderedPageBreak/>
        <w:t>Table 8.2.9.3.2</w:t>
      </w:r>
      <w:r w:rsidRPr="001F3A0C">
        <w:tab/>
      </w:r>
      <w:r>
        <w:t>Benchmarks</w:t>
      </w:r>
      <w:r w:rsidRPr="001F3A0C">
        <w:t xml:space="preserve"> for assessable development </w:t>
      </w:r>
      <w:r>
        <w:t>–</w:t>
      </w:r>
      <w:r w:rsidRPr="001F3A0C">
        <w:t xml:space="preserve"> within a neighbourhood character area</w:t>
      </w:r>
      <w:bookmarkEnd w:id="3"/>
      <w:bookmarkEnd w:id="4"/>
    </w:p>
    <w:tbl>
      <w:tblPr>
        <w:tblW w:w="1394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4536"/>
        <w:gridCol w:w="5439"/>
      </w:tblGrid>
      <w:tr w:rsidR="005C56D2" w:rsidRPr="00D4604E" w14:paraId="5CEF20C9" w14:textId="1943A76C" w:rsidTr="005C03F2">
        <w:trPr>
          <w:tblHeader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000000"/>
          </w:tcPr>
          <w:p w14:paraId="51A23FE5" w14:textId="77777777" w:rsidR="005C56D2" w:rsidRPr="00D4604E" w:rsidRDefault="005C56D2" w:rsidP="005C56D2">
            <w:pPr>
              <w:rPr>
                <w:b/>
                <w:szCs w:val="18"/>
              </w:rPr>
            </w:pPr>
            <w:bookmarkStart w:id="5" w:name="_GoBack" w:colFirst="2" w:colLast="2"/>
            <w:r w:rsidRPr="00D4604E">
              <w:rPr>
                <w:b/>
                <w:szCs w:val="18"/>
              </w:rPr>
              <w:t xml:space="preserve">Performance </w:t>
            </w:r>
            <w:r>
              <w:rPr>
                <w:b/>
                <w:szCs w:val="18"/>
              </w:rPr>
              <w:t>o</w:t>
            </w:r>
            <w:r w:rsidRPr="00D4604E">
              <w:rPr>
                <w:b/>
                <w:szCs w:val="18"/>
              </w:rPr>
              <w:t>utcomes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000000"/>
          </w:tcPr>
          <w:p w14:paraId="587A0A6F" w14:textId="77777777" w:rsidR="005C56D2" w:rsidRPr="00D4604E" w:rsidRDefault="005C56D2" w:rsidP="005C56D2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 xml:space="preserve">Acceptable </w:t>
            </w:r>
            <w:r>
              <w:rPr>
                <w:b/>
                <w:szCs w:val="18"/>
              </w:rPr>
              <w:t>o</w:t>
            </w:r>
            <w:r w:rsidRPr="00D4604E">
              <w:rPr>
                <w:b/>
                <w:szCs w:val="18"/>
              </w:rPr>
              <w:t>utcomes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000000"/>
          </w:tcPr>
          <w:p w14:paraId="537AAB3B" w14:textId="13BCEE4B" w:rsidR="005C56D2" w:rsidRPr="00D4604E" w:rsidRDefault="005C56D2" w:rsidP="005C56D2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 xml:space="preserve">Acceptable </w:t>
            </w:r>
            <w:r>
              <w:rPr>
                <w:b/>
                <w:szCs w:val="18"/>
              </w:rPr>
              <w:t>o</w:t>
            </w:r>
            <w:r w:rsidRPr="00D4604E">
              <w:rPr>
                <w:b/>
                <w:szCs w:val="18"/>
              </w:rPr>
              <w:t>utcomes</w:t>
            </w:r>
          </w:p>
        </w:tc>
      </w:tr>
      <w:bookmarkEnd w:id="5"/>
      <w:tr w:rsidR="005C56D2" w:rsidRPr="00234AEF" w14:paraId="3DCEB806" w14:textId="2407DDD6" w:rsidTr="005C03F2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CC99E67" w14:textId="77777777" w:rsidR="005C56D2" w:rsidRPr="00E20051" w:rsidRDefault="005C56D2" w:rsidP="005C56D2">
            <w:pPr>
              <w:keepNext/>
              <w:rPr>
                <w:b/>
                <w:i/>
                <w:szCs w:val="18"/>
              </w:rPr>
            </w:pPr>
            <w:r w:rsidRPr="00E20051">
              <w:rPr>
                <w:b/>
                <w:i/>
                <w:szCs w:val="18"/>
              </w:rPr>
              <w:t>Infill development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5CD627B1" w14:textId="77777777" w:rsidR="005C56D2" w:rsidRPr="00E20051" w:rsidRDefault="005C56D2" w:rsidP="005C56D2">
            <w:pPr>
              <w:rPr>
                <w:b/>
                <w:i/>
                <w:szCs w:val="18"/>
              </w:rPr>
            </w:pPr>
          </w:p>
        </w:tc>
      </w:tr>
      <w:tr w:rsidR="005C56D2" w:rsidRPr="00234AEF" w14:paraId="262FDBBB" w14:textId="1EBDA00C" w:rsidTr="005C03F2">
        <w:tc>
          <w:tcPr>
            <w:tcW w:w="3969" w:type="dxa"/>
          </w:tcPr>
          <w:p w14:paraId="3E769985" w14:textId="77777777" w:rsidR="005C56D2" w:rsidRDefault="005C56D2" w:rsidP="005C56D2">
            <w:pPr>
              <w:keepNext/>
              <w:rPr>
                <w:b/>
                <w:szCs w:val="18"/>
              </w:rPr>
            </w:pPr>
            <w:r>
              <w:rPr>
                <w:b/>
                <w:szCs w:val="18"/>
              </w:rPr>
              <w:t>PO9</w:t>
            </w:r>
          </w:p>
          <w:p w14:paraId="66EC46E6" w14:textId="77777777" w:rsidR="005C56D2" w:rsidRDefault="005C56D2" w:rsidP="005C56D2">
            <w:pPr>
              <w:rPr>
                <w:szCs w:val="18"/>
              </w:rPr>
            </w:pPr>
            <w:r>
              <w:rPr>
                <w:szCs w:val="18"/>
              </w:rPr>
              <w:t xml:space="preserve">Infill development within a neighbourhood character area, including development on vacant sites, is compatible with the key character elements for the area, having regard </w:t>
            </w:r>
            <w:proofErr w:type="gramStart"/>
            <w:r>
              <w:rPr>
                <w:szCs w:val="18"/>
              </w:rPr>
              <w:t>to:-</w:t>
            </w:r>
            <w:proofErr w:type="gramEnd"/>
          </w:p>
          <w:p w14:paraId="1168DF9E" w14:textId="77777777" w:rsidR="005C56D2" w:rsidRDefault="005C56D2" w:rsidP="005C56D2">
            <w:pPr>
              <w:numPr>
                <w:ilvl w:val="0"/>
                <w:numId w:val="97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>scale and form;</w:t>
            </w:r>
          </w:p>
          <w:p w14:paraId="7F575FC0" w14:textId="77777777" w:rsidR="005C56D2" w:rsidRDefault="005C56D2" w:rsidP="005C56D2">
            <w:pPr>
              <w:numPr>
                <w:ilvl w:val="0"/>
                <w:numId w:val="97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 xml:space="preserve">materials; </w:t>
            </w:r>
          </w:p>
          <w:p w14:paraId="56014129" w14:textId="77777777" w:rsidR="005C56D2" w:rsidRDefault="005C56D2" w:rsidP="005C56D2">
            <w:pPr>
              <w:numPr>
                <w:ilvl w:val="0"/>
                <w:numId w:val="97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>landscaping.</w:t>
            </w:r>
          </w:p>
        </w:tc>
        <w:tc>
          <w:tcPr>
            <w:tcW w:w="4536" w:type="dxa"/>
          </w:tcPr>
          <w:p w14:paraId="092D97D7" w14:textId="77777777" w:rsidR="005C56D2" w:rsidRDefault="005C56D2" w:rsidP="005C56D2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AO9</w:t>
            </w:r>
          </w:p>
          <w:p w14:paraId="3526D3B2" w14:textId="77777777" w:rsidR="005C56D2" w:rsidRDefault="005C56D2" w:rsidP="005C56D2">
            <w:pPr>
              <w:rPr>
                <w:szCs w:val="18"/>
              </w:rPr>
            </w:pPr>
            <w:r>
              <w:rPr>
                <w:szCs w:val="18"/>
              </w:rPr>
              <w:t>No acceptable outcome provided.</w:t>
            </w:r>
          </w:p>
          <w:p w14:paraId="2D941D2C" w14:textId="77777777" w:rsidR="005C56D2" w:rsidRDefault="005C56D2" w:rsidP="005C56D2">
            <w:pPr>
              <w:rPr>
                <w:szCs w:val="18"/>
              </w:rPr>
            </w:pPr>
          </w:p>
        </w:tc>
        <w:tc>
          <w:tcPr>
            <w:tcW w:w="5439" w:type="dxa"/>
          </w:tcPr>
          <w:p w14:paraId="6BB1B1AA" w14:textId="65A7B1F2" w:rsidR="005C56D2" w:rsidRDefault="005C56D2" w:rsidP="005C56D2">
            <w:pPr>
              <w:rPr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5C56D2" w:rsidRPr="00234AEF" w14:paraId="2F9C0507" w14:textId="1AF9C7A3" w:rsidTr="005C03F2">
        <w:tc>
          <w:tcPr>
            <w:tcW w:w="3969" w:type="dxa"/>
          </w:tcPr>
          <w:p w14:paraId="150D57FF" w14:textId="77777777" w:rsidR="005C56D2" w:rsidRDefault="005C56D2" w:rsidP="005C56D2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PO10</w:t>
            </w:r>
          </w:p>
          <w:p w14:paraId="3BF59AEB" w14:textId="77777777" w:rsidR="005C56D2" w:rsidRDefault="005C56D2" w:rsidP="005C56D2">
            <w:pPr>
              <w:rPr>
                <w:szCs w:val="18"/>
              </w:rPr>
            </w:pPr>
            <w:r>
              <w:rPr>
                <w:szCs w:val="18"/>
              </w:rPr>
              <w:t xml:space="preserve">The existing streetscape is maintained in terms </w:t>
            </w:r>
            <w:proofErr w:type="gramStart"/>
            <w:r>
              <w:rPr>
                <w:szCs w:val="18"/>
              </w:rPr>
              <w:t>of:-</w:t>
            </w:r>
            <w:proofErr w:type="gramEnd"/>
          </w:p>
          <w:p w14:paraId="5844F592" w14:textId="77777777" w:rsidR="005C56D2" w:rsidRDefault="005C56D2" w:rsidP="005C56D2">
            <w:pPr>
              <w:numPr>
                <w:ilvl w:val="0"/>
                <w:numId w:val="98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>building orientation;</w:t>
            </w:r>
          </w:p>
          <w:p w14:paraId="688DD7D3" w14:textId="77777777" w:rsidR="005C56D2" w:rsidRDefault="005C56D2" w:rsidP="005C56D2">
            <w:pPr>
              <w:numPr>
                <w:ilvl w:val="0"/>
                <w:numId w:val="98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 xml:space="preserve">side and front boundary setbacks; </w:t>
            </w:r>
          </w:p>
          <w:p w14:paraId="249DA82C" w14:textId="77777777" w:rsidR="005C56D2" w:rsidRPr="00590B0D" w:rsidRDefault="005C56D2" w:rsidP="005C56D2">
            <w:pPr>
              <w:numPr>
                <w:ilvl w:val="0"/>
                <w:numId w:val="98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>significant landscaping.</w:t>
            </w:r>
          </w:p>
        </w:tc>
        <w:tc>
          <w:tcPr>
            <w:tcW w:w="4536" w:type="dxa"/>
          </w:tcPr>
          <w:p w14:paraId="4F4976C0" w14:textId="77777777" w:rsidR="005C56D2" w:rsidRDefault="005C56D2" w:rsidP="005C56D2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AO10</w:t>
            </w:r>
          </w:p>
          <w:p w14:paraId="505D8AA0" w14:textId="77777777" w:rsidR="005C56D2" w:rsidRDefault="005C56D2" w:rsidP="005C56D2">
            <w:pPr>
              <w:rPr>
                <w:szCs w:val="18"/>
              </w:rPr>
            </w:pPr>
            <w:r>
              <w:rPr>
                <w:szCs w:val="18"/>
              </w:rPr>
              <w:t xml:space="preserve">No acceptable outcome provided. </w:t>
            </w:r>
          </w:p>
        </w:tc>
        <w:tc>
          <w:tcPr>
            <w:tcW w:w="5439" w:type="dxa"/>
          </w:tcPr>
          <w:p w14:paraId="7B6C7BDF" w14:textId="60A24B31" w:rsidR="005C56D2" w:rsidRDefault="005C56D2" w:rsidP="005C56D2">
            <w:pPr>
              <w:rPr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5C56D2" w:rsidRPr="00234AEF" w14:paraId="368C96DF" w14:textId="0BD91B0B" w:rsidTr="005C03F2">
        <w:tc>
          <w:tcPr>
            <w:tcW w:w="3969" w:type="dxa"/>
          </w:tcPr>
          <w:p w14:paraId="0F799C69" w14:textId="77777777" w:rsidR="005C56D2" w:rsidRDefault="005C56D2" w:rsidP="005C56D2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PO11</w:t>
            </w:r>
          </w:p>
          <w:p w14:paraId="47722AD5" w14:textId="77777777" w:rsidR="005C56D2" w:rsidRDefault="005C56D2" w:rsidP="005C56D2">
            <w:pPr>
              <w:rPr>
                <w:szCs w:val="18"/>
              </w:rPr>
            </w:pPr>
            <w:r>
              <w:rPr>
                <w:szCs w:val="18"/>
              </w:rPr>
              <w:t>Development provides front boundary setbacks that ensure new additions and building works are consistent in alignment with adjoining lots.</w:t>
            </w:r>
          </w:p>
        </w:tc>
        <w:tc>
          <w:tcPr>
            <w:tcW w:w="4536" w:type="dxa"/>
          </w:tcPr>
          <w:p w14:paraId="01E1FA2F" w14:textId="77777777" w:rsidR="005C56D2" w:rsidRDefault="005C56D2" w:rsidP="005C56D2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AO11</w:t>
            </w:r>
          </w:p>
          <w:p w14:paraId="55479784" w14:textId="77777777" w:rsidR="005C56D2" w:rsidRDefault="005C56D2" w:rsidP="005C56D2">
            <w:pPr>
              <w:rPr>
                <w:szCs w:val="18"/>
              </w:rPr>
            </w:pPr>
            <w:r>
              <w:rPr>
                <w:szCs w:val="18"/>
              </w:rPr>
              <w:t>No acceptable outcome provided.</w:t>
            </w:r>
          </w:p>
        </w:tc>
        <w:tc>
          <w:tcPr>
            <w:tcW w:w="5439" w:type="dxa"/>
          </w:tcPr>
          <w:p w14:paraId="22EF2062" w14:textId="68660B53" w:rsidR="005C56D2" w:rsidRDefault="005C56D2" w:rsidP="005C56D2">
            <w:pPr>
              <w:rPr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5C56D2" w:rsidRPr="00234AEF" w14:paraId="43EFCAA9" w14:textId="4ABA0999" w:rsidTr="005C03F2">
        <w:tc>
          <w:tcPr>
            <w:tcW w:w="3969" w:type="dxa"/>
          </w:tcPr>
          <w:p w14:paraId="4A84B36A" w14:textId="77777777" w:rsidR="005C56D2" w:rsidRDefault="005C56D2" w:rsidP="005C56D2">
            <w:pPr>
              <w:keepNext/>
              <w:rPr>
                <w:b/>
                <w:szCs w:val="18"/>
              </w:rPr>
            </w:pPr>
            <w:r>
              <w:rPr>
                <w:b/>
                <w:szCs w:val="18"/>
              </w:rPr>
              <w:t>PO12</w:t>
            </w:r>
          </w:p>
          <w:p w14:paraId="5FE3D182" w14:textId="77777777" w:rsidR="005C56D2" w:rsidRDefault="005C56D2" w:rsidP="005C56D2">
            <w:pPr>
              <w:rPr>
                <w:szCs w:val="18"/>
              </w:rPr>
            </w:pPr>
            <w:r>
              <w:rPr>
                <w:szCs w:val="18"/>
              </w:rPr>
              <w:t>New buildings respect the architectural style of surrounding development and complement, rather than replicate, period building styles.</w:t>
            </w:r>
          </w:p>
        </w:tc>
        <w:tc>
          <w:tcPr>
            <w:tcW w:w="4536" w:type="dxa"/>
          </w:tcPr>
          <w:p w14:paraId="41E94690" w14:textId="77777777" w:rsidR="005C56D2" w:rsidRDefault="005C56D2" w:rsidP="005C56D2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AO12</w:t>
            </w:r>
          </w:p>
          <w:p w14:paraId="2D44D017" w14:textId="77777777" w:rsidR="005C56D2" w:rsidRDefault="005C56D2" w:rsidP="005C56D2">
            <w:pPr>
              <w:rPr>
                <w:szCs w:val="18"/>
              </w:rPr>
            </w:pPr>
            <w:r>
              <w:rPr>
                <w:szCs w:val="18"/>
              </w:rPr>
              <w:t>No acceptable outcome provided.</w:t>
            </w:r>
          </w:p>
        </w:tc>
        <w:tc>
          <w:tcPr>
            <w:tcW w:w="5439" w:type="dxa"/>
          </w:tcPr>
          <w:p w14:paraId="5E0EFCAF" w14:textId="7BA8AEF3" w:rsidR="005C56D2" w:rsidRDefault="005C56D2" w:rsidP="005C56D2">
            <w:pPr>
              <w:rPr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5C56D2" w:rsidRPr="00C41373" w14:paraId="39AA8FB8" w14:textId="0000B812" w:rsidTr="005C03F2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13E9A19" w14:textId="77777777" w:rsidR="005C56D2" w:rsidRPr="00C41373" w:rsidRDefault="005C56D2" w:rsidP="005C56D2">
            <w:pPr>
              <w:keepNext/>
              <w:rPr>
                <w:rFonts w:cs="Arial"/>
                <w:b/>
                <w:i/>
                <w:szCs w:val="18"/>
              </w:rPr>
            </w:pPr>
            <w:r>
              <w:rPr>
                <w:rFonts w:cs="Arial"/>
                <w:b/>
                <w:i/>
                <w:szCs w:val="18"/>
              </w:rPr>
              <w:t xml:space="preserve">Demolition of character buildings 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36A22CA2" w14:textId="77777777" w:rsidR="005C56D2" w:rsidRDefault="005C56D2" w:rsidP="005C56D2">
            <w:pPr>
              <w:keepNext/>
              <w:rPr>
                <w:rFonts w:cs="Arial"/>
                <w:b/>
                <w:i/>
                <w:szCs w:val="18"/>
              </w:rPr>
            </w:pPr>
          </w:p>
        </w:tc>
      </w:tr>
      <w:tr w:rsidR="005C56D2" w:rsidRPr="00234AEF" w14:paraId="0E600541" w14:textId="06970F22" w:rsidTr="005C03F2">
        <w:tc>
          <w:tcPr>
            <w:tcW w:w="3969" w:type="dxa"/>
          </w:tcPr>
          <w:p w14:paraId="5F584921" w14:textId="77777777" w:rsidR="005C56D2" w:rsidRPr="00D4604E" w:rsidRDefault="005C56D2" w:rsidP="005C56D2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>PO</w:t>
            </w:r>
            <w:r>
              <w:rPr>
                <w:b/>
                <w:szCs w:val="18"/>
              </w:rPr>
              <w:t>13</w:t>
            </w:r>
          </w:p>
          <w:p w14:paraId="58FA552C" w14:textId="77777777" w:rsidR="005C56D2" w:rsidRDefault="005C56D2" w:rsidP="005C56D2">
            <w:pPr>
              <w:rPr>
                <w:szCs w:val="18"/>
              </w:rPr>
            </w:pPr>
            <w:r>
              <w:rPr>
                <w:szCs w:val="18"/>
              </w:rPr>
              <w:t xml:space="preserve">Existing buildings or structures are not wholly or partially demolished or removed, unless one of more of the following circumstances </w:t>
            </w:r>
            <w:proofErr w:type="gramStart"/>
            <w:r>
              <w:rPr>
                <w:szCs w:val="18"/>
              </w:rPr>
              <w:t>apply:-</w:t>
            </w:r>
            <w:proofErr w:type="gramEnd"/>
          </w:p>
          <w:p w14:paraId="16A25F30" w14:textId="77777777" w:rsidR="005C56D2" w:rsidRDefault="005C56D2" w:rsidP="005C56D2">
            <w:pPr>
              <w:numPr>
                <w:ilvl w:val="0"/>
                <w:numId w:val="95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>the building or structure is not from the Victorian, Federation or Interwar period;</w:t>
            </w:r>
          </w:p>
          <w:p w14:paraId="6E2A84FC" w14:textId="77777777" w:rsidR="005C56D2" w:rsidRDefault="005C56D2" w:rsidP="005C56D2">
            <w:pPr>
              <w:numPr>
                <w:ilvl w:val="0"/>
                <w:numId w:val="95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>the building or structure is not capable of structural repair;</w:t>
            </w:r>
          </w:p>
          <w:p w14:paraId="703C9B80" w14:textId="77777777" w:rsidR="005C56D2" w:rsidRDefault="005C56D2" w:rsidP="005C56D2">
            <w:pPr>
              <w:numPr>
                <w:ilvl w:val="0"/>
                <w:numId w:val="95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>repair is not feasible having regard to economic, safety and health considerations; or</w:t>
            </w:r>
          </w:p>
          <w:p w14:paraId="60266353" w14:textId="77777777" w:rsidR="005C56D2" w:rsidRPr="00D4604E" w:rsidRDefault="005C56D2" w:rsidP="005C56D2">
            <w:pPr>
              <w:numPr>
                <w:ilvl w:val="0"/>
                <w:numId w:val="95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 xml:space="preserve">the building or structure does not contribute to the historical or architectural character of the area. </w:t>
            </w:r>
          </w:p>
        </w:tc>
        <w:tc>
          <w:tcPr>
            <w:tcW w:w="4536" w:type="dxa"/>
          </w:tcPr>
          <w:p w14:paraId="3BBD61A9" w14:textId="77777777" w:rsidR="005C56D2" w:rsidRPr="0019348E" w:rsidRDefault="005C56D2" w:rsidP="005C56D2">
            <w:pPr>
              <w:rPr>
                <w:b/>
                <w:szCs w:val="18"/>
              </w:rPr>
            </w:pPr>
            <w:r w:rsidRPr="0019348E">
              <w:rPr>
                <w:b/>
                <w:szCs w:val="18"/>
              </w:rPr>
              <w:t>AO</w:t>
            </w:r>
            <w:r>
              <w:rPr>
                <w:b/>
                <w:szCs w:val="18"/>
              </w:rPr>
              <w:t>13</w:t>
            </w:r>
          </w:p>
          <w:p w14:paraId="6B58698F" w14:textId="77777777" w:rsidR="005C56D2" w:rsidRDefault="005C56D2" w:rsidP="005C56D2">
            <w:pPr>
              <w:rPr>
                <w:szCs w:val="18"/>
              </w:rPr>
            </w:pPr>
            <w:r>
              <w:rPr>
                <w:szCs w:val="18"/>
              </w:rPr>
              <w:t>No acceptable outcome provided.</w:t>
            </w:r>
          </w:p>
          <w:p w14:paraId="39D672A2" w14:textId="77777777" w:rsidR="005C56D2" w:rsidRDefault="005C56D2" w:rsidP="005C56D2">
            <w:pPr>
              <w:rPr>
                <w:szCs w:val="18"/>
              </w:rPr>
            </w:pPr>
          </w:p>
          <w:p w14:paraId="72F8890A" w14:textId="77777777" w:rsidR="005C56D2" w:rsidRDefault="005C56D2" w:rsidP="005C56D2">
            <w:pPr>
              <w:rPr>
                <w:szCs w:val="18"/>
              </w:rPr>
            </w:pPr>
          </w:p>
          <w:p w14:paraId="43AE3CD1" w14:textId="77777777" w:rsidR="005C56D2" w:rsidRPr="00234AEF" w:rsidRDefault="005C56D2" w:rsidP="005C56D2">
            <w:pPr>
              <w:rPr>
                <w:i/>
                <w:sz w:val="17"/>
                <w:szCs w:val="17"/>
              </w:rPr>
            </w:pPr>
          </w:p>
        </w:tc>
        <w:tc>
          <w:tcPr>
            <w:tcW w:w="5439" w:type="dxa"/>
          </w:tcPr>
          <w:p w14:paraId="6C2C492A" w14:textId="74B30C77" w:rsidR="005C56D2" w:rsidRPr="0019348E" w:rsidRDefault="005C56D2" w:rsidP="005C56D2">
            <w:pPr>
              <w:rPr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5C56D2" w:rsidRPr="00234AEF" w14:paraId="31D83E16" w14:textId="79FFCAD6" w:rsidTr="005C03F2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4B65499" w14:textId="77777777" w:rsidR="005C56D2" w:rsidRPr="00C41693" w:rsidRDefault="005C56D2" w:rsidP="005C56D2">
            <w:pPr>
              <w:rPr>
                <w:b/>
                <w:i/>
                <w:szCs w:val="18"/>
              </w:rPr>
            </w:pPr>
            <w:r w:rsidRPr="00C41693">
              <w:rPr>
                <w:b/>
                <w:i/>
                <w:szCs w:val="18"/>
              </w:rPr>
              <w:t xml:space="preserve">Modifications to </w:t>
            </w:r>
            <w:r>
              <w:rPr>
                <w:b/>
                <w:i/>
                <w:szCs w:val="18"/>
              </w:rPr>
              <w:t>character buildings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65157A3D" w14:textId="77777777" w:rsidR="005C56D2" w:rsidRPr="00C41693" w:rsidRDefault="005C56D2" w:rsidP="005C56D2">
            <w:pPr>
              <w:rPr>
                <w:b/>
                <w:i/>
                <w:szCs w:val="18"/>
              </w:rPr>
            </w:pPr>
          </w:p>
        </w:tc>
      </w:tr>
      <w:tr w:rsidR="005C56D2" w:rsidRPr="00234AEF" w14:paraId="2416C4EA" w14:textId="03FF51CD" w:rsidTr="005C03F2">
        <w:tc>
          <w:tcPr>
            <w:tcW w:w="3969" w:type="dxa"/>
          </w:tcPr>
          <w:p w14:paraId="4FD296ED" w14:textId="77777777" w:rsidR="005C56D2" w:rsidRPr="00D4604E" w:rsidRDefault="005C56D2" w:rsidP="005C56D2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PO14</w:t>
            </w:r>
          </w:p>
          <w:p w14:paraId="5CF4E022" w14:textId="77777777" w:rsidR="005C56D2" w:rsidRDefault="005C56D2" w:rsidP="005C56D2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 xml:space="preserve">Modifications to buildings, including associated landscaping and </w:t>
            </w:r>
            <w:proofErr w:type="gramStart"/>
            <w:r>
              <w:rPr>
                <w:szCs w:val="18"/>
              </w:rPr>
              <w:t>fencing:-</w:t>
            </w:r>
            <w:proofErr w:type="gramEnd"/>
          </w:p>
          <w:p w14:paraId="3947509E" w14:textId="77777777" w:rsidR="005C56D2" w:rsidRDefault="005C56D2" w:rsidP="005C56D2">
            <w:pPr>
              <w:numPr>
                <w:ilvl w:val="0"/>
                <w:numId w:val="96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>do not interfere with the integrity of the façade and continuity of the streetscape;</w:t>
            </w:r>
          </w:p>
          <w:p w14:paraId="7FEC962F" w14:textId="77777777" w:rsidR="005C56D2" w:rsidRDefault="005C56D2" w:rsidP="005C56D2">
            <w:pPr>
              <w:numPr>
                <w:ilvl w:val="0"/>
                <w:numId w:val="96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>utilise traditional materials and design elements consistent with other character buildings in the area and the period or characteristics of significance;</w:t>
            </w:r>
          </w:p>
          <w:p w14:paraId="324A92A5" w14:textId="77777777" w:rsidR="005C56D2" w:rsidRDefault="005C56D2" w:rsidP="005C56D2">
            <w:pPr>
              <w:numPr>
                <w:ilvl w:val="0"/>
                <w:numId w:val="96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>complement the form and proportions of the existing building; and</w:t>
            </w:r>
          </w:p>
          <w:p w14:paraId="71E88A4C" w14:textId="77777777" w:rsidR="005C56D2" w:rsidRDefault="005C56D2" w:rsidP="005C56D2">
            <w:pPr>
              <w:numPr>
                <w:ilvl w:val="0"/>
                <w:numId w:val="96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 xml:space="preserve">where located in a commercial neighbourhood character area, complement the features of the existing building, </w:t>
            </w:r>
            <w:proofErr w:type="gramStart"/>
            <w:r>
              <w:rPr>
                <w:szCs w:val="18"/>
              </w:rPr>
              <w:t>including:-</w:t>
            </w:r>
            <w:proofErr w:type="gramEnd"/>
          </w:p>
          <w:p w14:paraId="010E74F5" w14:textId="77777777" w:rsidR="005C56D2" w:rsidRDefault="005C56D2" w:rsidP="005C56D2">
            <w:pPr>
              <w:ind w:left="900" w:hanging="463"/>
              <w:rPr>
                <w:szCs w:val="18"/>
              </w:rPr>
            </w:pPr>
            <w:r>
              <w:rPr>
                <w:szCs w:val="18"/>
              </w:rPr>
              <w:t>(</w:t>
            </w:r>
            <w:proofErr w:type="spellStart"/>
            <w:r>
              <w:rPr>
                <w:szCs w:val="18"/>
              </w:rPr>
              <w:t>i</w:t>
            </w:r>
            <w:proofErr w:type="spellEnd"/>
            <w:r>
              <w:rPr>
                <w:szCs w:val="18"/>
              </w:rPr>
              <w:t>)</w:t>
            </w:r>
            <w:r>
              <w:rPr>
                <w:szCs w:val="18"/>
              </w:rPr>
              <w:tab/>
              <w:t>ornamentation on the existing façade;</w:t>
            </w:r>
          </w:p>
          <w:p w14:paraId="22A98B7C" w14:textId="77777777" w:rsidR="005C56D2" w:rsidRDefault="005C56D2" w:rsidP="005C56D2">
            <w:pPr>
              <w:ind w:left="900" w:hanging="463"/>
              <w:rPr>
                <w:szCs w:val="18"/>
              </w:rPr>
            </w:pPr>
            <w:r>
              <w:rPr>
                <w:szCs w:val="18"/>
              </w:rPr>
              <w:t>(ii)</w:t>
            </w:r>
            <w:r>
              <w:rPr>
                <w:szCs w:val="18"/>
              </w:rPr>
              <w:tab/>
              <w:t>windows;</w:t>
            </w:r>
          </w:p>
          <w:p w14:paraId="5D58DB87" w14:textId="77777777" w:rsidR="005C56D2" w:rsidRDefault="005C56D2" w:rsidP="005C56D2">
            <w:pPr>
              <w:ind w:left="900" w:hanging="463"/>
              <w:rPr>
                <w:szCs w:val="18"/>
              </w:rPr>
            </w:pPr>
            <w:r>
              <w:rPr>
                <w:szCs w:val="18"/>
              </w:rPr>
              <w:t>(iii)</w:t>
            </w:r>
            <w:r>
              <w:rPr>
                <w:szCs w:val="18"/>
              </w:rPr>
              <w:tab/>
            </w:r>
            <w:proofErr w:type="spellStart"/>
            <w:r>
              <w:rPr>
                <w:szCs w:val="18"/>
              </w:rPr>
              <w:t>verandahs</w:t>
            </w:r>
            <w:proofErr w:type="spellEnd"/>
            <w:r>
              <w:rPr>
                <w:szCs w:val="18"/>
              </w:rPr>
              <w:t xml:space="preserve">; </w:t>
            </w:r>
          </w:p>
          <w:p w14:paraId="34EABA53" w14:textId="77777777" w:rsidR="005C56D2" w:rsidRDefault="005C56D2" w:rsidP="005C56D2">
            <w:pPr>
              <w:ind w:left="900" w:hanging="463"/>
              <w:rPr>
                <w:szCs w:val="18"/>
              </w:rPr>
            </w:pPr>
            <w:r>
              <w:rPr>
                <w:szCs w:val="18"/>
              </w:rPr>
              <w:t>(iv)</w:t>
            </w:r>
            <w:r>
              <w:rPr>
                <w:szCs w:val="18"/>
              </w:rPr>
              <w:tab/>
              <w:t>awnings.</w:t>
            </w:r>
          </w:p>
        </w:tc>
        <w:tc>
          <w:tcPr>
            <w:tcW w:w="4536" w:type="dxa"/>
          </w:tcPr>
          <w:p w14:paraId="2BFAD014" w14:textId="77777777" w:rsidR="005C56D2" w:rsidRDefault="005C56D2" w:rsidP="005C56D2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AO14.1</w:t>
            </w:r>
          </w:p>
          <w:p w14:paraId="500D6582" w14:textId="77777777" w:rsidR="005C56D2" w:rsidRDefault="005C56D2" w:rsidP="005C56D2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 xml:space="preserve">Where located in a commercial neighbourhood character </w:t>
            </w:r>
            <w:proofErr w:type="gramStart"/>
            <w:r>
              <w:rPr>
                <w:szCs w:val="18"/>
              </w:rPr>
              <w:t>area:-</w:t>
            </w:r>
            <w:proofErr w:type="gramEnd"/>
          </w:p>
          <w:p w14:paraId="2CFC08B1" w14:textId="77777777" w:rsidR="005C56D2" w:rsidRDefault="005C56D2" w:rsidP="005C56D2">
            <w:pPr>
              <w:numPr>
                <w:ilvl w:val="0"/>
                <w:numId w:val="118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>d</w:t>
            </w:r>
            <w:r w:rsidRPr="003B7E42">
              <w:rPr>
                <w:szCs w:val="18"/>
              </w:rPr>
              <w:t>evelopment retains, reuses and refurbishes existing facades</w:t>
            </w:r>
            <w:r>
              <w:rPr>
                <w:szCs w:val="18"/>
              </w:rPr>
              <w:t xml:space="preserve">; </w:t>
            </w:r>
          </w:p>
          <w:p w14:paraId="5BE62752" w14:textId="77777777" w:rsidR="005C56D2" w:rsidRDefault="005C56D2" w:rsidP="005C56D2">
            <w:pPr>
              <w:numPr>
                <w:ilvl w:val="0"/>
                <w:numId w:val="118"/>
              </w:numPr>
              <w:ind w:left="437" w:hanging="437"/>
              <w:rPr>
                <w:szCs w:val="18"/>
              </w:rPr>
            </w:pPr>
            <w:r w:rsidRPr="003B7E42">
              <w:rPr>
                <w:szCs w:val="18"/>
              </w:rPr>
              <w:t>any repair or restoration</w:t>
            </w:r>
            <w:r>
              <w:rPr>
                <w:szCs w:val="18"/>
              </w:rPr>
              <w:t xml:space="preserve"> of buildings constructed of masonry</w:t>
            </w:r>
            <w:r w:rsidRPr="003B7E42">
              <w:rPr>
                <w:szCs w:val="18"/>
              </w:rPr>
              <w:t xml:space="preserve"> is undertaken using materials, mortar composition and colours </w:t>
            </w:r>
            <w:r>
              <w:rPr>
                <w:szCs w:val="18"/>
              </w:rPr>
              <w:t>that closely match the original;</w:t>
            </w:r>
          </w:p>
          <w:p w14:paraId="277F5766" w14:textId="77777777" w:rsidR="005C56D2" w:rsidRDefault="005C56D2" w:rsidP="005C56D2">
            <w:pPr>
              <w:numPr>
                <w:ilvl w:val="0"/>
                <w:numId w:val="118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>wi</w:t>
            </w:r>
            <w:r w:rsidRPr="003B7E42">
              <w:rPr>
                <w:szCs w:val="18"/>
              </w:rPr>
              <w:t>ndows and doors are of similar style to those of existing buildings with heritage character</w:t>
            </w:r>
            <w:r>
              <w:rPr>
                <w:szCs w:val="18"/>
              </w:rPr>
              <w:t>;</w:t>
            </w:r>
          </w:p>
          <w:p w14:paraId="5B489907" w14:textId="77777777" w:rsidR="005C56D2" w:rsidRDefault="005C56D2" w:rsidP="005C56D2">
            <w:pPr>
              <w:numPr>
                <w:ilvl w:val="0"/>
                <w:numId w:val="118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>f</w:t>
            </w:r>
            <w:r w:rsidRPr="003B7E42">
              <w:rPr>
                <w:szCs w:val="18"/>
              </w:rPr>
              <w:t>inials, where missing on gable ends, are reinstated to re-establish</w:t>
            </w:r>
            <w:r>
              <w:rPr>
                <w:szCs w:val="18"/>
              </w:rPr>
              <w:t xml:space="preserve"> original building skylines;</w:t>
            </w:r>
          </w:p>
          <w:p w14:paraId="0B238B7F" w14:textId="77777777" w:rsidR="005C56D2" w:rsidRDefault="005C56D2" w:rsidP="005C56D2">
            <w:pPr>
              <w:numPr>
                <w:ilvl w:val="0"/>
                <w:numId w:val="118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3B7E42">
              <w:rPr>
                <w:szCs w:val="18"/>
              </w:rPr>
              <w:t>ew shopfronts are designed and constructed in compatible heritage style</w:t>
            </w:r>
            <w:r>
              <w:rPr>
                <w:szCs w:val="18"/>
              </w:rPr>
              <w:t xml:space="preserve"> to existing examples in the streetscape;</w:t>
            </w:r>
          </w:p>
          <w:p w14:paraId="6DAB3477" w14:textId="77777777" w:rsidR="005C56D2" w:rsidRDefault="005C56D2" w:rsidP="005C56D2">
            <w:pPr>
              <w:numPr>
                <w:ilvl w:val="0"/>
                <w:numId w:val="118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>s</w:t>
            </w:r>
            <w:r w:rsidRPr="003B7E42">
              <w:rPr>
                <w:szCs w:val="18"/>
              </w:rPr>
              <w:t>hopfronts and windows comprise materials with similar profiles and incorporate splayed recessed entrance and timber framed windows</w:t>
            </w:r>
            <w:r>
              <w:rPr>
                <w:szCs w:val="18"/>
              </w:rPr>
              <w:t>;</w:t>
            </w:r>
          </w:p>
          <w:p w14:paraId="5C08B54F" w14:textId="77777777" w:rsidR="005C56D2" w:rsidRDefault="005C56D2" w:rsidP="005C56D2">
            <w:pPr>
              <w:numPr>
                <w:ilvl w:val="0"/>
                <w:numId w:val="118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>r</w:t>
            </w:r>
            <w:r w:rsidRPr="003B7E42">
              <w:rPr>
                <w:szCs w:val="18"/>
              </w:rPr>
              <w:t>enovations of buildings which exhibit a heritage character are designed with appropriate detailing</w:t>
            </w:r>
            <w:r>
              <w:rPr>
                <w:szCs w:val="18"/>
              </w:rPr>
              <w:t xml:space="preserve"> for the period of the building; </w:t>
            </w:r>
          </w:p>
          <w:p w14:paraId="5520901C" w14:textId="77777777" w:rsidR="005C56D2" w:rsidRDefault="005C56D2" w:rsidP="005C56D2">
            <w:pPr>
              <w:numPr>
                <w:ilvl w:val="0"/>
                <w:numId w:val="118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>b</w:t>
            </w:r>
            <w:r w:rsidRPr="003B7E42">
              <w:rPr>
                <w:szCs w:val="18"/>
              </w:rPr>
              <w:t>uilding facades are compatible in height to existing adjacent buildings and incorporate any repetitive architectural accent common both along the streetscape and the horizontal or vertical accents</w:t>
            </w:r>
            <w:r>
              <w:rPr>
                <w:szCs w:val="18"/>
              </w:rPr>
              <w:t>.</w:t>
            </w:r>
          </w:p>
          <w:p w14:paraId="5D45580A" w14:textId="77777777" w:rsidR="005C56D2" w:rsidRDefault="005C56D2" w:rsidP="005C56D2">
            <w:pPr>
              <w:rPr>
                <w:b/>
                <w:szCs w:val="18"/>
              </w:rPr>
            </w:pPr>
          </w:p>
          <w:p w14:paraId="484F579E" w14:textId="77777777" w:rsidR="005C56D2" w:rsidRPr="0019348E" w:rsidRDefault="005C56D2" w:rsidP="005C56D2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AO14.2</w:t>
            </w:r>
          </w:p>
          <w:p w14:paraId="26E11607" w14:textId="77777777" w:rsidR="005C56D2" w:rsidRDefault="005C56D2" w:rsidP="005C56D2">
            <w:pPr>
              <w:rPr>
                <w:szCs w:val="18"/>
              </w:rPr>
            </w:pPr>
            <w:r>
              <w:rPr>
                <w:szCs w:val="18"/>
              </w:rPr>
              <w:t xml:space="preserve">Where located in a residential neighbourhood character area, no acceptable outcome provided. </w:t>
            </w:r>
          </w:p>
        </w:tc>
        <w:tc>
          <w:tcPr>
            <w:tcW w:w="5439" w:type="dxa"/>
          </w:tcPr>
          <w:p w14:paraId="74F1DE91" w14:textId="5F61D204" w:rsidR="005C56D2" w:rsidRDefault="005C56D2" w:rsidP="005C56D2">
            <w:pPr>
              <w:rPr>
                <w:b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5C56D2" w:rsidRPr="00234AEF" w14:paraId="76027DBD" w14:textId="7DF44A3F" w:rsidTr="005C03F2">
        <w:tc>
          <w:tcPr>
            <w:tcW w:w="8505" w:type="dxa"/>
            <w:gridSpan w:val="2"/>
            <w:shd w:val="clear" w:color="auto" w:fill="D9D9D9"/>
          </w:tcPr>
          <w:p w14:paraId="188D0B98" w14:textId="77777777" w:rsidR="005C56D2" w:rsidRPr="00381535" w:rsidRDefault="005C56D2" w:rsidP="005C56D2">
            <w:pPr>
              <w:keepNext/>
              <w:widowControl w:val="0"/>
              <w:rPr>
                <w:b/>
                <w:i/>
                <w:szCs w:val="18"/>
              </w:rPr>
            </w:pPr>
            <w:r>
              <w:rPr>
                <w:b/>
                <w:i/>
                <w:szCs w:val="18"/>
              </w:rPr>
              <w:t>Reconfiguring a lot in a residential neighbourhood character area</w:t>
            </w:r>
          </w:p>
        </w:tc>
        <w:tc>
          <w:tcPr>
            <w:tcW w:w="5439" w:type="dxa"/>
            <w:shd w:val="clear" w:color="auto" w:fill="D9D9D9"/>
          </w:tcPr>
          <w:p w14:paraId="1FD1508B" w14:textId="77777777" w:rsidR="005C56D2" w:rsidRDefault="005C56D2" w:rsidP="005C56D2">
            <w:pPr>
              <w:keepNext/>
              <w:widowControl w:val="0"/>
              <w:rPr>
                <w:b/>
                <w:i/>
                <w:szCs w:val="18"/>
              </w:rPr>
            </w:pPr>
          </w:p>
        </w:tc>
      </w:tr>
      <w:tr w:rsidR="005C56D2" w:rsidRPr="00234AEF" w14:paraId="400E46A8" w14:textId="3C0BAF80" w:rsidTr="005C03F2">
        <w:tc>
          <w:tcPr>
            <w:tcW w:w="3969" w:type="dxa"/>
            <w:tcBorders>
              <w:bottom w:val="single" w:sz="4" w:space="0" w:color="auto"/>
            </w:tcBorders>
          </w:tcPr>
          <w:p w14:paraId="589EAC5A" w14:textId="77777777" w:rsidR="005C56D2" w:rsidRDefault="005C56D2" w:rsidP="005C56D2">
            <w:pPr>
              <w:keepNext/>
              <w:widowControl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PO15</w:t>
            </w:r>
          </w:p>
          <w:p w14:paraId="5A46D9BA" w14:textId="77777777" w:rsidR="005C56D2" w:rsidRPr="00581D41" w:rsidRDefault="005C56D2" w:rsidP="005C56D2">
            <w:pPr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Reconfiguring a lot in a residential neighbourhood character area does not </w:t>
            </w:r>
            <w:r>
              <w:rPr>
                <w:szCs w:val="18"/>
              </w:rPr>
              <w:t>o</w:t>
            </w:r>
            <w:r w:rsidRPr="00C41373">
              <w:rPr>
                <w:szCs w:val="18"/>
              </w:rPr>
              <w:t xml:space="preserve">bscure or </w:t>
            </w:r>
            <w:r>
              <w:rPr>
                <w:szCs w:val="18"/>
              </w:rPr>
              <w:t xml:space="preserve">adversely impact upon </w:t>
            </w:r>
            <w:r w:rsidRPr="00C41373">
              <w:rPr>
                <w:szCs w:val="18"/>
              </w:rPr>
              <w:t>any</w:t>
            </w:r>
            <w:r>
              <w:rPr>
                <w:szCs w:val="18"/>
              </w:rPr>
              <w:t xml:space="preserve"> of the following elements relating to neighbourhood </w:t>
            </w:r>
            <w:proofErr w:type="gramStart"/>
            <w:r>
              <w:rPr>
                <w:szCs w:val="18"/>
              </w:rPr>
              <w:t>character:-</w:t>
            </w:r>
            <w:proofErr w:type="gramEnd"/>
          </w:p>
          <w:p w14:paraId="6B1B9706" w14:textId="77777777" w:rsidR="005C56D2" w:rsidRDefault="005C56D2" w:rsidP="005C56D2">
            <w:pPr>
              <w:numPr>
                <w:ilvl w:val="0"/>
                <w:numId w:val="120"/>
              </w:numPr>
              <w:ind w:left="425" w:hanging="425"/>
              <w:rPr>
                <w:szCs w:val="18"/>
              </w:rPr>
            </w:pPr>
            <w:r>
              <w:rPr>
                <w:szCs w:val="18"/>
              </w:rPr>
              <w:t xml:space="preserve">the </w:t>
            </w:r>
            <w:r w:rsidRPr="00C41373">
              <w:rPr>
                <w:szCs w:val="18"/>
              </w:rPr>
              <w:t>pattern of historic subdivision</w:t>
            </w:r>
            <w:r>
              <w:rPr>
                <w:szCs w:val="18"/>
              </w:rPr>
              <w:t>;</w:t>
            </w:r>
          </w:p>
          <w:p w14:paraId="1C7DB4F2" w14:textId="77777777" w:rsidR="005C56D2" w:rsidRDefault="005C56D2" w:rsidP="005C56D2">
            <w:pPr>
              <w:numPr>
                <w:ilvl w:val="0"/>
                <w:numId w:val="120"/>
              </w:numPr>
              <w:ind w:left="425" w:hanging="425"/>
              <w:rPr>
                <w:szCs w:val="18"/>
              </w:rPr>
            </w:pPr>
            <w:r w:rsidRPr="00C41373">
              <w:rPr>
                <w:szCs w:val="18"/>
              </w:rPr>
              <w:t>the landscape setting</w:t>
            </w:r>
            <w:r>
              <w:rPr>
                <w:szCs w:val="18"/>
              </w:rPr>
              <w:t>;</w:t>
            </w:r>
            <w:r w:rsidRPr="00C41373">
              <w:rPr>
                <w:szCs w:val="18"/>
              </w:rPr>
              <w:t xml:space="preserve"> or</w:t>
            </w:r>
          </w:p>
          <w:p w14:paraId="1D9373D2" w14:textId="77777777" w:rsidR="005C56D2" w:rsidRDefault="005C56D2" w:rsidP="005C56D2">
            <w:pPr>
              <w:numPr>
                <w:ilvl w:val="0"/>
                <w:numId w:val="120"/>
              </w:numPr>
              <w:ind w:left="425" w:hanging="425"/>
              <w:rPr>
                <w:szCs w:val="18"/>
              </w:rPr>
            </w:pPr>
            <w:r w:rsidRPr="00C41373">
              <w:rPr>
                <w:szCs w:val="18"/>
              </w:rPr>
              <w:t>the scale and consistency of the urban fabric</w:t>
            </w:r>
            <w:r>
              <w:rPr>
                <w:szCs w:val="18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CCEF2D7" w14:textId="77777777" w:rsidR="005C56D2" w:rsidRDefault="005C56D2" w:rsidP="005C56D2">
            <w:pPr>
              <w:widowControl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AO15</w:t>
            </w:r>
          </w:p>
          <w:p w14:paraId="6A46FABE" w14:textId="77777777" w:rsidR="005C56D2" w:rsidRDefault="005C56D2" w:rsidP="005C56D2">
            <w:pPr>
              <w:widowControl w:val="0"/>
              <w:rPr>
                <w:szCs w:val="18"/>
              </w:rPr>
            </w:pPr>
            <w:r>
              <w:rPr>
                <w:szCs w:val="18"/>
              </w:rPr>
              <w:t xml:space="preserve">No acceptable outcome provided. 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27589486" w14:textId="1183601A" w:rsidR="005C56D2" w:rsidRDefault="005C56D2" w:rsidP="005C56D2">
            <w:pPr>
              <w:widowControl w:val="0"/>
              <w:rPr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</w:tbl>
    <w:p w14:paraId="5F966834" w14:textId="77777777" w:rsidR="005C03F2" w:rsidRDefault="005C03F2" w:rsidP="002D68ED"/>
    <w:p w14:paraId="1DCF5961" w14:textId="77777777" w:rsidR="00CA757E" w:rsidRPr="002D68ED" w:rsidRDefault="00CA757E" w:rsidP="002D68ED"/>
    <w:sectPr w:rsidR="00CA757E" w:rsidRPr="002D68ED" w:rsidSect="005C4B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1134" w:right="1361" w:bottom="1134" w:left="1304" w:header="510" w:footer="5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E8F0D" w14:textId="77777777" w:rsidR="00DD17C5" w:rsidRDefault="00DD17C5">
      <w:r>
        <w:separator/>
      </w:r>
    </w:p>
  </w:endnote>
  <w:endnote w:type="continuationSeparator" w:id="0">
    <w:p w14:paraId="53CABFAC" w14:textId="77777777" w:rsidR="00DD17C5" w:rsidRDefault="00DD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80D1" w14:textId="17A5AC9C" w:rsidR="005C4B87" w:rsidRDefault="005C4B87" w:rsidP="005C4B87">
    <w:pPr>
      <w:pStyle w:val="Footer"/>
      <w:tabs>
        <w:tab w:val="clear" w:pos="4153"/>
        <w:tab w:val="clear" w:pos="8306"/>
        <w:tab w:val="left" w:pos="0"/>
        <w:tab w:val="left" w:pos="5103"/>
      </w:tabs>
      <w:ind w:left="-851"/>
    </w:pPr>
    <w:r w:rsidRPr="0077553E">
      <w:rPr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>
      <w:rPr>
        <w:sz w:val="14"/>
      </w:rPr>
      <w:t>2</w:t>
    </w:r>
    <w:r w:rsidRPr="00B205D9">
      <w:rPr>
        <w:sz w:val="14"/>
      </w:rPr>
      <w:fldChar w:fldCharType="end"/>
    </w:r>
    <w:r>
      <w:rPr>
        <w:sz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F181" w14:textId="3C7C6B93" w:rsidR="005C4B87" w:rsidRDefault="005C4B87" w:rsidP="005C4B87">
    <w:pPr>
      <w:pStyle w:val="Footer"/>
      <w:tabs>
        <w:tab w:val="clear" w:pos="4153"/>
        <w:tab w:val="clear" w:pos="8306"/>
        <w:tab w:val="left" w:pos="0"/>
        <w:tab w:val="left" w:pos="5103"/>
        <w:tab w:val="left" w:pos="14601"/>
      </w:tabs>
      <w:ind w:left="-851" w:right="-1136"/>
      <w:jc w:val="both"/>
    </w:pPr>
    <w:r>
      <w:rPr>
        <w:sz w:val="14"/>
        <w:szCs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  <w:r>
      <w:rPr>
        <w:sz w:val="14"/>
        <w:szCs w:val="14"/>
      </w:rPr>
      <w:tab/>
    </w:r>
    <w:r>
      <w:rPr>
        <w:rFonts w:cs="Arial"/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>
      <w:rPr>
        <w:sz w:val="14"/>
      </w:rPr>
      <w:t>1</w:t>
    </w:r>
    <w:r w:rsidRPr="00B205D9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273D3" w14:textId="77777777" w:rsidR="00DD17C5" w:rsidRDefault="00DD17C5">
      <w:r>
        <w:separator/>
      </w:r>
    </w:p>
  </w:footnote>
  <w:footnote w:type="continuationSeparator" w:id="0">
    <w:p w14:paraId="091165A7" w14:textId="77777777" w:rsidR="00DD17C5" w:rsidRDefault="00DD17C5">
      <w:r>
        <w:continuationSeparator/>
      </w:r>
    </w:p>
  </w:footnote>
  <w:footnote w:id="1">
    <w:p w14:paraId="0C68B7B0" w14:textId="77777777" w:rsidR="005C03F2" w:rsidRPr="00FC7004" w:rsidRDefault="005C03F2" w:rsidP="005C03F2">
      <w:pPr>
        <w:pStyle w:val="FootnoteText"/>
        <w:ind w:left="360" w:right="5951" w:hanging="360"/>
        <w:rPr>
          <w:sz w:val="14"/>
          <w:szCs w:val="14"/>
        </w:rPr>
      </w:pPr>
      <w:r w:rsidRPr="001A6DFE">
        <w:rPr>
          <w:rStyle w:val="FootnoteReference"/>
          <w:sz w:val="14"/>
          <w:szCs w:val="14"/>
        </w:rPr>
        <w:footnoteRef/>
      </w:r>
      <w:r w:rsidRPr="001A6DFE">
        <w:rPr>
          <w:rStyle w:val="FootnoteReference"/>
          <w:sz w:val="14"/>
          <w:szCs w:val="14"/>
        </w:rPr>
        <w:tab/>
      </w:r>
      <w:r>
        <w:rPr>
          <w:sz w:val="14"/>
          <w:szCs w:val="14"/>
        </w:rPr>
        <w:t>Editor’s note—t</w:t>
      </w:r>
      <w:r w:rsidRPr="00FC7004">
        <w:rPr>
          <w:sz w:val="14"/>
          <w:szCs w:val="14"/>
        </w:rPr>
        <w:t xml:space="preserve">he elements referred to in this </w:t>
      </w:r>
      <w:r>
        <w:rPr>
          <w:sz w:val="14"/>
          <w:szCs w:val="14"/>
        </w:rPr>
        <w:t>c</w:t>
      </w:r>
      <w:r w:rsidRPr="00FC7004">
        <w:rPr>
          <w:sz w:val="14"/>
          <w:szCs w:val="14"/>
        </w:rPr>
        <w:t>ode</w:t>
      </w:r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include</w:t>
      </w:r>
      <w:r w:rsidRPr="00FC7004">
        <w:rPr>
          <w:sz w:val="14"/>
          <w:szCs w:val="14"/>
        </w:rPr>
        <w:t>:-</w:t>
      </w:r>
      <w:proofErr w:type="gramEnd"/>
    </w:p>
    <w:p w14:paraId="285B9648" w14:textId="77777777" w:rsidR="005C03F2" w:rsidRPr="00FC7004" w:rsidRDefault="005C03F2" w:rsidP="005C03F2">
      <w:pPr>
        <w:pStyle w:val="FootnoteText"/>
        <w:numPr>
          <w:ilvl w:val="0"/>
          <w:numId w:val="71"/>
        </w:numPr>
        <w:tabs>
          <w:tab w:val="clear" w:pos="1440"/>
          <w:tab w:val="num" w:pos="720"/>
        </w:tabs>
        <w:ind w:left="720" w:right="5951"/>
        <w:rPr>
          <w:sz w:val="14"/>
          <w:szCs w:val="14"/>
        </w:rPr>
      </w:pPr>
      <w:r>
        <w:rPr>
          <w:sz w:val="14"/>
          <w:szCs w:val="14"/>
        </w:rPr>
        <w:t>Queensland</w:t>
      </w:r>
      <w:r w:rsidRPr="00FC7004">
        <w:rPr>
          <w:sz w:val="14"/>
          <w:szCs w:val="14"/>
        </w:rPr>
        <w:t xml:space="preserve"> heritage places</w:t>
      </w:r>
      <w:r>
        <w:rPr>
          <w:sz w:val="14"/>
          <w:szCs w:val="14"/>
        </w:rPr>
        <w:t xml:space="preserve"> and national heritage places listed in the Queensland Heritage Register or National Heritage Database</w:t>
      </w:r>
      <w:r w:rsidRPr="00FC7004">
        <w:rPr>
          <w:sz w:val="14"/>
          <w:szCs w:val="14"/>
        </w:rPr>
        <w:t>;</w:t>
      </w:r>
    </w:p>
    <w:p w14:paraId="5CA11C99" w14:textId="77777777" w:rsidR="005C03F2" w:rsidRPr="001913B6" w:rsidRDefault="005C03F2" w:rsidP="005C03F2">
      <w:pPr>
        <w:pStyle w:val="FootnoteText"/>
        <w:numPr>
          <w:ilvl w:val="0"/>
          <w:numId w:val="71"/>
        </w:numPr>
        <w:tabs>
          <w:tab w:val="clear" w:pos="1440"/>
          <w:tab w:val="num" w:pos="720"/>
        </w:tabs>
        <w:ind w:left="720" w:right="5951"/>
        <w:rPr>
          <w:sz w:val="14"/>
          <w:szCs w:val="14"/>
        </w:rPr>
      </w:pPr>
      <w:r>
        <w:rPr>
          <w:sz w:val="14"/>
          <w:szCs w:val="14"/>
        </w:rPr>
        <w:t>l</w:t>
      </w:r>
      <w:r w:rsidRPr="00FC7004">
        <w:rPr>
          <w:sz w:val="14"/>
          <w:szCs w:val="14"/>
        </w:rPr>
        <w:t>ocal heritage places</w:t>
      </w:r>
      <w:r w:rsidRPr="00705D9F">
        <w:rPr>
          <w:sz w:val="14"/>
          <w:szCs w:val="14"/>
        </w:rPr>
        <w:t xml:space="preserve"> </w:t>
      </w:r>
      <w:r>
        <w:rPr>
          <w:sz w:val="14"/>
          <w:szCs w:val="14"/>
        </w:rPr>
        <w:t>and neighbourhood c</w:t>
      </w:r>
      <w:r w:rsidRPr="00FC7004">
        <w:rPr>
          <w:sz w:val="14"/>
          <w:szCs w:val="14"/>
        </w:rPr>
        <w:t xml:space="preserve">haracter areas identified on the Heritage and </w:t>
      </w:r>
      <w:r>
        <w:rPr>
          <w:sz w:val="14"/>
          <w:szCs w:val="14"/>
        </w:rPr>
        <w:t>neighbourhood c</w:t>
      </w:r>
      <w:r w:rsidRPr="00FC7004">
        <w:rPr>
          <w:sz w:val="14"/>
          <w:szCs w:val="14"/>
        </w:rPr>
        <w:t>haracter</w:t>
      </w:r>
      <w:r>
        <w:rPr>
          <w:sz w:val="14"/>
          <w:szCs w:val="14"/>
        </w:rPr>
        <w:t xml:space="preserve"> o</w:t>
      </w:r>
      <w:r w:rsidRPr="00FC7004">
        <w:rPr>
          <w:sz w:val="14"/>
          <w:szCs w:val="14"/>
        </w:rPr>
        <w:t xml:space="preserve">verlay </w:t>
      </w:r>
      <w:r>
        <w:rPr>
          <w:sz w:val="14"/>
          <w:szCs w:val="14"/>
        </w:rPr>
        <w:t>m</w:t>
      </w:r>
      <w:r w:rsidRPr="00FC7004">
        <w:rPr>
          <w:sz w:val="14"/>
          <w:szCs w:val="14"/>
        </w:rPr>
        <w:t xml:space="preserve">aps in </w:t>
      </w:r>
      <w:r w:rsidRPr="00C23243">
        <w:rPr>
          <w:b/>
          <w:sz w:val="14"/>
          <w:szCs w:val="14"/>
        </w:rPr>
        <w:t>Schedule 2 (Mapping)</w:t>
      </w:r>
      <w:r w:rsidRPr="001913B6">
        <w:rPr>
          <w:sz w:val="14"/>
          <w:szCs w:val="14"/>
        </w:rPr>
        <w:t>;</w:t>
      </w:r>
    </w:p>
    <w:p w14:paraId="2BD30E9F" w14:textId="77777777" w:rsidR="005C03F2" w:rsidRPr="00705D9F" w:rsidRDefault="005C03F2" w:rsidP="005C03F2">
      <w:pPr>
        <w:pStyle w:val="FootnoteText"/>
        <w:numPr>
          <w:ilvl w:val="0"/>
          <w:numId w:val="71"/>
        </w:numPr>
        <w:tabs>
          <w:tab w:val="clear" w:pos="1440"/>
          <w:tab w:val="num" w:pos="720"/>
        </w:tabs>
        <w:ind w:left="720" w:right="5951"/>
        <w:rPr>
          <w:sz w:val="14"/>
          <w:szCs w:val="14"/>
        </w:rPr>
      </w:pPr>
      <w:r>
        <w:rPr>
          <w:sz w:val="14"/>
          <w:szCs w:val="14"/>
        </w:rPr>
        <w:t>premises</w:t>
      </w:r>
      <w:r w:rsidRPr="001913B6">
        <w:rPr>
          <w:sz w:val="14"/>
          <w:szCs w:val="14"/>
        </w:rPr>
        <w:t xml:space="preserve"> adjoining a national, Queensland or local heritage place</w:t>
      </w:r>
      <w:r>
        <w:rPr>
          <w:sz w:val="14"/>
          <w:szCs w:val="14"/>
        </w:rPr>
        <w:t>.</w:t>
      </w:r>
    </w:p>
    <w:p w14:paraId="5AE4B8F6" w14:textId="77777777" w:rsidR="005C03F2" w:rsidRPr="001A6DFE" w:rsidRDefault="005C03F2" w:rsidP="005C03F2">
      <w:pPr>
        <w:pStyle w:val="FootnoteText"/>
        <w:ind w:left="360" w:right="5951"/>
        <w:rPr>
          <w:rStyle w:val="FootnoteReference"/>
          <w:sz w:val="14"/>
          <w:szCs w:val="14"/>
          <w:vertAlign w:val="baseline"/>
        </w:rPr>
      </w:pPr>
      <w:r w:rsidRPr="00705D9F">
        <w:rPr>
          <w:sz w:val="14"/>
          <w:szCs w:val="14"/>
        </w:rPr>
        <w:t xml:space="preserve">Statements of significance for the identified local heritage places and key character </w:t>
      </w:r>
      <w:r w:rsidRPr="00F019CE">
        <w:rPr>
          <w:sz w:val="14"/>
          <w:szCs w:val="14"/>
        </w:rPr>
        <w:t>elements and preferred character</w:t>
      </w:r>
      <w:r w:rsidRPr="00705D9F">
        <w:rPr>
          <w:sz w:val="14"/>
          <w:szCs w:val="14"/>
        </w:rPr>
        <w:t xml:space="preserve"> statements for neighbourhood </w:t>
      </w:r>
      <w:r>
        <w:rPr>
          <w:sz w:val="14"/>
          <w:szCs w:val="14"/>
        </w:rPr>
        <w:t>character areas</w:t>
      </w:r>
      <w:r w:rsidRPr="00FC7004">
        <w:rPr>
          <w:sz w:val="14"/>
          <w:szCs w:val="14"/>
        </w:rPr>
        <w:t xml:space="preserve"> are contained in the </w:t>
      </w:r>
      <w:r w:rsidRPr="00C23243">
        <w:rPr>
          <w:b/>
          <w:sz w:val="14"/>
          <w:szCs w:val="14"/>
        </w:rPr>
        <w:t>Planning scheme policy for the heritage and neighbourhood character overlay code</w:t>
      </w:r>
      <w:r w:rsidRPr="00FC7004">
        <w:rPr>
          <w:sz w:val="14"/>
          <w:szCs w:val="14"/>
        </w:rPr>
        <w:t>.</w:t>
      </w:r>
    </w:p>
  </w:footnote>
  <w:footnote w:id="2">
    <w:p w14:paraId="13988EFC" w14:textId="77777777" w:rsidR="005C03F2" w:rsidRPr="00E67782" w:rsidRDefault="005C03F2" w:rsidP="005C03F2">
      <w:pPr>
        <w:pStyle w:val="FootnoteText"/>
        <w:ind w:left="360" w:right="5951" w:hanging="360"/>
        <w:rPr>
          <w:sz w:val="14"/>
          <w:szCs w:val="14"/>
        </w:rPr>
      </w:pPr>
      <w:r w:rsidRPr="00E67782">
        <w:rPr>
          <w:rStyle w:val="FootnoteReference"/>
          <w:sz w:val="14"/>
          <w:szCs w:val="14"/>
        </w:rPr>
        <w:footnoteRef/>
      </w:r>
      <w:r w:rsidRPr="00E67782">
        <w:rPr>
          <w:sz w:val="14"/>
          <w:szCs w:val="14"/>
        </w:rPr>
        <w:t xml:space="preserve"> </w:t>
      </w:r>
      <w:r w:rsidRPr="00E67782">
        <w:rPr>
          <w:sz w:val="14"/>
          <w:szCs w:val="14"/>
        </w:rPr>
        <w:tab/>
      </w:r>
      <w:r>
        <w:rPr>
          <w:sz w:val="14"/>
          <w:szCs w:val="14"/>
        </w:rPr>
        <w:t>Editor’s note—t</w:t>
      </w:r>
      <w:r w:rsidRPr="00705D9F">
        <w:rPr>
          <w:sz w:val="14"/>
          <w:szCs w:val="14"/>
        </w:rPr>
        <w:t xml:space="preserve">he </w:t>
      </w:r>
      <w:r w:rsidRPr="008309EF">
        <w:rPr>
          <w:i/>
          <w:sz w:val="14"/>
          <w:szCs w:val="14"/>
        </w:rPr>
        <w:t>Aboriginal Cultural Heritage Act 2003</w:t>
      </w:r>
      <w:r w:rsidRPr="00705D9F">
        <w:rPr>
          <w:sz w:val="14"/>
          <w:szCs w:val="14"/>
        </w:rPr>
        <w:t xml:space="preserve"> (ACHA) and </w:t>
      </w:r>
      <w:r w:rsidRPr="008309EF">
        <w:rPr>
          <w:i/>
          <w:sz w:val="14"/>
          <w:szCs w:val="14"/>
        </w:rPr>
        <w:t>Torres Strait Islander Cultural Heritage Act 2003</w:t>
      </w:r>
      <w:r w:rsidRPr="00705D9F">
        <w:rPr>
          <w:sz w:val="14"/>
          <w:szCs w:val="14"/>
        </w:rPr>
        <w:t xml:space="preserve"> (TSICHA) provide for the recognition,</w:t>
      </w:r>
      <w:r>
        <w:rPr>
          <w:sz w:val="14"/>
          <w:szCs w:val="14"/>
        </w:rPr>
        <w:t xml:space="preserve"> </w:t>
      </w:r>
      <w:r w:rsidRPr="00705D9F">
        <w:rPr>
          <w:sz w:val="14"/>
          <w:szCs w:val="14"/>
        </w:rPr>
        <w:t>protection and conservation of Aboriginal and Torres Strait Islander cultural heritage and impose a duty of care in relation to the carrying out</w:t>
      </w:r>
      <w:r>
        <w:rPr>
          <w:sz w:val="14"/>
          <w:szCs w:val="14"/>
        </w:rPr>
        <w:t xml:space="preserve"> </w:t>
      </w:r>
      <w:r w:rsidRPr="00705D9F">
        <w:rPr>
          <w:sz w:val="14"/>
          <w:szCs w:val="14"/>
        </w:rPr>
        <w:t>of activities. The requirements of the ACHA and TSICHA apply s</w:t>
      </w:r>
      <w:r>
        <w:rPr>
          <w:sz w:val="14"/>
          <w:szCs w:val="14"/>
        </w:rPr>
        <w:t>eparately and in addition to the planning scheme</w:t>
      </w:r>
      <w:r w:rsidRPr="00E67782">
        <w:rPr>
          <w:sz w:val="14"/>
          <w:szCs w:val="14"/>
        </w:rPr>
        <w:t>.</w:t>
      </w:r>
    </w:p>
  </w:footnote>
  <w:footnote w:id="3">
    <w:p w14:paraId="5EB21650" w14:textId="77777777" w:rsidR="005C03F2" w:rsidRPr="005B56CC" w:rsidRDefault="005C03F2" w:rsidP="005C03F2">
      <w:pPr>
        <w:pStyle w:val="FootnoteText"/>
        <w:ind w:left="360" w:right="5951" w:hanging="360"/>
        <w:rPr>
          <w:rStyle w:val="FootnoteReference"/>
          <w:sz w:val="14"/>
          <w:szCs w:val="14"/>
          <w:vertAlign w:val="baseline"/>
        </w:rPr>
      </w:pPr>
      <w:r w:rsidRPr="005B56CC">
        <w:rPr>
          <w:rStyle w:val="FootnoteReference"/>
          <w:sz w:val="14"/>
          <w:szCs w:val="14"/>
        </w:rPr>
        <w:footnoteRef/>
      </w:r>
      <w:r w:rsidRPr="005B56CC">
        <w:rPr>
          <w:rStyle w:val="FootnoteReference"/>
        </w:rPr>
        <w:tab/>
      </w:r>
      <w:r>
        <w:rPr>
          <w:rStyle w:val="FootnoteReference"/>
          <w:sz w:val="14"/>
          <w:szCs w:val="14"/>
          <w:vertAlign w:val="baseline"/>
        </w:rPr>
        <w:t>Editor’s note—</w:t>
      </w:r>
      <w:r>
        <w:rPr>
          <w:sz w:val="14"/>
          <w:szCs w:val="14"/>
        </w:rPr>
        <w:t>t</w:t>
      </w:r>
      <w:r w:rsidRPr="005B56CC">
        <w:rPr>
          <w:rStyle w:val="FootnoteReference"/>
          <w:sz w:val="14"/>
          <w:szCs w:val="14"/>
          <w:vertAlign w:val="baseline"/>
        </w:rPr>
        <w:t xml:space="preserve">he </w:t>
      </w:r>
      <w:r w:rsidRPr="00C23243">
        <w:rPr>
          <w:rStyle w:val="FootnoteReference"/>
          <w:b/>
          <w:sz w:val="14"/>
          <w:szCs w:val="14"/>
          <w:vertAlign w:val="baseline"/>
        </w:rPr>
        <w:t>Planning scheme policy for the heritage and neighbourhood character overlay code</w:t>
      </w:r>
      <w:r w:rsidRPr="005B56CC">
        <w:rPr>
          <w:rStyle w:val="FootnoteReference"/>
          <w:sz w:val="14"/>
          <w:szCs w:val="14"/>
          <w:vertAlign w:val="baseline"/>
        </w:rPr>
        <w:t xml:space="preserve"> provides guidance for satisfying certain outcomes of this code</w:t>
      </w:r>
      <w:r>
        <w:rPr>
          <w:sz w:val="14"/>
          <w:szCs w:val="14"/>
        </w:rPr>
        <w:t>.</w:t>
      </w:r>
    </w:p>
  </w:footnote>
  <w:footnote w:id="4">
    <w:p w14:paraId="710EE0D0" w14:textId="77777777" w:rsidR="005C03F2" w:rsidRPr="00E33B23" w:rsidRDefault="005C03F2" w:rsidP="005C03F2">
      <w:pPr>
        <w:pStyle w:val="FootnoteText"/>
        <w:ind w:left="360" w:right="5951" w:hanging="360"/>
        <w:rPr>
          <w:sz w:val="14"/>
          <w:szCs w:val="14"/>
        </w:rPr>
      </w:pPr>
      <w:r w:rsidRPr="00E33B23">
        <w:rPr>
          <w:rStyle w:val="FootnoteReference"/>
          <w:sz w:val="14"/>
          <w:szCs w:val="14"/>
        </w:rPr>
        <w:footnoteRef/>
      </w:r>
      <w:r w:rsidRPr="00E33B23">
        <w:rPr>
          <w:sz w:val="14"/>
          <w:szCs w:val="14"/>
        </w:rPr>
        <w:t xml:space="preserve"> </w:t>
      </w:r>
      <w:r>
        <w:rPr>
          <w:sz w:val="14"/>
          <w:szCs w:val="14"/>
        </w:rPr>
        <w:tab/>
        <w:t>Editor’s note—u</w:t>
      </w:r>
      <w:r w:rsidRPr="00E33B23">
        <w:rPr>
          <w:sz w:val="14"/>
          <w:szCs w:val="14"/>
        </w:rPr>
        <w:t xml:space="preserve">nder the </w:t>
      </w:r>
      <w:r w:rsidRPr="00E33B23">
        <w:rPr>
          <w:i/>
          <w:sz w:val="14"/>
          <w:szCs w:val="14"/>
        </w:rPr>
        <w:t>Queensland Heritage Act 1992</w:t>
      </w:r>
      <w:r>
        <w:rPr>
          <w:sz w:val="14"/>
          <w:szCs w:val="14"/>
        </w:rPr>
        <w:t xml:space="preserve">, </w:t>
      </w:r>
      <w:r w:rsidRPr="00E33B23">
        <w:rPr>
          <w:sz w:val="14"/>
          <w:szCs w:val="14"/>
        </w:rPr>
        <w:t xml:space="preserve">a person must report to the Department of Environment and </w:t>
      </w:r>
      <w:r>
        <w:rPr>
          <w:sz w:val="14"/>
          <w:szCs w:val="14"/>
        </w:rPr>
        <w:t>Heritage Protection</w:t>
      </w:r>
      <w:r w:rsidRPr="00E33B23">
        <w:rPr>
          <w:sz w:val="14"/>
          <w:szCs w:val="14"/>
        </w:rPr>
        <w:t xml:space="preserve"> if they discover an archaeological artefact that is an important source of information about an aspect of Queensland’s history. Under t</w:t>
      </w:r>
      <w:r>
        <w:rPr>
          <w:sz w:val="14"/>
          <w:szCs w:val="14"/>
        </w:rPr>
        <w:t xml:space="preserve">he </w:t>
      </w:r>
      <w:r w:rsidRPr="009714EB">
        <w:rPr>
          <w:i/>
          <w:sz w:val="14"/>
          <w:szCs w:val="14"/>
        </w:rPr>
        <w:t>Queensland Heritage Act 1992</w:t>
      </w:r>
      <w:r>
        <w:rPr>
          <w:sz w:val="14"/>
          <w:szCs w:val="14"/>
        </w:rPr>
        <w:t xml:space="preserve">, </w:t>
      </w:r>
      <w:r w:rsidRPr="00E33B23">
        <w:rPr>
          <w:sz w:val="14"/>
          <w:szCs w:val="14"/>
        </w:rPr>
        <w:t>archaeological artefacts include any relic or other remains located above, on or below the present land surface, or found in State waters, that relate to past human behaviour.</w:t>
      </w:r>
    </w:p>
  </w:footnote>
  <w:footnote w:id="5">
    <w:p w14:paraId="62D37F06" w14:textId="77777777" w:rsidR="005C03F2" w:rsidRPr="00C00389" w:rsidRDefault="005C03F2" w:rsidP="005C03F2">
      <w:pPr>
        <w:pStyle w:val="FootnoteText"/>
        <w:ind w:left="360" w:right="5951" w:hanging="360"/>
        <w:rPr>
          <w:sz w:val="14"/>
          <w:szCs w:val="14"/>
        </w:rPr>
      </w:pPr>
      <w:r w:rsidRPr="00C00389">
        <w:rPr>
          <w:rStyle w:val="FootnoteReference"/>
          <w:sz w:val="14"/>
          <w:szCs w:val="14"/>
        </w:rPr>
        <w:footnoteRef/>
      </w:r>
      <w:r w:rsidRPr="00C00389">
        <w:rPr>
          <w:sz w:val="14"/>
          <w:szCs w:val="14"/>
        </w:rPr>
        <w:t xml:space="preserve"> </w:t>
      </w:r>
      <w:r w:rsidRPr="00C00389">
        <w:rPr>
          <w:sz w:val="14"/>
          <w:szCs w:val="14"/>
        </w:rPr>
        <w:tab/>
      </w:r>
      <w:r>
        <w:rPr>
          <w:sz w:val="14"/>
          <w:szCs w:val="14"/>
        </w:rPr>
        <w:t>Editor’s note</w:t>
      </w:r>
      <w:r w:rsidRPr="009F584D">
        <w:rPr>
          <w:sz w:val="14"/>
          <w:szCs w:val="14"/>
        </w:rPr>
        <w:t>—</w:t>
      </w:r>
      <w:r w:rsidRPr="00C00389">
        <w:rPr>
          <w:sz w:val="14"/>
          <w:szCs w:val="14"/>
        </w:rPr>
        <w:t xml:space="preserve">Development on </w:t>
      </w:r>
      <w:r>
        <w:rPr>
          <w:sz w:val="14"/>
          <w:szCs w:val="14"/>
        </w:rPr>
        <w:t>Queensland</w:t>
      </w:r>
      <w:r w:rsidRPr="00C00389">
        <w:rPr>
          <w:sz w:val="14"/>
          <w:szCs w:val="14"/>
        </w:rPr>
        <w:t xml:space="preserve"> heritage places is regulated by the </w:t>
      </w:r>
      <w:r w:rsidRPr="00E33B23">
        <w:rPr>
          <w:i/>
          <w:sz w:val="14"/>
          <w:szCs w:val="14"/>
        </w:rPr>
        <w:t>Queensland Heritage Act 1992</w:t>
      </w:r>
      <w:r w:rsidRPr="00C00389">
        <w:rPr>
          <w:sz w:val="14"/>
          <w:szCs w:val="14"/>
        </w:rPr>
        <w:t>.</w:t>
      </w:r>
    </w:p>
  </w:footnote>
  <w:footnote w:id="6">
    <w:p w14:paraId="66BD05EF" w14:textId="77777777" w:rsidR="005C03F2" w:rsidRPr="009F584D" w:rsidRDefault="005C03F2" w:rsidP="005C03F2">
      <w:pPr>
        <w:pStyle w:val="FootnoteText"/>
        <w:ind w:left="360" w:right="5951" w:hanging="360"/>
        <w:rPr>
          <w:rStyle w:val="FootnoteReference"/>
          <w:sz w:val="14"/>
          <w:szCs w:val="14"/>
          <w:vertAlign w:val="baseline"/>
        </w:rPr>
      </w:pPr>
      <w:r w:rsidRPr="009D6BCD">
        <w:rPr>
          <w:rStyle w:val="FootnoteReference"/>
          <w:sz w:val="14"/>
          <w:szCs w:val="14"/>
        </w:rPr>
        <w:footnoteRef/>
      </w:r>
      <w:r w:rsidRPr="009D6BCD">
        <w:rPr>
          <w:rStyle w:val="FootnoteReference"/>
          <w:sz w:val="14"/>
          <w:szCs w:val="14"/>
        </w:rPr>
        <w:tab/>
      </w:r>
      <w:r w:rsidRPr="009F584D">
        <w:rPr>
          <w:sz w:val="14"/>
          <w:szCs w:val="14"/>
        </w:rPr>
        <w:t>Editor’s note—</w:t>
      </w:r>
      <w:r>
        <w:rPr>
          <w:sz w:val="14"/>
          <w:szCs w:val="14"/>
        </w:rPr>
        <w:t>k</w:t>
      </w:r>
      <w:r w:rsidRPr="009F584D">
        <w:rPr>
          <w:sz w:val="14"/>
          <w:szCs w:val="14"/>
        </w:rPr>
        <w:t xml:space="preserve">ey character elements and preferred character statements for each neighbourhood character area are contained in the </w:t>
      </w:r>
      <w:r w:rsidRPr="00C23243">
        <w:rPr>
          <w:b/>
          <w:sz w:val="14"/>
          <w:szCs w:val="14"/>
        </w:rPr>
        <w:t>Planning scheme policy for the heritage and neighbourhood character overlay code</w:t>
      </w:r>
      <w:r>
        <w:rPr>
          <w:sz w:val="14"/>
          <w:szCs w:val="14"/>
        </w:rPr>
        <w:t>.</w:t>
      </w:r>
    </w:p>
  </w:footnote>
  <w:footnote w:id="7">
    <w:p w14:paraId="489331FF" w14:textId="77777777" w:rsidR="005C03F2" w:rsidRPr="008F2D2F" w:rsidRDefault="005C03F2" w:rsidP="005C03F2">
      <w:pPr>
        <w:pStyle w:val="FootnoteText"/>
        <w:ind w:left="360" w:right="5951" w:hanging="360"/>
        <w:rPr>
          <w:sz w:val="14"/>
          <w:szCs w:val="14"/>
        </w:rPr>
      </w:pPr>
      <w:r w:rsidRPr="008F2D2F">
        <w:rPr>
          <w:rStyle w:val="FootnoteReference"/>
          <w:sz w:val="14"/>
          <w:szCs w:val="14"/>
        </w:rPr>
        <w:footnoteRef/>
      </w:r>
      <w:r w:rsidRPr="008F2D2F">
        <w:rPr>
          <w:sz w:val="14"/>
          <w:szCs w:val="14"/>
        </w:rPr>
        <w:t xml:space="preserve"> </w:t>
      </w:r>
      <w:r>
        <w:rPr>
          <w:sz w:val="14"/>
          <w:szCs w:val="14"/>
        </w:rPr>
        <w:tab/>
        <w:t>Editor’s note—</w:t>
      </w:r>
      <w:r w:rsidRPr="008F2D2F">
        <w:rPr>
          <w:sz w:val="14"/>
          <w:szCs w:val="14"/>
        </w:rPr>
        <w:t>Australia ICOMOS Inc. is the national chapter of ICOMOS (International Council of Monuments and Sites), a non-government international organisation primarily concerned with the philosophy, terminology, methodology and techniques of cultural heritage conservation.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CAF9" w14:textId="02850D67" w:rsidR="005C4B87" w:rsidRDefault="005C4B87" w:rsidP="005C4B87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r>
      <w:rPr>
        <w:sz w:val="14"/>
        <w:szCs w:val="14"/>
      </w:rPr>
      <w:t>8.2.  Overlay codes</w:t>
    </w:r>
    <w:r>
      <w:rPr>
        <w:sz w:val="14"/>
        <w:szCs w:val="14"/>
      </w:rPr>
      <w:tab/>
      <w:t>Editable word version</w:t>
    </w:r>
  </w:p>
  <w:p w14:paraId="45511608" w14:textId="0C952A8D" w:rsidR="005C4B87" w:rsidRDefault="005C4B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2A8E4C" wp14:editId="77AE1DCD">
              <wp:simplePos x="0" y="0"/>
              <wp:positionH relativeFrom="page">
                <wp:posOffset>166255</wp:posOffset>
              </wp:positionH>
              <wp:positionV relativeFrom="page">
                <wp:posOffset>2847109</wp:posOffset>
              </wp:positionV>
              <wp:extent cx="588818" cy="3792855"/>
              <wp:effectExtent l="0" t="0" r="1905" b="0"/>
              <wp:wrapNone/>
              <wp:docPr id="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818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79E3B" w14:textId="4C0D715D" w:rsidR="005C4B87" w:rsidRDefault="005C4B87" w:rsidP="005C4B87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8 – Overlays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A8E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.1pt;margin-top:224.2pt;width:46.35pt;height:298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" stroked="f" strokeweight=".5pt">
              <v:textbox style="layout-flow:vertical;mso-layout-flow-alt:bottom-to-top">
                <w:txbxContent>
                  <w:p w14:paraId="33F79E3B" w14:textId="4C0D715D" w:rsidR="005C4B87" w:rsidRDefault="005C4B87" w:rsidP="005C4B87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art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Overlays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\n  \* MERGEFORMAT </w:instrText>
    </w:r>
    <w:r>
      <w:rPr>
        <w:b/>
        <w:sz w:val="14"/>
        <w:szCs w:val="14"/>
      </w:rPr>
      <w:fldChar w:fldCharType="separate"/>
    </w:r>
    <w:r w:rsidR="005C56D2">
      <w:rPr>
        <w:b/>
        <w:noProof/>
        <w:sz w:val="14"/>
        <w:szCs w:val="14"/>
      </w:rPr>
      <w:t>8.2.9</w:t>
    </w:r>
    <w:r>
      <w:rPr>
        <w:b/>
        <w:sz w:val="14"/>
        <w:szCs w:val="14"/>
      </w:rPr>
      <w:fldChar w:fldCharType="end"/>
    </w:r>
    <w:r>
      <w:rPr>
        <w:b/>
        <w:sz w:val="14"/>
        <w:szCs w:val="14"/>
      </w:rPr>
      <w:t xml:space="preserve">  </w:t>
    </w: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 \* MERGEFORMAT </w:instrText>
    </w:r>
    <w:r>
      <w:rPr>
        <w:b/>
        <w:sz w:val="14"/>
        <w:szCs w:val="14"/>
      </w:rPr>
      <w:fldChar w:fldCharType="separate"/>
    </w:r>
    <w:r w:rsidR="005C56D2">
      <w:rPr>
        <w:b/>
        <w:noProof/>
        <w:sz w:val="14"/>
        <w:szCs w:val="14"/>
      </w:rPr>
      <w:t>Heritage and neighbourhood character overlay code</w:t>
    </w:r>
    <w:r>
      <w:rPr>
        <w:b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A9C6" w14:textId="5D682DAB" w:rsidR="005C4B87" w:rsidRDefault="005C4B87" w:rsidP="005C4B87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r>
      <w:rPr>
        <w:sz w:val="14"/>
        <w:szCs w:val="14"/>
      </w:rPr>
      <w:t xml:space="preserve">Editable word version </w:t>
    </w:r>
    <w:r>
      <w:rPr>
        <w:sz w:val="14"/>
        <w:szCs w:val="14"/>
      </w:rPr>
      <w:tab/>
      <w:t>8.2.  Overlay codes</w:t>
    </w:r>
  </w:p>
  <w:p w14:paraId="02E1F5CA" w14:textId="63276798" w:rsidR="005C4B87" w:rsidRDefault="005C4B87" w:rsidP="005C4B87">
    <w:pPr>
      <w:pStyle w:val="Header"/>
      <w:jc w:val="right"/>
    </w:pP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\n  \* MERGEFORMAT </w:instrText>
    </w:r>
    <w:r>
      <w:rPr>
        <w:b/>
        <w:sz w:val="14"/>
        <w:szCs w:val="14"/>
      </w:rPr>
      <w:fldChar w:fldCharType="separate"/>
    </w:r>
    <w:r w:rsidR="005C56D2">
      <w:rPr>
        <w:b/>
        <w:noProof/>
        <w:sz w:val="14"/>
        <w:szCs w:val="14"/>
      </w:rPr>
      <w:t>8.2.9</w:t>
    </w:r>
    <w:r>
      <w:rPr>
        <w:b/>
        <w:sz w:val="14"/>
        <w:szCs w:val="14"/>
      </w:rPr>
      <w:fldChar w:fldCharType="end"/>
    </w:r>
    <w:r>
      <w:rPr>
        <w:b/>
        <w:sz w:val="14"/>
        <w:szCs w:val="14"/>
      </w:rPr>
      <w:t xml:space="preserve">  </w:t>
    </w: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 \* MERGEFORMAT </w:instrText>
    </w:r>
    <w:r>
      <w:rPr>
        <w:b/>
        <w:sz w:val="14"/>
        <w:szCs w:val="14"/>
      </w:rPr>
      <w:fldChar w:fldCharType="separate"/>
    </w:r>
    <w:r w:rsidR="005C56D2">
      <w:rPr>
        <w:b/>
        <w:noProof/>
        <w:sz w:val="14"/>
        <w:szCs w:val="14"/>
      </w:rPr>
      <w:t>Heritage and neighbourhood character overlay code</w:t>
    </w:r>
    <w:r>
      <w:rPr>
        <w:b/>
        <w:sz w:val="14"/>
        <w:szCs w:val="14"/>
      </w:rPr>
      <w:fldChar w:fldCharType="end"/>
    </w:r>
  </w:p>
  <w:p w14:paraId="387B587E" w14:textId="0C37B2C2" w:rsidR="005C4B87" w:rsidRDefault="005C4B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359647" wp14:editId="06B99871">
              <wp:simplePos x="0" y="0"/>
              <wp:positionH relativeFrom="page">
                <wp:posOffset>9919855</wp:posOffset>
              </wp:positionH>
              <wp:positionV relativeFrom="page">
                <wp:posOffset>2888673</wp:posOffset>
              </wp:positionV>
              <wp:extent cx="588818" cy="379285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818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519F6" w14:textId="74316E11" w:rsidR="005C4B87" w:rsidRDefault="005C4B87" w:rsidP="005C4B87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8 – Overlays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596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1.1pt;margin-top:227.45pt;width:46.35pt;height:298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" stroked="f" strokeweight=".5pt">
              <v:textbox style="layout-flow:vertical;mso-layout-flow-alt:bottom-to-top">
                <w:txbxContent>
                  <w:p w14:paraId="2C4519F6" w14:textId="74316E11" w:rsidR="005C4B87" w:rsidRDefault="005C4B87" w:rsidP="005C4B87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art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Overlay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D7638" w14:textId="77777777" w:rsidR="00E138E0" w:rsidRDefault="005C56D2">
    <w:pPr>
      <w:pStyle w:val="Header"/>
    </w:pPr>
    <w:r>
      <w:rPr>
        <w:noProof/>
      </w:rPr>
      <w:pict w14:anchorId="498F48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096" type="#_x0000_t136" style="position:absolute;margin-left:0;margin-top:0;width:507.45pt;height:78.0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F3E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531D6B"/>
    <w:multiLevelType w:val="hybridMultilevel"/>
    <w:tmpl w:val="6F360318"/>
    <w:lvl w:ilvl="0" w:tplc="11ECFB58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9C1DB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" w15:restartNumberingAfterBreak="0">
    <w:nsid w:val="011D5859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" w15:restartNumberingAfterBreak="0">
    <w:nsid w:val="020F27BD"/>
    <w:multiLevelType w:val="singleLevel"/>
    <w:tmpl w:val="131ED3A4"/>
    <w:lvl w:ilvl="0">
      <w:start w:val="1"/>
      <w:numFmt w:val="upperLetter"/>
      <w:pStyle w:val="SectionPoints3"/>
      <w:lvlText w:val="(%1)"/>
      <w:lvlJc w:val="left"/>
      <w:pPr>
        <w:tabs>
          <w:tab w:val="num" w:pos="2835"/>
        </w:tabs>
        <w:ind w:left="2835" w:hanging="567"/>
      </w:pPr>
      <w:rPr>
        <w:rFonts w:ascii="Arial Narrow" w:hAnsi="Arial Narrow" w:cs="Times New Roman" w:hint="default"/>
        <w:b w:val="0"/>
        <w:i w:val="0"/>
        <w:u w:val="none"/>
      </w:rPr>
    </w:lvl>
  </w:abstractNum>
  <w:abstractNum w:abstractNumId="5" w15:restartNumberingAfterBreak="0">
    <w:nsid w:val="027A42FA"/>
    <w:multiLevelType w:val="multilevel"/>
    <w:tmpl w:val="CEC26180"/>
    <w:styleLink w:val="StyleNumbered9pt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" w15:restartNumberingAfterBreak="0">
    <w:nsid w:val="0331225B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139E3"/>
    <w:multiLevelType w:val="hybridMultilevel"/>
    <w:tmpl w:val="CA1AE42A"/>
    <w:lvl w:ilvl="0" w:tplc="A8C8865C">
      <w:start w:val="1"/>
      <w:numFmt w:val="lowerLetter"/>
      <w:lvlText w:val="(%1)"/>
      <w:lvlJc w:val="left"/>
      <w:pPr>
        <w:tabs>
          <w:tab w:val="num" w:pos="1288"/>
        </w:tabs>
        <w:ind w:left="1288" w:hanging="720"/>
      </w:pPr>
      <w:rPr>
        <w:rFonts w:hint="default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8" w15:restartNumberingAfterBreak="0">
    <w:nsid w:val="04A2591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" w15:restartNumberingAfterBreak="0">
    <w:nsid w:val="06465090"/>
    <w:multiLevelType w:val="hybridMultilevel"/>
    <w:tmpl w:val="FFA276D8"/>
    <w:lvl w:ilvl="0" w:tplc="B7A22F7C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97E5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" w15:restartNumberingAfterBreak="0">
    <w:nsid w:val="07DF1FE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" w15:restartNumberingAfterBreak="0">
    <w:nsid w:val="07E222F5"/>
    <w:multiLevelType w:val="hybridMultilevel"/>
    <w:tmpl w:val="CEDC8060"/>
    <w:lvl w:ilvl="0" w:tplc="627EF830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DB7A04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964043B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AEB070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6" w15:restartNumberingAfterBreak="0">
    <w:nsid w:val="0C87435B"/>
    <w:multiLevelType w:val="multilevel"/>
    <w:tmpl w:val="0C4C3884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b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7" w15:restartNumberingAfterBreak="0">
    <w:nsid w:val="0CA55AA0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D274B9E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D437CB9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D7D336B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DA7773B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FB2514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3" w15:restartNumberingAfterBreak="0">
    <w:nsid w:val="10D55CF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4" w15:restartNumberingAfterBreak="0">
    <w:nsid w:val="130B4FBC"/>
    <w:multiLevelType w:val="multilevel"/>
    <w:tmpl w:val="CEC26180"/>
    <w:numStyleLink w:val="StyleNumbered9pt"/>
  </w:abstractNum>
  <w:abstractNum w:abstractNumId="25" w15:restartNumberingAfterBreak="0">
    <w:nsid w:val="1402422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6" w15:restartNumberingAfterBreak="0">
    <w:nsid w:val="142A3F5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7" w15:restartNumberingAfterBreak="0">
    <w:nsid w:val="147F0F0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8" w15:restartNumberingAfterBreak="0">
    <w:nsid w:val="1A0E376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9" w15:restartNumberingAfterBreak="0">
    <w:nsid w:val="1D7244C1"/>
    <w:multiLevelType w:val="hybridMultilevel"/>
    <w:tmpl w:val="DD74577E"/>
    <w:lvl w:ilvl="0" w:tplc="FD22991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FDF66F3"/>
    <w:multiLevelType w:val="multilevel"/>
    <w:tmpl w:val="F1B45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1167C3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2" w15:restartNumberingAfterBreak="0">
    <w:nsid w:val="21683817"/>
    <w:multiLevelType w:val="hybridMultilevel"/>
    <w:tmpl w:val="783C0EE6"/>
    <w:lvl w:ilvl="0" w:tplc="D398FA1E">
      <w:start w:val="1"/>
      <w:numFmt w:val="lowerLetter"/>
      <w:lvlText w:val="(%1)"/>
      <w:lvlJc w:val="left"/>
      <w:pPr>
        <w:ind w:left="644" w:hanging="360"/>
      </w:pPr>
      <w:rPr>
        <w:rFonts w:hint="default"/>
        <w:i w:val="0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21C946B5"/>
    <w:multiLevelType w:val="multilevel"/>
    <w:tmpl w:val="7D5CD344"/>
    <w:styleLink w:val="StyleOutlinenumbered9p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0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4" w15:restartNumberingAfterBreak="0">
    <w:nsid w:val="233978A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5" w15:restartNumberingAfterBreak="0">
    <w:nsid w:val="233A1F11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236E79FA"/>
    <w:multiLevelType w:val="hybridMultilevel"/>
    <w:tmpl w:val="1046B6B4"/>
    <w:lvl w:ilvl="0" w:tplc="C37AD704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3D60F43"/>
    <w:multiLevelType w:val="hybridMultilevel"/>
    <w:tmpl w:val="692AEDF6"/>
    <w:lvl w:ilvl="0" w:tplc="DAFCA62A">
      <w:start w:val="1"/>
      <w:numFmt w:val="lowerLetter"/>
      <w:lvlText w:val="(%1)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8" w15:restartNumberingAfterBreak="0">
    <w:nsid w:val="244807E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9" w15:restartNumberingAfterBreak="0">
    <w:nsid w:val="24B1657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0" w15:restartNumberingAfterBreak="0">
    <w:nsid w:val="2549125F"/>
    <w:multiLevelType w:val="multilevel"/>
    <w:tmpl w:val="3D7AF288"/>
    <w:lvl w:ilvl="0">
      <w:start w:val="8"/>
      <w:numFmt w:val="decimal"/>
      <w:pStyle w:val="Heading1"/>
      <w:lvlText w:val="Part 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25F440CF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2645624C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27C31589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28E1020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5" w15:restartNumberingAfterBreak="0">
    <w:nsid w:val="2A3E547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6" w15:restartNumberingAfterBreak="0">
    <w:nsid w:val="2BAD4619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7" w15:restartNumberingAfterBreak="0">
    <w:nsid w:val="2F4F1E4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8" w15:restartNumberingAfterBreak="0">
    <w:nsid w:val="2F714C2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9" w15:restartNumberingAfterBreak="0">
    <w:nsid w:val="2FA337F9"/>
    <w:multiLevelType w:val="multilevel"/>
    <w:tmpl w:val="049C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30404F62"/>
    <w:multiLevelType w:val="multilevel"/>
    <w:tmpl w:val="AC049E66"/>
    <w:lvl w:ilvl="0">
      <w:start w:val="1"/>
      <w:numFmt w:val="lowerLetter"/>
      <w:pStyle w:val="PSTOAC2Before1cm"/>
      <w:lvlText w:val="(%1)"/>
      <w:lvlJc w:val="left"/>
      <w:pPr>
        <w:ind w:left="284" w:hanging="28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Roman"/>
      <w:lvlText w:val="(%2)"/>
      <w:lvlJc w:val="left"/>
      <w:pPr>
        <w:ind w:left="567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0B307A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52" w15:restartNumberingAfterBreak="0">
    <w:nsid w:val="3213512F"/>
    <w:multiLevelType w:val="multilevel"/>
    <w:tmpl w:val="1506E76A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b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53" w15:restartNumberingAfterBreak="0">
    <w:nsid w:val="334F2038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34A5595D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358F6C0F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35F418A2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364945D0"/>
    <w:multiLevelType w:val="multilevel"/>
    <w:tmpl w:val="4040638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3650516A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37CE117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0" w15:restartNumberingAfterBreak="0">
    <w:nsid w:val="381F367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1" w15:restartNumberingAfterBreak="0">
    <w:nsid w:val="39AB1373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3CF538FC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3DE52E44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4" w15:restartNumberingAfterBreak="0">
    <w:nsid w:val="3EC712C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5" w15:restartNumberingAfterBreak="0">
    <w:nsid w:val="3F085A06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3FF548F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7" w15:restartNumberingAfterBreak="0">
    <w:nsid w:val="40E42DB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8" w15:restartNumberingAfterBreak="0">
    <w:nsid w:val="42531C6C"/>
    <w:multiLevelType w:val="hybridMultilevel"/>
    <w:tmpl w:val="675498E6"/>
    <w:lvl w:ilvl="0" w:tplc="44108B0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725A1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0" w15:restartNumberingAfterBreak="0">
    <w:nsid w:val="463808BC"/>
    <w:multiLevelType w:val="multilevel"/>
    <w:tmpl w:val="CEC26180"/>
    <w:numStyleLink w:val="StyleNumbered9pt"/>
  </w:abstractNum>
  <w:abstractNum w:abstractNumId="71" w15:restartNumberingAfterBreak="0">
    <w:nsid w:val="4744440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2" w15:restartNumberingAfterBreak="0">
    <w:nsid w:val="487F7566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91F687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4" w15:restartNumberingAfterBreak="0">
    <w:nsid w:val="49C431CF"/>
    <w:multiLevelType w:val="singleLevel"/>
    <w:tmpl w:val="EB4C60AC"/>
    <w:lvl w:ilvl="0">
      <w:start w:val="1"/>
      <w:numFmt w:val="lowerRoman"/>
      <w:pStyle w:val="SectionPoints2"/>
      <w:lvlText w:val="(%1)"/>
      <w:lvlJc w:val="left"/>
      <w:pPr>
        <w:tabs>
          <w:tab w:val="num" w:pos="2781"/>
        </w:tabs>
        <w:ind w:left="2268" w:hanging="567"/>
      </w:pPr>
      <w:rPr>
        <w:rFonts w:cs="Times New Roman" w:hint="default"/>
      </w:rPr>
    </w:lvl>
  </w:abstractNum>
  <w:abstractNum w:abstractNumId="75" w15:restartNumberingAfterBreak="0">
    <w:nsid w:val="4A90467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6" w15:restartNumberingAfterBreak="0">
    <w:nsid w:val="4B4842B4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4B53618C"/>
    <w:multiLevelType w:val="hybridMultilevel"/>
    <w:tmpl w:val="E30267E2"/>
    <w:lvl w:ilvl="0" w:tplc="CC521B0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90247C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4D1F5284"/>
    <w:multiLevelType w:val="multilevel"/>
    <w:tmpl w:val="CEC26180"/>
    <w:numStyleLink w:val="StyleNumbered9pt"/>
  </w:abstractNum>
  <w:abstractNum w:abstractNumId="80" w15:restartNumberingAfterBreak="0">
    <w:nsid w:val="4D212642"/>
    <w:multiLevelType w:val="multilevel"/>
    <w:tmpl w:val="CEC26180"/>
    <w:numStyleLink w:val="StyleNumbered9pt"/>
  </w:abstractNum>
  <w:abstractNum w:abstractNumId="81" w15:restartNumberingAfterBreak="0">
    <w:nsid w:val="4E001019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4E3045D7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4F3F6F09"/>
    <w:multiLevelType w:val="hybridMultilevel"/>
    <w:tmpl w:val="14C8C288"/>
    <w:lvl w:ilvl="0" w:tplc="DAFCA6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FFB22C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85" w15:restartNumberingAfterBreak="0">
    <w:nsid w:val="4FFC3BCE"/>
    <w:multiLevelType w:val="multilevel"/>
    <w:tmpl w:val="A476BF78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i w:val="0"/>
        <w:sz w:val="16"/>
        <w:szCs w:val="16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86" w15:restartNumberingAfterBreak="0">
    <w:nsid w:val="502C7CB7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50CC664D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50D96E3A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2AF53A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0" w15:restartNumberingAfterBreak="0">
    <w:nsid w:val="52B3701F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1" w15:restartNumberingAfterBreak="0">
    <w:nsid w:val="52BF2FCD"/>
    <w:multiLevelType w:val="multilevel"/>
    <w:tmpl w:val="CEC26180"/>
    <w:numStyleLink w:val="StyleNumbered9pt"/>
  </w:abstractNum>
  <w:abstractNum w:abstractNumId="92" w15:restartNumberingAfterBreak="0">
    <w:nsid w:val="53314D16"/>
    <w:multiLevelType w:val="multilevel"/>
    <w:tmpl w:val="CEC26180"/>
    <w:numStyleLink w:val="StyleNumbered9pt"/>
  </w:abstractNum>
  <w:abstractNum w:abstractNumId="93" w15:restartNumberingAfterBreak="0">
    <w:nsid w:val="53801C38"/>
    <w:multiLevelType w:val="multilevel"/>
    <w:tmpl w:val="CEC26180"/>
    <w:numStyleLink w:val="StyleNumbered9pt"/>
  </w:abstractNum>
  <w:abstractNum w:abstractNumId="94" w15:restartNumberingAfterBreak="0">
    <w:nsid w:val="540920B9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648502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6" w15:restartNumberingAfterBreak="0">
    <w:nsid w:val="57510665"/>
    <w:multiLevelType w:val="multilevel"/>
    <w:tmpl w:val="D0EA4F3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Letter"/>
      <w:lvlText w:val="(%2)"/>
      <w:lvlJc w:val="left"/>
      <w:pPr>
        <w:tabs>
          <w:tab w:val="num" w:pos="872"/>
        </w:tabs>
        <w:ind w:left="872" w:hanging="435"/>
      </w:pPr>
      <w:rPr>
        <w:rFonts w:hint="default"/>
        <w:i w:val="0"/>
        <w:sz w:val="14"/>
        <w:szCs w:val="14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7" w15:restartNumberingAfterBreak="0">
    <w:nsid w:val="590971F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8" w15:restartNumberingAfterBreak="0">
    <w:nsid w:val="59DB6622"/>
    <w:multiLevelType w:val="hybridMultilevel"/>
    <w:tmpl w:val="CE1A5A16"/>
    <w:lvl w:ilvl="0" w:tplc="C27CC672">
      <w:start w:val="1"/>
      <w:numFmt w:val="lowerRoman"/>
      <w:lvlText w:val="(%1)"/>
      <w:lvlJc w:val="left"/>
      <w:pPr>
        <w:tabs>
          <w:tab w:val="num" w:pos="0"/>
        </w:tabs>
        <w:ind w:left="873" w:hanging="43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A0A6B1A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0" w15:restartNumberingAfterBreak="0">
    <w:nsid w:val="5BE66036"/>
    <w:multiLevelType w:val="multilevel"/>
    <w:tmpl w:val="CEC26180"/>
    <w:numStyleLink w:val="StyleNumbered9pt"/>
  </w:abstractNum>
  <w:abstractNum w:abstractNumId="101" w15:restartNumberingAfterBreak="0">
    <w:nsid w:val="610E2240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613E4D0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3" w15:restartNumberingAfterBreak="0">
    <w:nsid w:val="61FC517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4" w15:restartNumberingAfterBreak="0">
    <w:nsid w:val="642A6B8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5" w15:restartNumberingAfterBreak="0">
    <w:nsid w:val="6442723F"/>
    <w:multiLevelType w:val="multilevel"/>
    <w:tmpl w:val="CEC26180"/>
    <w:numStyleLink w:val="StyleNumbered9pt"/>
  </w:abstractNum>
  <w:abstractNum w:abstractNumId="106" w15:restartNumberingAfterBreak="0">
    <w:nsid w:val="64A71AC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7" w15:restartNumberingAfterBreak="0">
    <w:nsid w:val="64E31E7E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689D143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9" w15:restartNumberingAfterBreak="0">
    <w:nsid w:val="699131C4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69A3719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1" w15:restartNumberingAfterBreak="0">
    <w:nsid w:val="6C386762"/>
    <w:multiLevelType w:val="hybridMultilevel"/>
    <w:tmpl w:val="AB6A8CF2"/>
    <w:lvl w:ilvl="0" w:tplc="DAFCA62A">
      <w:start w:val="1"/>
      <w:numFmt w:val="lowerLetter"/>
      <w:lvlText w:val="(%1)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12" w15:restartNumberingAfterBreak="0">
    <w:nsid w:val="6C9E3030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3" w15:restartNumberingAfterBreak="0">
    <w:nsid w:val="6CF13647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D6D4C1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5" w15:restartNumberingAfterBreak="0">
    <w:nsid w:val="6D71517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6" w15:restartNumberingAfterBreak="0">
    <w:nsid w:val="6E4940CA"/>
    <w:multiLevelType w:val="multilevel"/>
    <w:tmpl w:val="B358CA0E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6"/>
        <w:szCs w:val="16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7" w15:restartNumberingAfterBreak="0">
    <w:nsid w:val="6E7A151D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8" w15:restartNumberingAfterBreak="0">
    <w:nsid w:val="700F3314"/>
    <w:multiLevelType w:val="hybridMultilevel"/>
    <w:tmpl w:val="833E4928"/>
    <w:lvl w:ilvl="0" w:tplc="0C090015">
      <w:start w:val="1"/>
      <w:numFmt w:val="upperLetter"/>
      <w:lvlText w:val="%1."/>
      <w:lvlJc w:val="lef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9" w15:restartNumberingAfterBreak="0">
    <w:nsid w:val="70D15A9B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0E3178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1" w15:restartNumberingAfterBreak="0">
    <w:nsid w:val="70ED7538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2" w15:restartNumberingAfterBreak="0">
    <w:nsid w:val="71256034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3" w15:restartNumberingAfterBreak="0">
    <w:nsid w:val="71FE6787"/>
    <w:multiLevelType w:val="hybridMultilevel"/>
    <w:tmpl w:val="F076A160"/>
    <w:lvl w:ilvl="0" w:tplc="D398FA1E">
      <w:start w:val="1"/>
      <w:numFmt w:val="lowerLetter"/>
      <w:lvlText w:val="(%1)"/>
      <w:lvlJc w:val="left"/>
      <w:pPr>
        <w:ind w:left="644" w:hanging="360"/>
      </w:pPr>
      <w:rPr>
        <w:rFonts w:hint="default"/>
        <w:i w:val="0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013C0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5" w15:restartNumberingAfterBreak="0">
    <w:nsid w:val="74A66057"/>
    <w:multiLevelType w:val="multilevel"/>
    <w:tmpl w:val="4574EC36"/>
    <w:lvl w:ilvl="0">
      <w:start w:val="1"/>
      <w:numFmt w:val="lowerLetter"/>
      <w:lvlText w:val="(%1)"/>
      <w:lvlJc w:val="left"/>
      <w:pPr>
        <w:tabs>
          <w:tab w:val="num" w:pos="721"/>
        </w:tabs>
        <w:ind w:left="721" w:hanging="437"/>
      </w:pPr>
      <w:rPr>
        <w:rFonts w:ascii="Arial" w:hAnsi="Arial" w:hint="default"/>
        <w:sz w:val="14"/>
        <w:szCs w:val="14"/>
      </w:rPr>
    </w:lvl>
    <w:lvl w:ilvl="1">
      <w:start w:val="1"/>
      <w:numFmt w:val="lowerRoman"/>
      <w:lvlText w:val="(%2)"/>
      <w:lvlJc w:val="left"/>
      <w:pPr>
        <w:tabs>
          <w:tab w:val="num" w:pos="1156"/>
        </w:tabs>
        <w:ind w:left="1156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26" w15:restartNumberingAfterBreak="0">
    <w:nsid w:val="75840B0D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760B55B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8" w15:restartNumberingAfterBreak="0">
    <w:nsid w:val="7631089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9" w15:restartNumberingAfterBreak="0">
    <w:nsid w:val="76AD26A8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0" w15:restartNumberingAfterBreak="0">
    <w:nsid w:val="773D2DAA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1" w15:restartNumberingAfterBreak="0">
    <w:nsid w:val="78EC397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2" w15:restartNumberingAfterBreak="0">
    <w:nsid w:val="7B9B351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3" w15:restartNumberingAfterBreak="0">
    <w:nsid w:val="7BB649E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4" w15:restartNumberingAfterBreak="0">
    <w:nsid w:val="7E636345"/>
    <w:multiLevelType w:val="hybridMultilevel"/>
    <w:tmpl w:val="BC2ED184"/>
    <w:lvl w:ilvl="0" w:tplc="3130528A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E6D73B5"/>
    <w:multiLevelType w:val="hybridMultilevel"/>
    <w:tmpl w:val="56080514"/>
    <w:lvl w:ilvl="0" w:tplc="DAFCA6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17618E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7" w15:restartNumberingAfterBreak="0">
    <w:nsid w:val="7F985140"/>
    <w:multiLevelType w:val="hybridMultilevel"/>
    <w:tmpl w:val="7BC4B208"/>
    <w:lvl w:ilvl="0" w:tplc="2A88F9C6">
      <w:start w:val="1"/>
      <w:numFmt w:val="lowerLetter"/>
      <w:lvlText w:val="(%1)"/>
      <w:lvlJc w:val="left"/>
      <w:pPr>
        <w:ind w:left="927" w:hanging="360"/>
      </w:pPr>
      <w:rPr>
        <w:rFonts w:hint="default"/>
        <w:i w:val="0"/>
        <w:sz w:val="18"/>
        <w:szCs w:val="18"/>
      </w:rPr>
    </w:lvl>
    <w:lvl w:ilvl="1" w:tplc="5AEEB088">
      <w:start w:val="1"/>
      <w:numFmt w:val="lowerRoman"/>
      <w:lvlText w:val="(%2)"/>
      <w:lvlJc w:val="left"/>
      <w:pPr>
        <w:ind w:left="1647" w:hanging="360"/>
      </w:pPr>
      <w:rPr>
        <w:rFonts w:ascii="Arial" w:hAnsi="Arial" w:hint="default"/>
        <w:b w:val="0"/>
        <w:i w:val="0"/>
        <w:sz w:val="18"/>
        <w:szCs w:val="18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0"/>
  </w:num>
  <w:num w:numId="2">
    <w:abstractNumId w:val="17"/>
  </w:num>
  <w:num w:numId="3">
    <w:abstractNumId w:val="5"/>
  </w:num>
  <w:num w:numId="4">
    <w:abstractNumId w:val="33"/>
  </w:num>
  <w:num w:numId="5">
    <w:abstractNumId w:val="43"/>
  </w:num>
  <w:num w:numId="6">
    <w:abstractNumId w:val="94"/>
  </w:num>
  <w:num w:numId="7">
    <w:abstractNumId w:val="0"/>
  </w:num>
  <w:num w:numId="8">
    <w:abstractNumId w:val="41"/>
  </w:num>
  <w:num w:numId="9">
    <w:abstractNumId w:val="126"/>
  </w:num>
  <w:num w:numId="10">
    <w:abstractNumId w:val="58"/>
  </w:num>
  <w:num w:numId="11">
    <w:abstractNumId w:val="24"/>
  </w:num>
  <w:num w:numId="12">
    <w:abstractNumId w:val="80"/>
  </w:num>
  <w:num w:numId="13">
    <w:abstractNumId w:val="98"/>
  </w:num>
  <w:num w:numId="14">
    <w:abstractNumId w:val="91"/>
  </w:num>
  <w:num w:numId="15">
    <w:abstractNumId w:val="11"/>
  </w:num>
  <w:num w:numId="16">
    <w:abstractNumId w:val="92"/>
  </w:num>
  <w:num w:numId="17">
    <w:abstractNumId w:val="110"/>
  </w:num>
  <w:num w:numId="18">
    <w:abstractNumId w:val="70"/>
  </w:num>
  <w:num w:numId="19">
    <w:abstractNumId w:val="79"/>
  </w:num>
  <w:num w:numId="20">
    <w:abstractNumId w:val="93"/>
  </w:num>
  <w:num w:numId="21">
    <w:abstractNumId w:val="107"/>
  </w:num>
  <w:num w:numId="22">
    <w:abstractNumId w:val="59"/>
  </w:num>
  <w:num w:numId="23">
    <w:abstractNumId w:val="47"/>
  </w:num>
  <w:num w:numId="24">
    <w:abstractNumId w:val="31"/>
  </w:num>
  <w:num w:numId="25">
    <w:abstractNumId w:val="15"/>
  </w:num>
  <w:num w:numId="26">
    <w:abstractNumId w:val="38"/>
  </w:num>
  <w:num w:numId="27">
    <w:abstractNumId w:val="130"/>
  </w:num>
  <w:num w:numId="28">
    <w:abstractNumId w:val="39"/>
  </w:num>
  <w:num w:numId="29">
    <w:abstractNumId w:val="81"/>
  </w:num>
  <w:num w:numId="30">
    <w:abstractNumId w:val="34"/>
  </w:num>
  <w:num w:numId="31">
    <w:abstractNumId w:val="60"/>
  </w:num>
  <w:num w:numId="32">
    <w:abstractNumId w:val="44"/>
  </w:num>
  <w:num w:numId="33">
    <w:abstractNumId w:val="103"/>
  </w:num>
  <w:num w:numId="34">
    <w:abstractNumId w:val="23"/>
  </w:num>
  <w:num w:numId="35">
    <w:abstractNumId w:val="90"/>
  </w:num>
  <w:num w:numId="36">
    <w:abstractNumId w:val="46"/>
  </w:num>
  <w:num w:numId="37">
    <w:abstractNumId w:val="2"/>
  </w:num>
  <w:num w:numId="38">
    <w:abstractNumId w:val="25"/>
  </w:num>
  <w:num w:numId="39">
    <w:abstractNumId w:val="63"/>
  </w:num>
  <w:num w:numId="40">
    <w:abstractNumId w:val="97"/>
  </w:num>
  <w:num w:numId="41">
    <w:abstractNumId w:val="75"/>
  </w:num>
  <w:num w:numId="42">
    <w:abstractNumId w:val="112"/>
  </w:num>
  <w:num w:numId="43">
    <w:abstractNumId w:val="129"/>
  </w:num>
  <w:num w:numId="44">
    <w:abstractNumId w:val="95"/>
  </w:num>
  <w:num w:numId="45">
    <w:abstractNumId w:val="85"/>
  </w:num>
  <w:num w:numId="46">
    <w:abstractNumId w:val="27"/>
  </w:num>
  <w:num w:numId="47">
    <w:abstractNumId w:val="131"/>
  </w:num>
  <w:num w:numId="48">
    <w:abstractNumId w:val="67"/>
  </w:num>
  <w:num w:numId="49">
    <w:abstractNumId w:val="86"/>
  </w:num>
  <w:num w:numId="50">
    <w:abstractNumId w:val="55"/>
  </w:num>
  <w:num w:numId="51">
    <w:abstractNumId w:val="72"/>
  </w:num>
  <w:num w:numId="52">
    <w:abstractNumId w:val="122"/>
  </w:num>
  <w:num w:numId="53">
    <w:abstractNumId w:val="132"/>
  </w:num>
  <w:num w:numId="54">
    <w:abstractNumId w:val="42"/>
  </w:num>
  <w:num w:numId="55">
    <w:abstractNumId w:val="62"/>
  </w:num>
  <w:num w:numId="56">
    <w:abstractNumId w:val="35"/>
  </w:num>
  <w:num w:numId="57">
    <w:abstractNumId w:val="19"/>
  </w:num>
  <w:num w:numId="58">
    <w:abstractNumId w:val="13"/>
  </w:num>
  <w:num w:numId="59">
    <w:abstractNumId w:val="57"/>
  </w:num>
  <w:num w:numId="60">
    <w:abstractNumId w:val="14"/>
  </w:num>
  <w:num w:numId="61">
    <w:abstractNumId w:val="100"/>
  </w:num>
  <w:num w:numId="62">
    <w:abstractNumId w:val="87"/>
  </w:num>
  <w:num w:numId="63">
    <w:abstractNumId w:val="105"/>
  </w:num>
  <w:num w:numId="64">
    <w:abstractNumId w:val="101"/>
  </w:num>
  <w:num w:numId="65">
    <w:abstractNumId w:val="76"/>
  </w:num>
  <w:num w:numId="66">
    <w:abstractNumId w:val="54"/>
  </w:num>
  <w:num w:numId="67">
    <w:abstractNumId w:val="53"/>
  </w:num>
  <w:num w:numId="68">
    <w:abstractNumId w:val="18"/>
  </w:num>
  <w:num w:numId="69">
    <w:abstractNumId w:val="109"/>
  </w:num>
  <w:num w:numId="70">
    <w:abstractNumId w:val="78"/>
  </w:num>
  <w:num w:numId="71">
    <w:abstractNumId w:val="29"/>
  </w:num>
  <w:num w:numId="72">
    <w:abstractNumId w:val="30"/>
  </w:num>
  <w:num w:numId="73">
    <w:abstractNumId w:val="116"/>
  </w:num>
  <w:num w:numId="74">
    <w:abstractNumId w:val="16"/>
  </w:num>
  <w:num w:numId="75">
    <w:abstractNumId w:val="106"/>
  </w:num>
  <w:num w:numId="76">
    <w:abstractNumId w:val="8"/>
  </w:num>
  <w:num w:numId="77">
    <w:abstractNumId w:val="10"/>
  </w:num>
  <w:num w:numId="78">
    <w:abstractNumId w:val="124"/>
  </w:num>
  <w:num w:numId="79">
    <w:abstractNumId w:val="28"/>
  </w:num>
  <w:num w:numId="80">
    <w:abstractNumId w:val="26"/>
  </w:num>
  <w:num w:numId="81">
    <w:abstractNumId w:val="65"/>
  </w:num>
  <w:num w:numId="82">
    <w:abstractNumId w:val="61"/>
  </w:num>
  <w:num w:numId="83">
    <w:abstractNumId w:val="3"/>
  </w:num>
  <w:num w:numId="84">
    <w:abstractNumId w:val="84"/>
  </w:num>
  <w:num w:numId="85">
    <w:abstractNumId w:val="56"/>
  </w:num>
  <w:num w:numId="86">
    <w:abstractNumId w:val="136"/>
  </w:num>
  <w:num w:numId="87">
    <w:abstractNumId w:val="71"/>
  </w:num>
  <w:num w:numId="88">
    <w:abstractNumId w:val="99"/>
  </w:num>
  <w:num w:numId="89">
    <w:abstractNumId w:val="51"/>
  </w:num>
  <w:num w:numId="90">
    <w:abstractNumId w:val="127"/>
  </w:num>
  <w:num w:numId="91">
    <w:abstractNumId w:val="9"/>
  </w:num>
  <w:num w:numId="92">
    <w:abstractNumId w:val="102"/>
  </w:num>
  <w:num w:numId="93">
    <w:abstractNumId w:val="89"/>
  </w:num>
  <w:num w:numId="94">
    <w:abstractNumId w:val="82"/>
  </w:num>
  <w:num w:numId="95">
    <w:abstractNumId w:val="1"/>
  </w:num>
  <w:num w:numId="96">
    <w:abstractNumId w:val="113"/>
  </w:num>
  <w:num w:numId="97">
    <w:abstractNumId w:val="134"/>
  </w:num>
  <w:num w:numId="98">
    <w:abstractNumId w:val="36"/>
  </w:num>
  <w:num w:numId="99">
    <w:abstractNumId w:val="68"/>
  </w:num>
  <w:num w:numId="100">
    <w:abstractNumId w:val="12"/>
  </w:num>
  <w:num w:numId="101">
    <w:abstractNumId w:val="7"/>
  </w:num>
  <w:num w:numId="102">
    <w:abstractNumId w:val="128"/>
  </w:num>
  <w:num w:numId="103">
    <w:abstractNumId w:val="114"/>
  </w:num>
  <w:num w:numId="104">
    <w:abstractNumId w:val="120"/>
  </w:num>
  <w:num w:numId="105">
    <w:abstractNumId w:val="69"/>
  </w:num>
  <w:num w:numId="106">
    <w:abstractNumId w:val="66"/>
  </w:num>
  <w:num w:numId="107">
    <w:abstractNumId w:val="96"/>
  </w:num>
  <w:num w:numId="108">
    <w:abstractNumId w:val="52"/>
  </w:num>
  <w:num w:numId="109">
    <w:abstractNumId w:val="121"/>
  </w:num>
  <w:num w:numId="110">
    <w:abstractNumId w:val="73"/>
  </w:num>
  <w:num w:numId="111">
    <w:abstractNumId w:val="125"/>
  </w:num>
  <w:num w:numId="112">
    <w:abstractNumId w:val="32"/>
  </w:num>
  <w:num w:numId="113">
    <w:abstractNumId w:val="123"/>
  </w:num>
  <w:num w:numId="114">
    <w:abstractNumId w:val="133"/>
  </w:num>
  <w:num w:numId="115">
    <w:abstractNumId w:val="104"/>
  </w:num>
  <w:num w:numId="116">
    <w:abstractNumId w:val="108"/>
  </w:num>
  <w:num w:numId="117">
    <w:abstractNumId w:val="45"/>
  </w:num>
  <w:num w:numId="118">
    <w:abstractNumId w:val="6"/>
  </w:num>
  <w:num w:numId="119">
    <w:abstractNumId w:val="20"/>
  </w:num>
  <w:num w:numId="120">
    <w:abstractNumId w:val="119"/>
  </w:num>
  <w:num w:numId="121">
    <w:abstractNumId w:val="22"/>
  </w:num>
  <w:num w:numId="122">
    <w:abstractNumId w:val="111"/>
  </w:num>
  <w:num w:numId="123">
    <w:abstractNumId w:val="74"/>
  </w:num>
  <w:num w:numId="124">
    <w:abstractNumId w:val="77"/>
  </w:num>
  <w:num w:numId="125">
    <w:abstractNumId w:val="64"/>
  </w:num>
  <w:num w:numId="126">
    <w:abstractNumId w:val="4"/>
  </w:num>
  <w:num w:numId="127">
    <w:abstractNumId w:val="48"/>
  </w:num>
  <w:num w:numId="128">
    <w:abstractNumId w:val="115"/>
  </w:num>
  <w:num w:numId="129">
    <w:abstractNumId w:val="135"/>
  </w:num>
  <w:num w:numId="130">
    <w:abstractNumId w:val="37"/>
  </w:num>
  <w:num w:numId="131">
    <w:abstractNumId w:val="83"/>
  </w:num>
  <w:num w:numId="132">
    <w:abstractNumId w:val="50"/>
  </w:num>
  <w:num w:numId="133">
    <w:abstractNumId w:val="118"/>
  </w:num>
  <w:num w:numId="134">
    <w:abstractNumId w:val="21"/>
  </w:num>
  <w:num w:numId="135">
    <w:abstractNumId w:val="117"/>
  </w:num>
  <w:num w:numId="136">
    <w:abstractNumId w:val="88"/>
  </w:num>
  <w:num w:numId="137">
    <w:abstractNumId w:val="137"/>
  </w:num>
  <w:num w:numId="1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49"/>
  </w:num>
  <w:num w:numId="1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evenAndOddHeaders/>
  <w:drawingGridHorizontalSpacing w:val="100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B79"/>
    <w:rsid w:val="0000296A"/>
    <w:rsid w:val="00002D2C"/>
    <w:rsid w:val="00005723"/>
    <w:rsid w:val="00010E39"/>
    <w:rsid w:val="000143C2"/>
    <w:rsid w:val="000154FA"/>
    <w:rsid w:val="000158C0"/>
    <w:rsid w:val="00016F5D"/>
    <w:rsid w:val="00021B6D"/>
    <w:rsid w:val="00021E1E"/>
    <w:rsid w:val="000233C8"/>
    <w:rsid w:val="00024011"/>
    <w:rsid w:val="00024112"/>
    <w:rsid w:val="000268FB"/>
    <w:rsid w:val="00026A3B"/>
    <w:rsid w:val="00031138"/>
    <w:rsid w:val="00032C2E"/>
    <w:rsid w:val="00033616"/>
    <w:rsid w:val="00034A01"/>
    <w:rsid w:val="000350A0"/>
    <w:rsid w:val="00041B08"/>
    <w:rsid w:val="00041F68"/>
    <w:rsid w:val="0004378D"/>
    <w:rsid w:val="000453E7"/>
    <w:rsid w:val="00046E82"/>
    <w:rsid w:val="00047D14"/>
    <w:rsid w:val="00050231"/>
    <w:rsid w:val="000513BA"/>
    <w:rsid w:val="00051619"/>
    <w:rsid w:val="00051676"/>
    <w:rsid w:val="00052FA1"/>
    <w:rsid w:val="00053238"/>
    <w:rsid w:val="000563CC"/>
    <w:rsid w:val="000566C8"/>
    <w:rsid w:val="00056FDC"/>
    <w:rsid w:val="00057E27"/>
    <w:rsid w:val="00060B54"/>
    <w:rsid w:val="00063661"/>
    <w:rsid w:val="00063E70"/>
    <w:rsid w:val="000646CF"/>
    <w:rsid w:val="000662C7"/>
    <w:rsid w:val="00066824"/>
    <w:rsid w:val="00075DEF"/>
    <w:rsid w:val="000762B2"/>
    <w:rsid w:val="0007729D"/>
    <w:rsid w:val="00077360"/>
    <w:rsid w:val="000824F0"/>
    <w:rsid w:val="00082756"/>
    <w:rsid w:val="00083F7A"/>
    <w:rsid w:val="00085CD0"/>
    <w:rsid w:val="00086744"/>
    <w:rsid w:val="000879E2"/>
    <w:rsid w:val="00092A01"/>
    <w:rsid w:val="000A3802"/>
    <w:rsid w:val="000A499B"/>
    <w:rsid w:val="000A60E1"/>
    <w:rsid w:val="000A6339"/>
    <w:rsid w:val="000B002A"/>
    <w:rsid w:val="000B0213"/>
    <w:rsid w:val="000B0396"/>
    <w:rsid w:val="000B26AA"/>
    <w:rsid w:val="000B2C17"/>
    <w:rsid w:val="000B4138"/>
    <w:rsid w:val="000B662D"/>
    <w:rsid w:val="000B6CA5"/>
    <w:rsid w:val="000C022F"/>
    <w:rsid w:val="000C0DDE"/>
    <w:rsid w:val="000C2547"/>
    <w:rsid w:val="000C25B5"/>
    <w:rsid w:val="000C568D"/>
    <w:rsid w:val="000C580B"/>
    <w:rsid w:val="000C7688"/>
    <w:rsid w:val="000D2C77"/>
    <w:rsid w:val="000D35B2"/>
    <w:rsid w:val="000D6FD1"/>
    <w:rsid w:val="000D70F7"/>
    <w:rsid w:val="000E0214"/>
    <w:rsid w:val="000E0E67"/>
    <w:rsid w:val="000E2206"/>
    <w:rsid w:val="000E3DCB"/>
    <w:rsid w:val="000E57E4"/>
    <w:rsid w:val="000E6D7D"/>
    <w:rsid w:val="000E7B3D"/>
    <w:rsid w:val="000F0520"/>
    <w:rsid w:val="000F1FA1"/>
    <w:rsid w:val="000F26A2"/>
    <w:rsid w:val="000F275F"/>
    <w:rsid w:val="000F4E7D"/>
    <w:rsid w:val="000F4FEF"/>
    <w:rsid w:val="000F77D3"/>
    <w:rsid w:val="00100290"/>
    <w:rsid w:val="0010299D"/>
    <w:rsid w:val="00102DC4"/>
    <w:rsid w:val="00103D02"/>
    <w:rsid w:val="001057BE"/>
    <w:rsid w:val="00106A51"/>
    <w:rsid w:val="00107125"/>
    <w:rsid w:val="00107446"/>
    <w:rsid w:val="00107FAF"/>
    <w:rsid w:val="0011015D"/>
    <w:rsid w:val="00110337"/>
    <w:rsid w:val="0011192D"/>
    <w:rsid w:val="0011218B"/>
    <w:rsid w:val="00113652"/>
    <w:rsid w:val="00115454"/>
    <w:rsid w:val="0012032E"/>
    <w:rsid w:val="00120442"/>
    <w:rsid w:val="001237B8"/>
    <w:rsid w:val="0012420B"/>
    <w:rsid w:val="00124EDA"/>
    <w:rsid w:val="001344BB"/>
    <w:rsid w:val="0013530D"/>
    <w:rsid w:val="00135496"/>
    <w:rsid w:val="0013575B"/>
    <w:rsid w:val="00137026"/>
    <w:rsid w:val="00137D6F"/>
    <w:rsid w:val="00143785"/>
    <w:rsid w:val="00143E50"/>
    <w:rsid w:val="0014507C"/>
    <w:rsid w:val="00150DF1"/>
    <w:rsid w:val="00152759"/>
    <w:rsid w:val="00153906"/>
    <w:rsid w:val="00154350"/>
    <w:rsid w:val="00155425"/>
    <w:rsid w:val="001555C8"/>
    <w:rsid w:val="00155CB2"/>
    <w:rsid w:val="001570C7"/>
    <w:rsid w:val="00157D8B"/>
    <w:rsid w:val="001608E7"/>
    <w:rsid w:val="00161089"/>
    <w:rsid w:val="00161863"/>
    <w:rsid w:val="00161AE0"/>
    <w:rsid w:val="00166005"/>
    <w:rsid w:val="001711D9"/>
    <w:rsid w:val="00173F24"/>
    <w:rsid w:val="001753D8"/>
    <w:rsid w:val="001767F1"/>
    <w:rsid w:val="00181A7D"/>
    <w:rsid w:val="00181F23"/>
    <w:rsid w:val="00184066"/>
    <w:rsid w:val="00184917"/>
    <w:rsid w:val="00184C28"/>
    <w:rsid w:val="001913B6"/>
    <w:rsid w:val="0019348E"/>
    <w:rsid w:val="00193810"/>
    <w:rsid w:val="00194D93"/>
    <w:rsid w:val="00196F87"/>
    <w:rsid w:val="001A042D"/>
    <w:rsid w:val="001A2912"/>
    <w:rsid w:val="001A338D"/>
    <w:rsid w:val="001A33DA"/>
    <w:rsid w:val="001A3B53"/>
    <w:rsid w:val="001A4F6B"/>
    <w:rsid w:val="001A5987"/>
    <w:rsid w:val="001A6DFE"/>
    <w:rsid w:val="001B085C"/>
    <w:rsid w:val="001B1614"/>
    <w:rsid w:val="001B1D72"/>
    <w:rsid w:val="001B35D6"/>
    <w:rsid w:val="001B3955"/>
    <w:rsid w:val="001B556A"/>
    <w:rsid w:val="001B5FE8"/>
    <w:rsid w:val="001B64E7"/>
    <w:rsid w:val="001B7A4F"/>
    <w:rsid w:val="001C17D5"/>
    <w:rsid w:val="001C35A1"/>
    <w:rsid w:val="001C6196"/>
    <w:rsid w:val="001D721B"/>
    <w:rsid w:val="001E0335"/>
    <w:rsid w:val="001E3B27"/>
    <w:rsid w:val="001E3F24"/>
    <w:rsid w:val="001E5D64"/>
    <w:rsid w:val="001E6D13"/>
    <w:rsid w:val="001E6DB6"/>
    <w:rsid w:val="001E79EB"/>
    <w:rsid w:val="001E7EFC"/>
    <w:rsid w:val="001E7FE8"/>
    <w:rsid w:val="001F1625"/>
    <w:rsid w:val="001F1DC6"/>
    <w:rsid w:val="001F3A0C"/>
    <w:rsid w:val="001F5353"/>
    <w:rsid w:val="001F685E"/>
    <w:rsid w:val="00201BD8"/>
    <w:rsid w:val="002032CC"/>
    <w:rsid w:val="002034B0"/>
    <w:rsid w:val="00204743"/>
    <w:rsid w:val="00204BD4"/>
    <w:rsid w:val="00205AAF"/>
    <w:rsid w:val="002073E2"/>
    <w:rsid w:val="00207BDD"/>
    <w:rsid w:val="002134EF"/>
    <w:rsid w:val="00215D36"/>
    <w:rsid w:val="00216E77"/>
    <w:rsid w:val="0022179B"/>
    <w:rsid w:val="00221FEC"/>
    <w:rsid w:val="00223201"/>
    <w:rsid w:val="002252B1"/>
    <w:rsid w:val="00230765"/>
    <w:rsid w:val="0023224B"/>
    <w:rsid w:val="00232542"/>
    <w:rsid w:val="00233801"/>
    <w:rsid w:val="00233D8D"/>
    <w:rsid w:val="00236E1F"/>
    <w:rsid w:val="00241AAB"/>
    <w:rsid w:val="00244D72"/>
    <w:rsid w:val="0024606B"/>
    <w:rsid w:val="00246396"/>
    <w:rsid w:val="00247FEB"/>
    <w:rsid w:val="0025211F"/>
    <w:rsid w:val="002534DF"/>
    <w:rsid w:val="002539A6"/>
    <w:rsid w:val="002555E2"/>
    <w:rsid w:val="00260DE4"/>
    <w:rsid w:val="00263659"/>
    <w:rsid w:val="0026435C"/>
    <w:rsid w:val="00265B8B"/>
    <w:rsid w:val="00265DB1"/>
    <w:rsid w:val="00266715"/>
    <w:rsid w:val="00270724"/>
    <w:rsid w:val="0027127D"/>
    <w:rsid w:val="002728EC"/>
    <w:rsid w:val="00272D4A"/>
    <w:rsid w:val="0027573E"/>
    <w:rsid w:val="00276D9C"/>
    <w:rsid w:val="0028271E"/>
    <w:rsid w:val="00282D5D"/>
    <w:rsid w:val="002838D3"/>
    <w:rsid w:val="00283EF4"/>
    <w:rsid w:val="00285D2A"/>
    <w:rsid w:val="002910CD"/>
    <w:rsid w:val="00291787"/>
    <w:rsid w:val="00293B60"/>
    <w:rsid w:val="00295B9C"/>
    <w:rsid w:val="00296682"/>
    <w:rsid w:val="002A1042"/>
    <w:rsid w:val="002A16A7"/>
    <w:rsid w:val="002A29A9"/>
    <w:rsid w:val="002A4688"/>
    <w:rsid w:val="002A59CF"/>
    <w:rsid w:val="002A7A67"/>
    <w:rsid w:val="002A7AC3"/>
    <w:rsid w:val="002A7AE6"/>
    <w:rsid w:val="002B07AB"/>
    <w:rsid w:val="002B0B02"/>
    <w:rsid w:val="002B15BC"/>
    <w:rsid w:val="002B1B14"/>
    <w:rsid w:val="002B2AD6"/>
    <w:rsid w:val="002B337B"/>
    <w:rsid w:val="002B374B"/>
    <w:rsid w:val="002C09F6"/>
    <w:rsid w:val="002C37D6"/>
    <w:rsid w:val="002C417C"/>
    <w:rsid w:val="002C6090"/>
    <w:rsid w:val="002C7254"/>
    <w:rsid w:val="002C7C46"/>
    <w:rsid w:val="002D2561"/>
    <w:rsid w:val="002D4716"/>
    <w:rsid w:val="002D5E0A"/>
    <w:rsid w:val="002D5F94"/>
    <w:rsid w:val="002D6505"/>
    <w:rsid w:val="002D68ED"/>
    <w:rsid w:val="002D6988"/>
    <w:rsid w:val="002E0A44"/>
    <w:rsid w:val="002E0A83"/>
    <w:rsid w:val="002E10BB"/>
    <w:rsid w:val="002E1A0C"/>
    <w:rsid w:val="002E1C06"/>
    <w:rsid w:val="002E3166"/>
    <w:rsid w:val="002E3397"/>
    <w:rsid w:val="002E4BCE"/>
    <w:rsid w:val="002E6542"/>
    <w:rsid w:val="002E7638"/>
    <w:rsid w:val="002F0CFD"/>
    <w:rsid w:val="002F19E3"/>
    <w:rsid w:val="002F276E"/>
    <w:rsid w:val="002F4C7F"/>
    <w:rsid w:val="002F5C05"/>
    <w:rsid w:val="003015BA"/>
    <w:rsid w:val="00301DC9"/>
    <w:rsid w:val="00303365"/>
    <w:rsid w:val="00304F23"/>
    <w:rsid w:val="00310E04"/>
    <w:rsid w:val="003116F3"/>
    <w:rsid w:val="00312738"/>
    <w:rsid w:val="00314E4D"/>
    <w:rsid w:val="00314EB5"/>
    <w:rsid w:val="00315BEF"/>
    <w:rsid w:val="00315D96"/>
    <w:rsid w:val="00322E47"/>
    <w:rsid w:val="00325309"/>
    <w:rsid w:val="00327392"/>
    <w:rsid w:val="003274CE"/>
    <w:rsid w:val="00327DA3"/>
    <w:rsid w:val="00327F3D"/>
    <w:rsid w:val="003338BB"/>
    <w:rsid w:val="0034169E"/>
    <w:rsid w:val="0034250E"/>
    <w:rsid w:val="00342ACE"/>
    <w:rsid w:val="0034300D"/>
    <w:rsid w:val="0034476E"/>
    <w:rsid w:val="00345AA1"/>
    <w:rsid w:val="003465B9"/>
    <w:rsid w:val="00350160"/>
    <w:rsid w:val="0035233E"/>
    <w:rsid w:val="003525F7"/>
    <w:rsid w:val="003544B1"/>
    <w:rsid w:val="00354872"/>
    <w:rsid w:val="00355E02"/>
    <w:rsid w:val="00355FC4"/>
    <w:rsid w:val="003567A6"/>
    <w:rsid w:val="00367C19"/>
    <w:rsid w:val="00371DBA"/>
    <w:rsid w:val="00374957"/>
    <w:rsid w:val="00374B3B"/>
    <w:rsid w:val="00375592"/>
    <w:rsid w:val="00375988"/>
    <w:rsid w:val="003759A0"/>
    <w:rsid w:val="00376609"/>
    <w:rsid w:val="00376B9F"/>
    <w:rsid w:val="0037792F"/>
    <w:rsid w:val="003800AB"/>
    <w:rsid w:val="0038017E"/>
    <w:rsid w:val="00381535"/>
    <w:rsid w:val="003834C9"/>
    <w:rsid w:val="00383DAC"/>
    <w:rsid w:val="003855D6"/>
    <w:rsid w:val="003860E9"/>
    <w:rsid w:val="00386507"/>
    <w:rsid w:val="0038671F"/>
    <w:rsid w:val="003905FF"/>
    <w:rsid w:val="0039169E"/>
    <w:rsid w:val="00392165"/>
    <w:rsid w:val="0039400E"/>
    <w:rsid w:val="003A1BDB"/>
    <w:rsid w:val="003A26AD"/>
    <w:rsid w:val="003A3DC1"/>
    <w:rsid w:val="003A4504"/>
    <w:rsid w:val="003A5767"/>
    <w:rsid w:val="003B1350"/>
    <w:rsid w:val="003B17CA"/>
    <w:rsid w:val="003B3297"/>
    <w:rsid w:val="003B5941"/>
    <w:rsid w:val="003C34D0"/>
    <w:rsid w:val="003C4844"/>
    <w:rsid w:val="003C6C19"/>
    <w:rsid w:val="003D1F1F"/>
    <w:rsid w:val="003D3BF3"/>
    <w:rsid w:val="003D41AE"/>
    <w:rsid w:val="003D6957"/>
    <w:rsid w:val="003D778E"/>
    <w:rsid w:val="003D7E3B"/>
    <w:rsid w:val="003E044E"/>
    <w:rsid w:val="003E28F2"/>
    <w:rsid w:val="003E34EF"/>
    <w:rsid w:val="003E3BF4"/>
    <w:rsid w:val="003E5A45"/>
    <w:rsid w:val="003E670A"/>
    <w:rsid w:val="003F0BA1"/>
    <w:rsid w:val="003F5775"/>
    <w:rsid w:val="003F6C38"/>
    <w:rsid w:val="00400A72"/>
    <w:rsid w:val="00400EB3"/>
    <w:rsid w:val="00400FCD"/>
    <w:rsid w:val="00401982"/>
    <w:rsid w:val="00402D06"/>
    <w:rsid w:val="00404AC1"/>
    <w:rsid w:val="00404B9A"/>
    <w:rsid w:val="00406B2A"/>
    <w:rsid w:val="004102FC"/>
    <w:rsid w:val="00413832"/>
    <w:rsid w:val="00416208"/>
    <w:rsid w:val="004223E3"/>
    <w:rsid w:val="00423704"/>
    <w:rsid w:val="004239B0"/>
    <w:rsid w:val="00423BA4"/>
    <w:rsid w:val="00423FFD"/>
    <w:rsid w:val="004242D0"/>
    <w:rsid w:val="004256CF"/>
    <w:rsid w:val="0043108A"/>
    <w:rsid w:val="00432290"/>
    <w:rsid w:val="004369A4"/>
    <w:rsid w:val="00437A29"/>
    <w:rsid w:val="00437A99"/>
    <w:rsid w:val="0044194E"/>
    <w:rsid w:val="004425F8"/>
    <w:rsid w:val="00442854"/>
    <w:rsid w:val="004467AC"/>
    <w:rsid w:val="00446B4C"/>
    <w:rsid w:val="004500ED"/>
    <w:rsid w:val="0045120F"/>
    <w:rsid w:val="004512BC"/>
    <w:rsid w:val="004517AE"/>
    <w:rsid w:val="00454E2C"/>
    <w:rsid w:val="00456A8D"/>
    <w:rsid w:val="00460939"/>
    <w:rsid w:val="004612A5"/>
    <w:rsid w:val="00461B96"/>
    <w:rsid w:val="00462D8C"/>
    <w:rsid w:val="004639E1"/>
    <w:rsid w:val="0046582E"/>
    <w:rsid w:val="00465CA8"/>
    <w:rsid w:val="0046695D"/>
    <w:rsid w:val="004709E1"/>
    <w:rsid w:val="00471907"/>
    <w:rsid w:val="00471D81"/>
    <w:rsid w:val="00472632"/>
    <w:rsid w:val="00473F69"/>
    <w:rsid w:val="0047450B"/>
    <w:rsid w:val="00475AAA"/>
    <w:rsid w:val="00477F11"/>
    <w:rsid w:val="0048043A"/>
    <w:rsid w:val="00482E85"/>
    <w:rsid w:val="00484D42"/>
    <w:rsid w:val="004870AE"/>
    <w:rsid w:val="0048714B"/>
    <w:rsid w:val="00494D87"/>
    <w:rsid w:val="004959BE"/>
    <w:rsid w:val="0049634A"/>
    <w:rsid w:val="004A05D1"/>
    <w:rsid w:val="004A0D2B"/>
    <w:rsid w:val="004A18CC"/>
    <w:rsid w:val="004A1DFC"/>
    <w:rsid w:val="004A28AB"/>
    <w:rsid w:val="004A331C"/>
    <w:rsid w:val="004A4CB0"/>
    <w:rsid w:val="004B17A7"/>
    <w:rsid w:val="004B3A88"/>
    <w:rsid w:val="004B619D"/>
    <w:rsid w:val="004B64DA"/>
    <w:rsid w:val="004C0654"/>
    <w:rsid w:val="004C3B2D"/>
    <w:rsid w:val="004C544E"/>
    <w:rsid w:val="004D1D2F"/>
    <w:rsid w:val="004D2C29"/>
    <w:rsid w:val="004D3295"/>
    <w:rsid w:val="004E1AAD"/>
    <w:rsid w:val="004E2685"/>
    <w:rsid w:val="004E30F8"/>
    <w:rsid w:val="004E325A"/>
    <w:rsid w:val="004E484E"/>
    <w:rsid w:val="004E583D"/>
    <w:rsid w:val="004E616D"/>
    <w:rsid w:val="004F1278"/>
    <w:rsid w:val="004F1C57"/>
    <w:rsid w:val="004F31D0"/>
    <w:rsid w:val="004F4F6A"/>
    <w:rsid w:val="004F520D"/>
    <w:rsid w:val="004F610A"/>
    <w:rsid w:val="004F61D3"/>
    <w:rsid w:val="00501A05"/>
    <w:rsid w:val="005039A5"/>
    <w:rsid w:val="005041B0"/>
    <w:rsid w:val="00504279"/>
    <w:rsid w:val="005042F5"/>
    <w:rsid w:val="00504642"/>
    <w:rsid w:val="0050522A"/>
    <w:rsid w:val="00506440"/>
    <w:rsid w:val="00507DDB"/>
    <w:rsid w:val="005112FD"/>
    <w:rsid w:val="00511BF0"/>
    <w:rsid w:val="0051315A"/>
    <w:rsid w:val="00514F13"/>
    <w:rsid w:val="005159E5"/>
    <w:rsid w:val="005163F9"/>
    <w:rsid w:val="00516FD0"/>
    <w:rsid w:val="00517284"/>
    <w:rsid w:val="005172E9"/>
    <w:rsid w:val="005202BE"/>
    <w:rsid w:val="00520A83"/>
    <w:rsid w:val="005212DE"/>
    <w:rsid w:val="0052390D"/>
    <w:rsid w:val="00525C1A"/>
    <w:rsid w:val="0052687B"/>
    <w:rsid w:val="00526A0A"/>
    <w:rsid w:val="00526B78"/>
    <w:rsid w:val="005273E2"/>
    <w:rsid w:val="005273F4"/>
    <w:rsid w:val="0053036C"/>
    <w:rsid w:val="00530EB7"/>
    <w:rsid w:val="0053275E"/>
    <w:rsid w:val="00533A11"/>
    <w:rsid w:val="00533A61"/>
    <w:rsid w:val="00533DD0"/>
    <w:rsid w:val="00535D99"/>
    <w:rsid w:val="0053654A"/>
    <w:rsid w:val="00536A7C"/>
    <w:rsid w:val="00536DB6"/>
    <w:rsid w:val="00537091"/>
    <w:rsid w:val="00540D58"/>
    <w:rsid w:val="00542A22"/>
    <w:rsid w:val="00542D04"/>
    <w:rsid w:val="005439B5"/>
    <w:rsid w:val="00543FED"/>
    <w:rsid w:val="00544343"/>
    <w:rsid w:val="00545878"/>
    <w:rsid w:val="005512E5"/>
    <w:rsid w:val="0055274D"/>
    <w:rsid w:val="00553138"/>
    <w:rsid w:val="00556DC4"/>
    <w:rsid w:val="00560937"/>
    <w:rsid w:val="00560D85"/>
    <w:rsid w:val="00561994"/>
    <w:rsid w:val="00565933"/>
    <w:rsid w:val="00566786"/>
    <w:rsid w:val="00567478"/>
    <w:rsid w:val="00571D9B"/>
    <w:rsid w:val="00572E9B"/>
    <w:rsid w:val="005736EC"/>
    <w:rsid w:val="00573E7C"/>
    <w:rsid w:val="00576371"/>
    <w:rsid w:val="00577FA9"/>
    <w:rsid w:val="005805B2"/>
    <w:rsid w:val="00582373"/>
    <w:rsid w:val="00590B0D"/>
    <w:rsid w:val="00591757"/>
    <w:rsid w:val="005924B1"/>
    <w:rsid w:val="00593360"/>
    <w:rsid w:val="005960F8"/>
    <w:rsid w:val="005A0376"/>
    <w:rsid w:val="005A0A64"/>
    <w:rsid w:val="005A194B"/>
    <w:rsid w:val="005A32D0"/>
    <w:rsid w:val="005A3AC1"/>
    <w:rsid w:val="005A55AB"/>
    <w:rsid w:val="005B1AA6"/>
    <w:rsid w:val="005B30C6"/>
    <w:rsid w:val="005B486D"/>
    <w:rsid w:val="005B4B79"/>
    <w:rsid w:val="005B56CC"/>
    <w:rsid w:val="005B594F"/>
    <w:rsid w:val="005B70D5"/>
    <w:rsid w:val="005C03F2"/>
    <w:rsid w:val="005C227B"/>
    <w:rsid w:val="005C3250"/>
    <w:rsid w:val="005C423E"/>
    <w:rsid w:val="005C47B6"/>
    <w:rsid w:val="005C4B87"/>
    <w:rsid w:val="005C56D2"/>
    <w:rsid w:val="005D12D0"/>
    <w:rsid w:val="005D2ADB"/>
    <w:rsid w:val="005D2D0D"/>
    <w:rsid w:val="005D521F"/>
    <w:rsid w:val="005D6FE3"/>
    <w:rsid w:val="005E33A4"/>
    <w:rsid w:val="005E545D"/>
    <w:rsid w:val="005E5D52"/>
    <w:rsid w:val="005F09C3"/>
    <w:rsid w:val="005F1994"/>
    <w:rsid w:val="005F3327"/>
    <w:rsid w:val="005F70AA"/>
    <w:rsid w:val="005F70C4"/>
    <w:rsid w:val="005F7899"/>
    <w:rsid w:val="00600F50"/>
    <w:rsid w:val="00604ED4"/>
    <w:rsid w:val="006060C0"/>
    <w:rsid w:val="006150D7"/>
    <w:rsid w:val="00615578"/>
    <w:rsid w:val="00620963"/>
    <w:rsid w:val="00622F67"/>
    <w:rsid w:val="00623007"/>
    <w:rsid w:val="006273F7"/>
    <w:rsid w:val="00630052"/>
    <w:rsid w:val="006308A1"/>
    <w:rsid w:val="00631FB4"/>
    <w:rsid w:val="0063286C"/>
    <w:rsid w:val="00632C3C"/>
    <w:rsid w:val="00635A79"/>
    <w:rsid w:val="00635ADE"/>
    <w:rsid w:val="00635EB8"/>
    <w:rsid w:val="0063624B"/>
    <w:rsid w:val="00637AF1"/>
    <w:rsid w:val="0064051C"/>
    <w:rsid w:val="00640A4A"/>
    <w:rsid w:val="00640DCB"/>
    <w:rsid w:val="00640ED7"/>
    <w:rsid w:val="006411CF"/>
    <w:rsid w:val="00641F4F"/>
    <w:rsid w:val="00643B11"/>
    <w:rsid w:val="00644458"/>
    <w:rsid w:val="006446CB"/>
    <w:rsid w:val="0064499B"/>
    <w:rsid w:val="006454B6"/>
    <w:rsid w:val="00645DFD"/>
    <w:rsid w:val="00647564"/>
    <w:rsid w:val="006475FB"/>
    <w:rsid w:val="006505E7"/>
    <w:rsid w:val="00650FC8"/>
    <w:rsid w:val="00651450"/>
    <w:rsid w:val="00654423"/>
    <w:rsid w:val="00654789"/>
    <w:rsid w:val="00660C50"/>
    <w:rsid w:val="0066143F"/>
    <w:rsid w:val="00662027"/>
    <w:rsid w:val="00666BCA"/>
    <w:rsid w:val="00667EF1"/>
    <w:rsid w:val="006718C7"/>
    <w:rsid w:val="00672156"/>
    <w:rsid w:val="006728A8"/>
    <w:rsid w:val="00674919"/>
    <w:rsid w:val="00675EE2"/>
    <w:rsid w:val="006768A3"/>
    <w:rsid w:val="00680204"/>
    <w:rsid w:val="00682030"/>
    <w:rsid w:val="00682393"/>
    <w:rsid w:val="00683316"/>
    <w:rsid w:val="006876AA"/>
    <w:rsid w:val="00690EF3"/>
    <w:rsid w:val="00693366"/>
    <w:rsid w:val="00693D28"/>
    <w:rsid w:val="00694DAF"/>
    <w:rsid w:val="00695574"/>
    <w:rsid w:val="006977E8"/>
    <w:rsid w:val="006A1757"/>
    <w:rsid w:val="006A4F2E"/>
    <w:rsid w:val="006A65DC"/>
    <w:rsid w:val="006A74DF"/>
    <w:rsid w:val="006A7551"/>
    <w:rsid w:val="006B03F8"/>
    <w:rsid w:val="006B1FAE"/>
    <w:rsid w:val="006B411F"/>
    <w:rsid w:val="006B4489"/>
    <w:rsid w:val="006B6B95"/>
    <w:rsid w:val="006C08DA"/>
    <w:rsid w:val="006C0B81"/>
    <w:rsid w:val="006C1ED6"/>
    <w:rsid w:val="006C207B"/>
    <w:rsid w:val="006C2632"/>
    <w:rsid w:val="006C2E28"/>
    <w:rsid w:val="006C2E70"/>
    <w:rsid w:val="006C3A99"/>
    <w:rsid w:val="006C638E"/>
    <w:rsid w:val="006C67AF"/>
    <w:rsid w:val="006D0DEB"/>
    <w:rsid w:val="006D1389"/>
    <w:rsid w:val="006D18DE"/>
    <w:rsid w:val="006D2AFB"/>
    <w:rsid w:val="006D4898"/>
    <w:rsid w:val="006E0AA0"/>
    <w:rsid w:val="006E0EC6"/>
    <w:rsid w:val="006E2447"/>
    <w:rsid w:val="006E4C58"/>
    <w:rsid w:val="006E4F06"/>
    <w:rsid w:val="006F069D"/>
    <w:rsid w:val="006F41C7"/>
    <w:rsid w:val="006F41F4"/>
    <w:rsid w:val="006F68CE"/>
    <w:rsid w:val="007019F1"/>
    <w:rsid w:val="00703636"/>
    <w:rsid w:val="00705432"/>
    <w:rsid w:val="00705C1E"/>
    <w:rsid w:val="00705D9F"/>
    <w:rsid w:val="00711767"/>
    <w:rsid w:val="00711A21"/>
    <w:rsid w:val="00711ADB"/>
    <w:rsid w:val="00712D07"/>
    <w:rsid w:val="00713AE5"/>
    <w:rsid w:val="00723EE2"/>
    <w:rsid w:val="00725BDB"/>
    <w:rsid w:val="00726F80"/>
    <w:rsid w:val="00730E22"/>
    <w:rsid w:val="00731B11"/>
    <w:rsid w:val="00731BEB"/>
    <w:rsid w:val="00731E89"/>
    <w:rsid w:val="0073394D"/>
    <w:rsid w:val="00737219"/>
    <w:rsid w:val="00740BAB"/>
    <w:rsid w:val="007412FE"/>
    <w:rsid w:val="00742AF4"/>
    <w:rsid w:val="00743754"/>
    <w:rsid w:val="00745E7A"/>
    <w:rsid w:val="00746C1A"/>
    <w:rsid w:val="00747A9F"/>
    <w:rsid w:val="007503B0"/>
    <w:rsid w:val="00751F53"/>
    <w:rsid w:val="0075329F"/>
    <w:rsid w:val="00753AD6"/>
    <w:rsid w:val="00753E2A"/>
    <w:rsid w:val="00754D6E"/>
    <w:rsid w:val="0075620D"/>
    <w:rsid w:val="00757E8A"/>
    <w:rsid w:val="0076056A"/>
    <w:rsid w:val="00760F52"/>
    <w:rsid w:val="00761768"/>
    <w:rsid w:val="0076360F"/>
    <w:rsid w:val="00763D45"/>
    <w:rsid w:val="00765565"/>
    <w:rsid w:val="00765DD8"/>
    <w:rsid w:val="00766364"/>
    <w:rsid w:val="007714E2"/>
    <w:rsid w:val="00771545"/>
    <w:rsid w:val="0077371C"/>
    <w:rsid w:val="00773D1C"/>
    <w:rsid w:val="007760C3"/>
    <w:rsid w:val="00776B2D"/>
    <w:rsid w:val="007801A4"/>
    <w:rsid w:val="00780D03"/>
    <w:rsid w:val="00781A30"/>
    <w:rsid w:val="00782B98"/>
    <w:rsid w:val="00782CB5"/>
    <w:rsid w:val="00783457"/>
    <w:rsid w:val="00785A99"/>
    <w:rsid w:val="00785F8C"/>
    <w:rsid w:val="0078700B"/>
    <w:rsid w:val="00787AA8"/>
    <w:rsid w:val="00787CE7"/>
    <w:rsid w:val="007904F8"/>
    <w:rsid w:val="00790A6E"/>
    <w:rsid w:val="007915C1"/>
    <w:rsid w:val="00791DD3"/>
    <w:rsid w:val="00793203"/>
    <w:rsid w:val="00794DA0"/>
    <w:rsid w:val="007A04A5"/>
    <w:rsid w:val="007A06AE"/>
    <w:rsid w:val="007A0ADB"/>
    <w:rsid w:val="007A1F49"/>
    <w:rsid w:val="007A36AF"/>
    <w:rsid w:val="007A6092"/>
    <w:rsid w:val="007A64A1"/>
    <w:rsid w:val="007B110B"/>
    <w:rsid w:val="007B3543"/>
    <w:rsid w:val="007B4050"/>
    <w:rsid w:val="007B645F"/>
    <w:rsid w:val="007B76C3"/>
    <w:rsid w:val="007C1266"/>
    <w:rsid w:val="007C12BA"/>
    <w:rsid w:val="007C335D"/>
    <w:rsid w:val="007C43F9"/>
    <w:rsid w:val="007C4E72"/>
    <w:rsid w:val="007C4FD7"/>
    <w:rsid w:val="007C5105"/>
    <w:rsid w:val="007C55B6"/>
    <w:rsid w:val="007C5C16"/>
    <w:rsid w:val="007C643E"/>
    <w:rsid w:val="007C6933"/>
    <w:rsid w:val="007D091C"/>
    <w:rsid w:val="007D2C7E"/>
    <w:rsid w:val="007D37D1"/>
    <w:rsid w:val="007D7E11"/>
    <w:rsid w:val="007E138D"/>
    <w:rsid w:val="007E1CAF"/>
    <w:rsid w:val="007E1ED4"/>
    <w:rsid w:val="007E2020"/>
    <w:rsid w:val="007E23B8"/>
    <w:rsid w:val="007E385A"/>
    <w:rsid w:val="007E53FE"/>
    <w:rsid w:val="007E6ABD"/>
    <w:rsid w:val="007F03CC"/>
    <w:rsid w:val="007F16EB"/>
    <w:rsid w:val="007F3350"/>
    <w:rsid w:val="007F4BAC"/>
    <w:rsid w:val="007F723B"/>
    <w:rsid w:val="007F775F"/>
    <w:rsid w:val="00801299"/>
    <w:rsid w:val="00802564"/>
    <w:rsid w:val="00802A91"/>
    <w:rsid w:val="008031F4"/>
    <w:rsid w:val="00805423"/>
    <w:rsid w:val="00805BA7"/>
    <w:rsid w:val="008062A0"/>
    <w:rsid w:val="00806515"/>
    <w:rsid w:val="0081059E"/>
    <w:rsid w:val="00812C2E"/>
    <w:rsid w:val="00812C91"/>
    <w:rsid w:val="0081576E"/>
    <w:rsid w:val="00815A7A"/>
    <w:rsid w:val="00815F30"/>
    <w:rsid w:val="00821006"/>
    <w:rsid w:val="00822E2E"/>
    <w:rsid w:val="008239E4"/>
    <w:rsid w:val="00823AD8"/>
    <w:rsid w:val="00824070"/>
    <w:rsid w:val="00830382"/>
    <w:rsid w:val="008309EF"/>
    <w:rsid w:val="00830D0F"/>
    <w:rsid w:val="00831346"/>
    <w:rsid w:val="00831E73"/>
    <w:rsid w:val="00832061"/>
    <w:rsid w:val="00835475"/>
    <w:rsid w:val="008464A3"/>
    <w:rsid w:val="008464BD"/>
    <w:rsid w:val="008528D9"/>
    <w:rsid w:val="008539E5"/>
    <w:rsid w:val="00856618"/>
    <w:rsid w:val="008608C6"/>
    <w:rsid w:val="008626FC"/>
    <w:rsid w:val="008631C0"/>
    <w:rsid w:val="008644B6"/>
    <w:rsid w:val="00865A9B"/>
    <w:rsid w:val="008704CF"/>
    <w:rsid w:val="0087160F"/>
    <w:rsid w:val="008723F1"/>
    <w:rsid w:val="00872596"/>
    <w:rsid w:val="00873217"/>
    <w:rsid w:val="00874433"/>
    <w:rsid w:val="008775BB"/>
    <w:rsid w:val="00877FCA"/>
    <w:rsid w:val="00881CA1"/>
    <w:rsid w:val="00882195"/>
    <w:rsid w:val="00882698"/>
    <w:rsid w:val="00882A14"/>
    <w:rsid w:val="00884FAC"/>
    <w:rsid w:val="0088693B"/>
    <w:rsid w:val="008871F8"/>
    <w:rsid w:val="00890DA5"/>
    <w:rsid w:val="00892AF4"/>
    <w:rsid w:val="008972AA"/>
    <w:rsid w:val="008A22A9"/>
    <w:rsid w:val="008A23AB"/>
    <w:rsid w:val="008A2AAE"/>
    <w:rsid w:val="008A6372"/>
    <w:rsid w:val="008A6C9F"/>
    <w:rsid w:val="008B4DBA"/>
    <w:rsid w:val="008B59AD"/>
    <w:rsid w:val="008B78D6"/>
    <w:rsid w:val="008B7E6A"/>
    <w:rsid w:val="008C0EDE"/>
    <w:rsid w:val="008C1D1E"/>
    <w:rsid w:val="008C45B4"/>
    <w:rsid w:val="008C5058"/>
    <w:rsid w:val="008C539E"/>
    <w:rsid w:val="008C6344"/>
    <w:rsid w:val="008C6A58"/>
    <w:rsid w:val="008C7393"/>
    <w:rsid w:val="008C788E"/>
    <w:rsid w:val="008D0136"/>
    <w:rsid w:val="008D0D1E"/>
    <w:rsid w:val="008D213F"/>
    <w:rsid w:val="008D43CD"/>
    <w:rsid w:val="008D772E"/>
    <w:rsid w:val="008E1798"/>
    <w:rsid w:val="008E3490"/>
    <w:rsid w:val="008E48C5"/>
    <w:rsid w:val="008F03D6"/>
    <w:rsid w:val="008F1917"/>
    <w:rsid w:val="008F1AC2"/>
    <w:rsid w:val="008F2682"/>
    <w:rsid w:val="008F31A2"/>
    <w:rsid w:val="008F661B"/>
    <w:rsid w:val="008F6C8E"/>
    <w:rsid w:val="008F76A1"/>
    <w:rsid w:val="008F77D4"/>
    <w:rsid w:val="00900A0A"/>
    <w:rsid w:val="00902CAF"/>
    <w:rsid w:val="00902E1C"/>
    <w:rsid w:val="0090341E"/>
    <w:rsid w:val="00903C03"/>
    <w:rsid w:val="0090556F"/>
    <w:rsid w:val="00905D26"/>
    <w:rsid w:val="00905E5C"/>
    <w:rsid w:val="00906503"/>
    <w:rsid w:val="009069DC"/>
    <w:rsid w:val="0090724F"/>
    <w:rsid w:val="00913E77"/>
    <w:rsid w:val="00916365"/>
    <w:rsid w:val="00921235"/>
    <w:rsid w:val="00922E80"/>
    <w:rsid w:val="00923964"/>
    <w:rsid w:val="0092449A"/>
    <w:rsid w:val="00924BF9"/>
    <w:rsid w:val="009252AA"/>
    <w:rsid w:val="00925F05"/>
    <w:rsid w:val="0092604C"/>
    <w:rsid w:val="0092626F"/>
    <w:rsid w:val="009315D5"/>
    <w:rsid w:val="00932AA2"/>
    <w:rsid w:val="00933A36"/>
    <w:rsid w:val="0093654B"/>
    <w:rsid w:val="00936733"/>
    <w:rsid w:val="00937210"/>
    <w:rsid w:val="0093726A"/>
    <w:rsid w:val="00943365"/>
    <w:rsid w:val="00943504"/>
    <w:rsid w:val="00944148"/>
    <w:rsid w:val="00944F13"/>
    <w:rsid w:val="00945199"/>
    <w:rsid w:val="009459CE"/>
    <w:rsid w:val="00946061"/>
    <w:rsid w:val="00951C9A"/>
    <w:rsid w:val="00952AD5"/>
    <w:rsid w:val="0095372B"/>
    <w:rsid w:val="00954176"/>
    <w:rsid w:val="00957A85"/>
    <w:rsid w:val="00960809"/>
    <w:rsid w:val="009622F8"/>
    <w:rsid w:val="00970E0E"/>
    <w:rsid w:val="00971CCC"/>
    <w:rsid w:val="00971F35"/>
    <w:rsid w:val="00973278"/>
    <w:rsid w:val="00975A80"/>
    <w:rsid w:val="00976819"/>
    <w:rsid w:val="00980873"/>
    <w:rsid w:val="00981701"/>
    <w:rsid w:val="00981928"/>
    <w:rsid w:val="009826FC"/>
    <w:rsid w:val="00982895"/>
    <w:rsid w:val="00982C36"/>
    <w:rsid w:val="00983152"/>
    <w:rsid w:val="00983328"/>
    <w:rsid w:val="009841B7"/>
    <w:rsid w:val="0098437D"/>
    <w:rsid w:val="0098534F"/>
    <w:rsid w:val="009859A5"/>
    <w:rsid w:val="00986128"/>
    <w:rsid w:val="00992179"/>
    <w:rsid w:val="00992894"/>
    <w:rsid w:val="00992D35"/>
    <w:rsid w:val="00993415"/>
    <w:rsid w:val="00995751"/>
    <w:rsid w:val="009A3213"/>
    <w:rsid w:val="009A3BFE"/>
    <w:rsid w:val="009A5676"/>
    <w:rsid w:val="009A5C06"/>
    <w:rsid w:val="009A6400"/>
    <w:rsid w:val="009A7EEC"/>
    <w:rsid w:val="009B132B"/>
    <w:rsid w:val="009B33AB"/>
    <w:rsid w:val="009B39D3"/>
    <w:rsid w:val="009B3FC8"/>
    <w:rsid w:val="009B7663"/>
    <w:rsid w:val="009C004B"/>
    <w:rsid w:val="009C2271"/>
    <w:rsid w:val="009C6D95"/>
    <w:rsid w:val="009C727D"/>
    <w:rsid w:val="009C74DF"/>
    <w:rsid w:val="009D13D2"/>
    <w:rsid w:val="009D288C"/>
    <w:rsid w:val="009D2CB8"/>
    <w:rsid w:val="009D335A"/>
    <w:rsid w:val="009D3436"/>
    <w:rsid w:val="009D4016"/>
    <w:rsid w:val="009D4DF8"/>
    <w:rsid w:val="009D6948"/>
    <w:rsid w:val="009D6CFE"/>
    <w:rsid w:val="009E2E40"/>
    <w:rsid w:val="009E3EDF"/>
    <w:rsid w:val="009E5816"/>
    <w:rsid w:val="009F0D23"/>
    <w:rsid w:val="009F19DE"/>
    <w:rsid w:val="009F1EE7"/>
    <w:rsid w:val="009F30EF"/>
    <w:rsid w:val="009F4ECF"/>
    <w:rsid w:val="009F548D"/>
    <w:rsid w:val="009F5FFE"/>
    <w:rsid w:val="009F7513"/>
    <w:rsid w:val="009F797F"/>
    <w:rsid w:val="00A024A6"/>
    <w:rsid w:val="00A03682"/>
    <w:rsid w:val="00A042DD"/>
    <w:rsid w:val="00A055B9"/>
    <w:rsid w:val="00A07A3F"/>
    <w:rsid w:val="00A15484"/>
    <w:rsid w:val="00A20E6F"/>
    <w:rsid w:val="00A27868"/>
    <w:rsid w:val="00A30475"/>
    <w:rsid w:val="00A30E8F"/>
    <w:rsid w:val="00A318D3"/>
    <w:rsid w:val="00A31D2C"/>
    <w:rsid w:val="00A333C6"/>
    <w:rsid w:val="00A42147"/>
    <w:rsid w:val="00A432D9"/>
    <w:rsid w:val="00A45C7E"/>
    <w:rsid w:val="00A46F7C"/>
    <w:rsid w:val="00A502DA"/>
    <w:rsid w:val="00A50408"/>
    <w:rsid w:val="00A51338"/>
    <w:rsid w:val="00A52BEC"/>
    <w:rsid w:val="00A53F78"/>
    <w:rsid w:val="00A558B6"/>
    <w:rsid w:val="00A56CB4"/>
    <w:rsid w:val="00A60C50"/>
    <w:rsid w:val="00A61753"/>
    <w:rsid w:val="00A61FBC"/>
    <w:rsid w:val="00A62F0A"/>
    <w:rsid w:val="00A63BD3"/>
    <w:rsid w:val="00A640AC"/>
    <w:rsid w:val="00A65E0B"/>
    <w:rsid w:val="00A67D87"/>
    <w:rsid w:val="00A711A3"/>
    <w:rsid w:val="00A71D42"/>
    <w:rsid w:val="00A7225F"/>
    <w:rsid w:val="00A727CD"/>
    <w:rsid w:val="00A73800"/>
    <w:rsid w:val="00A74BC8"/>
    <w:rsid w:val="00A75308"/>
    <w:rsid w:val="00A77290"/>
    <w:rsid w:val="00A775BB"/>
    <w:rsid w:val="00A80EB1"/>
    <w:rsid w:val="00A81A1F"/>
    <w:rsid w:val="00A81D4D"/>
    <w:rsid w:val="00A84361"/>
    <w:rsid w:val="00A8589A"/>
    <w:rsid w:val="00A90559"/>
    <w:rsid w:val="00A9324C"/>
    <w:rsid w:val="00A93541"/>
    <w:rsid w:val="00A976A6"/>
    <w:rsid w:val="00A979C7"/>
    <w:rsid w:val="00AA1CA0"/>
    <w:rsid w:val="00AA42DA"/>
    <w:rsid w:val="00AA742C"/>
    <w:rsid w:val="00AA7B20"/>
    <w:rsid w:val="00AB0C92"/>
    <w:rsid w:val="00AB14D9"/>
    <w:rsid w:val="00AB4C61"/>
    <w:rsid w:val="00AB6457"/>
    <w:rsid w:val="00AC052C"/>
    <w:rsid w:val="00AC0ED2"/>
    <w:rsid w:val="00AC32EF"/>
    <w:rsid w:val="00AC3D38"/>
    <w:rsid w:val="00AC49DF"/>
    <w:rsid w:val="00AC4A28"/>
    <w:rsid w:val="00AC50C5"/>
    <w:rsid w:val="00AC63D1"/>
    <w:rsid w:val="00AD1B9E"/>
    <w:rsid w:val="00AD4AD5"/>
    <w:rsid w:val="00AD6D0D"/>
    <w:rsid w:val="00AD6F2B"/>
    <w:rsid w:val="00AD72AB"/>
    <w:rsid w:val="00AE1B49"/>
    <w:rsid w:val="00AE2FAC"/>
    <w:rsid w:val="00AE5F6E"/>
    <w:rsid w:val="00AE74CA"/>
    <w:rsid w:val="00AE7E43"/>
    <w:rsid w:val="00AF0161"/>
    <w:rsid w:val="00AF1959"/>
    <w:rsid w:val="00AF5292"/>
    <w:rsid w:val="00AF536C"/>
    <w:rsid w:val="00AF6922"/>
    <w:rsid w:val="00AF6B9A"/>
    <w:rsid w:val="00AF765E"/>
    <w:rsid w:val="00AF77BA"/>
    <w:rsid w:val="00B004DB"/>
    <w:rsid w:val="00B0059B"/>
    <w:rsid w:val="00B02448"/>
    <w:rsid w:val="00B026A9"/>
    <w:rsid w:val="00B030CA"/>
    <w:rsid w:val="00B031D2"/>
    <w:rsid w:val="00B05401"/>
    <w:rsid w:val="00B05F61"/>
    <w:rsid w:val="00B0791F"/>
    <w:rsid w:val="00B10021"/>
    <w:rsid w:val="00B10CFC"/>
    <w:rsid w:val="00B12201"/>
    <w:rsid w:val="00B13716"/>
    <w:rsid w:val="00B14108"/>
    <w:rsid w:val="00B14ED2"/>
    <w:rsid w:val="00B14FE6"/>
    <w:rsid w:val="00B15911"/>
    <w:rsid w:val="00B15C1E"/>
    <w:rsid w:val="00B17C0C"/>
    <w:rsid w:val="00B21288"/>
    <w:rsid w:val="00B215F9"/>
    <w:rsid w:val="00B231C7"/>
    <w:rsid w:val="00B263C3"/>
    <w:rsid w:val="00B27A2C"/>
    <w:rsid w:val="00B340B4"/>
    <w:rsid w:val="00B400D6"/>
    <w:rsid w:val="00B40357"/>
    <w:rsid w:val="00B40C2F"/>
    <w:rsid w:val="00B42297"/>
    <w:rsid w:val="00B459FB"/>
    <w:rsid w:val="00B50C7B"/>
    <w:rsid w:val="00B51B79"/>
    <w:rsid w:val="00B52C84"/>
    <w:rsid w:val="00B53824"/>
    <w:rsid w:val="00B56DD8"/>
    <w:rsid w:val="00B61759"/>
    <w:rsid w:val="00B63B01"/>
    <w:rsid w:val="00B645EE"/>
    <w:rsid w:val="00B67958"/>
    <w:rsid w:val="00B67B02"/>
    <w:rsid w:val="00B707CC"/>
    <w:rsid w:val="00B74A7B"/>
    <w:rsid w:val="00B74ED1"/>
    <w:rsid w:val="00B7625F"/>
    <w:rsid w:val="00B7730E"/>
    <w:rsid w:val="00B77470"/>
    <w:rsid w:val="00B77BC6"/>
    <w:rsid w:val="00B8018F"/>
    <w:rsid w:val="00B818BD"/>
    <w:rsid w:val="00B84267"/>
    <w:rsid w:val="00B85FA4"/>
    <w:rsid w:val="00B87155"/>
    <w:rsid w:val="00B94497"/>
    <w:rsid w:val="00B945D9"/>
    <w:rsid w:val="00B96785"/>
    <w:rsid w:val="00B96E32"/>
    <w:rsid w:val="00B97222"/>
    <w:rsid w:val="00B974E7"/>
    <w:rsid w:val="00BA139D"/>
    <w:rsid w:val="00BA3836"/>
    <w:rsid w:val="00BB01E4"/>
    <w:rsid w:val="00BB02D9"/>
    <w:rsid w:val="00BB1E57"/>
    <w:rsid w:val="00BB3618"/>
    <w:rsid w:val="00BB5C02"/>
    <w:rsid w:val="00BB613F"/>
    <w:rsid w:val="00BB6270"/>
    <w:rsid w:val="00BC13E6"/>
    <w:rsid w:val="00BC1862"/>
    <w:rsid w:val="00BC2778"/>
    <w:rsid w:val="00BC378B"/>
    <w:rsid w:val="00BC6980"/>
    <w:rsid w:val="00BC6BBC"/>
    <w:rsid w:val="00BC7223"/>
    <w:rsid w:val="00BD0369"/>
    <w:rsid w:val="00BD059B"/>
    <w:rsid w:val="00BD0A1B"/>
    <w:rsid w:val="00BD1D99"/>
    <w:rsid w:val="00BD44B7"/>
    <w:rsid w:val="00BD6763"/>
    <w:rsid w:val="00BD6952"/>
    <w:rsid w:val="00BE403D"/>
    <w:rsid w:val="00BE49CE"/>
    <w:rsid w:val="00BE50C2"/>
    <w:rsid w:val="00BE5422"/>
    <w:rsid w:val="00BE650B"/>
    <w:rsid w:val="00BE6A54"/>
    <w:rsid w:val="00BF0C98"/>
    <w:rsid w:val="00BF6A3B"/>
    <w:rsid w:val="00BF7A45"/>
    <w:rsid w:val="00C00DBD"/>
    <w:rsid w:val="00C02D43"/>
    <w:rsid w:val="00C060D0"/>
    <w:rsid w:val="00C121D8"/>
    <w:rsid w:val="00C12AD1"/>
    <w:rsid w:val="00C12E8A"/>
    <w:rsid w:val="00C1653D"/>
    <w:rsid w:val="00C172CB"/>
    <w:rsid w:val="00C17897"/>
    <w:rsid w:val="00C229E9"/>
    <w:rsid w:val="00C22C7C"/>
    <w:rsid w:val="00C23243"/>
    <w:rsid w:val="00C24983"/>
    <w:rsid w:val="00C24EDA"/>
    <w:rsid w:val="00C25D98"/>
    <w:rsid w:val="00C263F4"/>
    <w:rsid w:val="00C26468"/>
    <w:rsid w:val="00C2748E"/>
    <w:rsid w:val="00C36C21"/>
    <w:rsid w:val="00C3709E"/>
    <w:rsid w:val="00C37572"/>
    <w:rsid w:val="00C4096C"/>
    <w:rsid w:val="00C41693"/>
    <w:rsid w:val="00C41802"/>
    <w:rsid w:val="00C45150"/>
    <w:rsid w:val="00C45AAC"/>
    <w:rsid w:val="00C47802"/>
    <w:rsid w:val="00C47AA5"/>
    <w:rsid w:val="00C51951"/>
    <w:rsid w:val="00C536B3"/>
    <w:rsid w:val="00C539BB"/>
    <w:rsid w:val="00C55A60"/>
    <w:rsid w:val="00C62CB6"/>
    <w:rsid w:val="00C64DBA"/>
    <w:rsid w:val="00C67F75"/>
    <w:rsid w:val="00C67FAA"/>
    <w:rsid w:val="00C70137"/>
    <w:rsid w:val="00C73D8C"/>
    <w:rsid w:val="00C761E6"/>
    <w:rsid w:val="00C773AD"/>
    <w:rsid w:val="00C77569"/>
    <w:rsid w:val="00C84585"/>
    <w:rsid w:val="00C84AAA"/>
    <w:rsid w:val="00C86879"/>
    <w:rsid w:val="00C8738F"/>
    <w:rsid w:val="00C915BC"/>
    <w:rsid w:val="00C9167D"/>
    <w:rsid w:val="00C91C8D"/>
    <w:rsid w:val="00C93B57"/>
    <w:rsid w:val="00C954BD"/>
    <w:rsid w:val="00C9696B"/>
    <w:rsid w:val="00C97B63"/>
    <w:rsid w:val="00CA11F3"/>
    <w:rsid w:val="00CA1940"/>
    <w:rsid w:val="00CA3633"/>
    <w:rsid w:val="00CA5165"/>
    <w:rsid w:val="00CA757E"/>
    <w:rsid w:val="00CB0662"/>
    <w:rsid w:val="00CB2A0D"/>
    <w:rsid w:val="00CB31F6"/>
    <w:rsid w:val="00CB3952"/>
    <w:rsid w:val="00CB4AC8"/>
    <w:rsid w:val="00CB68F5"/>
    <w:rsid w:val="00CB747B"/>
    <w:rsid w:val="00CB7E89"/>
    <w:rsid w:val="00CB7ED5"/>
    <w:rsid w:val="00CC203C"/>
    <w:rsid w:val="00CC2FDE"/>
    <w:rsid w:val="00CC36DA"/>
    <w:rsid w:val="00CC6321"/>
    <w:rsid w:val="00CC723F"/>
    <w:rsid w:val="00CD078E"/>
    <w:rsid w:val="00CD0A57"/>
    <w:rsid w:val="00CD0E5B"/>
    <w:rsid w:val="00CD129F"/>
    <w:rsid w:val="00CD1302"/>
    <w:rsid w:val="00CD1BE7"/>
    <w:rsid w:val="00CD35DA"/>
    <w:rsid w:val="00CD3626"/>
    <w:rsid w:val="00CD4970"/>
    <w:rsid w:val="00CD52F9"/>
    <w:rsid w:val="00CD61C0"/>
    <w:rsid w:val="00CE061C"/>
    <w:rsid w:val="00CE0D40"/>
    <w:rsid w:val="00CE162A"/>
    <w:rsid w:val="00CE2C5A"/>
    <w:rsid w:val="00CE3316"/>
    <w:rsid w:val="00CE389B"/>
    <w:rsid w:val="00CE3F47"/>
    <w:rsid w:val="00CF0111"/>
    <w:rsid w:val="00CF0CA8"/>
    <w:rsid w:val="00CF1F22"/>
    <w:rsid w:val="00CF3D0F"/>
    <w:rsid w:val="00CF5AA9"/>
    <w:rsid w:val="00CF6F4E"/>
    <w:rsid w:val="00D02E54"/>
    <w:rsid w:val="00D0386A"/>
    <w:rsid w:val="00D03E29"/>
    <w:rsid w:val="00D0597D"/>
    <w:rsid w:val="00D0653F"/>
    <w:rsid w:val="00D077A6"/>
    <w:rsid w:val="00D12090"/>
    <w:rsid w:val="00D12719"/>
    <w:rsid w:val="00D147FB"/>
    <w:rsid w:val="00D14CAE"/>
    <w:rsid w:val="00D14F75"/>
    <w:rsid w:val="00D15A51"/>
    <w:rsid w:val="00D15CE5"/>
    <w:rsid w:val="00D16438"/>
    <w:rsid w:val="00D16CC5"/>
    <w:rsid w:val="00D17771"/>
    <w:rsid w:val="00D20E12"/>
    <w:rsid w:val="00D2102F"/>
    <w:rsid w:val="00D22C07"/>
    <w:rsid w:val="00D23133"/>
    <w:rsid w:val="00D2498B"/>
    <w:rsid w:val="00D24E2B"/>
    <w:rsid w:val="00D24E4F"/>
    <w:rsid w:val="00D25C54"/>
    <w:rsid w:val="00D26388"/>
    <w:rsid w:val="00D2730D"/>
    <w:rsid w:val="00D2741E"/>
    <w:rsid w:val="00D31786"/>
    <w:rsid w:val="00D31979"/>
    <w:rsid w:val="00D31A83"/>
    <w:rsid w:val="00D31AA1"/>
    <w:rsid w:val="00D327BF"/>
    <w:rsid w:val="00D32D18"/>
    <w:rsid w:val="00D344D6"/>
    <w:rsid w:val="00D35BF6"/>
    <w:rsid w:val="00D361F7"/>
    <w:rsid w:val="00D37E8F"/>
    <w:rsid w:val="00D400DC"/>
    <w:rsid w:val="00D43312"/>
    <w:rsid w:val="00D438AC"/>
    <w:rsid w:val="00D44B83"/>
    <w:rsid w:val="00D44D03"/>
    <w:rsid w:val="00D44E33"/>
    <w:rsid w:val="00D4604E"/>
    <w:rsid w:val="00D518B4"/>
    <w:rsid w:val="00D549A2"/>
    <w:rsid w:val="00D60FBE"/>
    <w:rsid w:val="00D60FD4"/>
    <w:rsid w:val="00D63D9C"/>
    <w:rsid w:val="00D67DB6"/>
    <w:rsid w:val="00D71A30"/>
    <w:rsid w:val="00D72338"/>
    <w:rsid w:val="00D741C9"/>
    <w:rsid w:val="00D745A4"/>
    <w:rsid w:val="00D76758"/>
    <w:rsid w:val="00D768B3"/>
    <w:rsid w:val="00D76AF1"/>
    <w:rsid w:val="00D76BB4"/>
    <w:rsid w:val="00D77141"/>
    <w:rsid w:val="00D77DED"/>
    <w:rsid w:val="00D82682"/>
    <w:rsid w:val="00D84513"/>
    <w:rsid w:val="00D85A09"/>
    <w:rsid w:val="00D868C5"/>
    <w:rsid w:val="00D91ACC"/>
    <w:rsid w:val="00D91FB1"/>
    <w:rsid w:val="00D92A89"/>
    <w:rsid w:val="00D931A0"/>
    <w:rsid w:val="00D93AD2"/>
    <w:rsid w:val="00D954A4"/>
    <w:rsid w:val="00D97862"/>
    <w:rsid w:val="00D97B04"/>
    <w:rsid w:val="00D97BCA"/>
    <w:rsid w:val="00DA05E7"/>
    <w:rsid w:val="00DA0694"/>
    <w:rsid w:val="00DA15F7"/>
    <w:rsid w:val="00DA18C4"/>
    <w:rsid w:val="00DA1FE3"/>
    <w:rsid w:val="00DA633B"/>
    <w:rsid w:val="00DB082D"/>
    <w:rsid w:val="00DB0B86"/>
    <w:rsid w:val="00DB12A4"/>
    <w:rsid w:val="00DB2C9F"/>
    <w:rsid w:val="00DB55D2"/>
    <w:rsid w:val="00DB5E2C"/>
    <w:rsid w:val="00DB773C"/>
    <w:rsid w:val="00DC124D"/>
    <w:rsid w:val="00DC7322"/>
    <w:rsid w:val="00DD1360"/>
    <w:rsid w:val="00DD17C5"/>
    <w:rsid w:val="00DD3A7E"/>
    <w:rsid w:val="00DD4B1F"/>
    <w:rsid w:val="00DD5289"/>
    <w:rsid w:val="00DD6B81"/>
    <w:rsid w:val="00DE2076"/>
    <w:rsid w:val="00DE27DE"/>
    <w:rsid w:val="00DE32D3"/>
    <w:rsid w:val="00DE55AA"/>
    <w:rsid w:val="00DF2B93"/>
    <w:rsid w:val="00DF2CBE"/>
    <w:rsid w:val="00DF31B7"/>
    <w:rsid w:val="00DF33D3"/>
    <w:rsid w:val="00DF60B9"/>
    <w:rsid w:val="00DF655E"/>
    <w:rsid w:val="00E00C06"/>
    <w:rsid w:val="00E02962"/>
    <w:rsid w:val="00E04DAC"/>
    <w:rsid w:val="00E0526C"/>
    <w:rsid w:val="00E059C3"/>
    <w:rsid w:val="00E05B9E"/>
    <w:rsid w:val="00E071D1"/>
    <w:rsid w:val="00E07619"/>
    <w:rsid w:val="00E11A4E"/>
    <w:rsid w:val="00E12792"/>
    <w:rsid w:val="00E138E0"/>
    <w:rsid w:val="00E142C3"/>
    <w:rsid w:val="00E166AB"/>
    <w:rsid w:val="00E16A2D"/>
    <w:rsid w:val="00E17995"/>
    <w:rsid w:val="00E20051"/>
    <w:rsid w:val="00E2008F"/>
    <w:rsid w:val="00E21740"/>
    <w:rsid w:val="00E2368D"/>
    <w:rsid w:val="00E23FEC"/>
    <w:rsid w:val="00E25893"/>
    <w:rsid w:val="00E25D8B"/>
    <w:rsid w:val="00E27BEB"/>
    <w:rsid w:val="00E30637"/>
    <w:rsid w:val="00E3272A"/>
    <w:rsid w:val="00E32C91"/>
    <w:rsid w:val="00E33267"/>
    <w:rsid w:val="00E335F9"/>
    <w:rsid w:val="00E336D3"/>
    <w:rsid w:val="00E3486E"/>
    <w:rsid w:val="00E348CC"/>
    <w:rsid w:val="00E34BE1"/>
    <w:rsid w:val="00E36396"/>
    <w:rsid w:val="00E37198"/>
    <w:rsid w:val="00E40F88"/>
    <w:rsid w:val="00E4172D"/>
    <w:rsid w:val="00E42759"/>
    <w:rsid w:val="00E42F7C"/>
    <w:rsid w:val="00E43D23"/>
    <w:rsid w:val="00E45D18"/>
    <w:rsid w:val="00E463D9"/>
    <w:rsid w:val="00E47DF0"/>
    <w:rsid w:val="00E5395B"/>
    <w:rsid w:val="00E54526"/>
    <w:rsid w:val="00E6019E"/>
    <w:rsid w:val="00E616D4"/>
    <w:rsid w:val="00E631F5"/>
    <w:rsid w:val="00E65363"/>
    <w:rsid w:val="00E67325"/>
    <w:rsid w:val="00E67782"/>
    <w:rsid w:val="00E67D5C"/>
    <w:rsid w:val="00E72D48"/>
    <w:rsid w:val="00E74632"/>
    <w:rsid w:val="00E752D8"/>
    <w:rsid w:val="00E76147"/>
    <w:rsid w:val="00E7624B"/>
    <w:rsid w:val="00E765D9"/>
    <w:rsid w:val="00E76A5D"/>
    <w:rsid w:val="00E812E0"/>
    <w:rsid w:val="00E845C1"/>
    <w:rsid w:val="00E84E9F"/>
    <w:rsid w:val="00E86087"/>
    <w:rsid w:val="00E866CB"/>
    <w:rsid w:val="00E86F3D"/>
    <w:rsid w:val="00E8782F"/>
    <w:rsid w:val="00E87DD3"/>
    <w:rsid w:val="00E909DD"/>
    <w:rsid w:val="00E9207E"/>
    <w:rsid w:val="00E95757"/>
    <w:rsid w:val="00E96941"/>
    <w:rsid w:val="00E969B3"/>
    <w:rsid w:val="00E97784"/>
    <w:rsid w:val="00EA13E6"/>
    <w:rsid w:val="00EA2C44"/>
    <w:rsid w:val="00EA43C9"/>
    <w:rsid w:val="00EA6EEA"/>
    <w:rsid w:val="00EA7104"/>
    <w:rsid w:val="00EB03A1"/>
    <w:rsid w:val="00EB1406"/>
    <w:rsid w:val="00EB3035"/>
    <w:rsid w:val="00EB7F5F"/>
    <w:rsid w:val="00EC080D"/>
    <w:rsid w:val="00EC1057"/>
    <w:rsid w:val="00EC31F7"/>
    <w:rsid w:val="00EC369E"/>
    <w:rsid w:val="00EC3CED"/>
    <w:rsid w:val="00EC47AB"/>
    <w:rsid w:val="00EC7B15"/>
    <w:rsid w:val="00ED0B6E"/>
    <w:rsid w:val="00ED1181"/>
    <w:rsid w:val="00ED3AA2"/>
    <w:rsid w:val="00ED6182"/>
    <w:rsid w:val="00ED6B0D"/>
    <w:rsid w:val="00EE0FC9"/>
    <w:rsid w:val="00EE3568"/>
    <w:rsid w:val="00EE37FB"/>
    <w:rsid w:val="00EE5C14"/>
    <w:rsid w:val="00EE6617"/>
    <w:rsid w:val="00EE6A9F"/>
    <w:rsid w:val="00EE6C2F"/>
    <w:rsid w:val="00EE723D"/>
    <w:rsid w:val="00EF097B"/>
    <w:rsid w:val="00EF31A6"/>
    <w:rsid w:val="00EF5A67"/>
    <w:rsid w:val="00EF6017"/>
    <w:rsid w:val="00EF779A"/>
    <w:rsid w:val="00EF78ED"/>
    <w:rsid w:val="00F016D9"/>
    <w:rsid w:val="00F019CE"/>
    <w:rsid w:val="00F02611"/>
    <w:rsid w:val="00F032A8"/>
    <w:rsid w:val="00F0644A"/>
    <w:rsid w:val="00F100A1"/>
    <w:rsid w:val="00F11AF6"/>
    <w:rsid w:val="00F12088"/>
    <w:rsid w:val="00F123EB"/>
    <w:rsid w:val="00F12569"/>
    <w:rsid w:val="00F201D3"/>
    <w:rsid w:val="00F20E03"/>
    <w:rsid w:val="00F20F27"/>
    <w:rsid w:val="00F211D6"/>
    <w:rsid w:val="00F2153F"/>
    <w:rsid w:val="00F21929"/>
    <w:rsid w:val="00F239D7"/>
    <w:rsid w:val="00F24515"/>
    <w:rsid w:val="00F24A61"/>
    <w:rsid w:val="00F27D42"/>
    <w:rsid w:val="00F3233A"/>
    <w:rsid w:val="00F33575"/>
    <w:rsid w:val="00F33C80"/>
    <w:rsid w:val="00F357B1"/>
    <w:rsid w:val="00F36F59"/>
    <w:rsid w:val="00F40692"/>
    <w:rsid w:val="00F411A0"/>
    <w:rsid w:val="00F41CAC"/>
    <w:rsid w:val="00F42281"/>
    <w:rsid w:val="00F43260"/>
    <w:rsid w:val="00F44087"/>
    <w:rsid w:val="00F44D3F"/>
    <w:rsid w:val="00F45343"/>
    <w:rsid w:val="00F453B2"/>
    <w:rsid w:val="00F5010A"/>
    <w:rsid w:val="00F52C6D"/>
    <w:rsid w:val="00F54E0F"/>
    <w:rsid w:val="00F55261"/>
    <w:rsid w:val="00F561B6"/>
    <w:rsid w:val="00F568CB"/>
    <w:rsid w:val="00F5724F"/>
    <w:rsid w:val="00F57437"/>
    <w:rsid w:val="00F622EC"/>
    <w:rsid w:val="00F62C9B"/>
    <w:rsid w:val="00F63083"/>
    <w:rsid w:val="00F64F0C"/>
    <w:rsid w:val="00F651FC"/>
    <w:rsid w:val="00F6649E"/>
    <w:rsid w:val="00F67BF1"/>
    <w:rsid w:val="00F71ED1"/>
    <w:rsid w:val="00F72B8E"/>
    <w:rsid w:val="00F72D3D"/>
    <w:rsid w:val="00F72EA0"/>
    <w:rsid w:val="00F741C3"/>
    <w:rsid w:val="00F74A61"/>
    <w:rsid w:val="00F75771"/>
    <w:rsid w:val="00F75818"/>
    <w:rsid w:val="00F77BCB"/>
    <w:rsid w:val="00F824C0"/>
    <w:rsid w:val="00F83269"/>
    <w:rsid w:val="00F84CA5"/>
    <w:rsid w:val="00F85F6B"/>
    <w:rsid w:val="00F90A2A"/>
    <w:rsid w:val="00F92894"/>
    <w:rsid w:val="00F929D7"/>
    <w:rsid w:val="00F92F51"/>
    <w:rsid w:val="00F93999"/>
    <w:rsid w:val="00F94484"/>
    <w:rsid w:val="00F94C4E"/>
    <w:rsid w:val="00F957EB"/>
    <w:rsid w:val="00FA17A3"/>
    <w:rsid w:val="00FA735C"/>
    <w:rsid w:val="00FA754F"/>
    <w:rsid w:val="00FB03D3"/>
    <w:rsid w:val="00FB0475"/>
    <w:rsid w:val="00FB0714"/>
    <w:rsid w:val="00FB2C84"/>
    <w:rsid w:val="00FB333B"/>
    <w:rsid w:val="00FB3FF1"/>
    <w:rsid w:val="00FB4DC3"/>
    <w:rsid w:val="00FB6A5B"/>
    <w:rsid w:val="00FC0379"/>
    <w:rsid w:val="00FC204B"/>
    <w:rsid w:val="00FC24E5"/>
    <w:rsid w:val="00FC2BDC"/>
    <w:rsid w:val="00FC369E"/>
    <w:rsid w:val="00FC4640"/>
    <w:rsid w:val="00FC4A15"/>
    <w:rsid w:val="00FC5778"/>
    <w:rsid w:val="00FC5A3E"/>
    <w:rsid w:val="00FD2A62"/>
    <w:rsid w:val="00FD3205"/>
    <w:rsid w:val="00FD54AC"/>
    <w:rsid w:val="00FE0DB6"/>
    <w:rsid w:val="00FE1B24"/>
    <w:rsid w:val="00FE2BED"/>
    <w:rsid w:val="00FE2EE8"/>
    <w:rsid w:val="00FE4216"/>
    <w:rsid w:val="00FE4379"/>
    <w:rsid w:val="00FF4DDD"/>
    <w:rsid w:val="00FF6189"/>
    <w:rsid w:val="00FF6895"/>
    <w:rsid w:val="00FF6C3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1"/>
    </o:shapelayout>
  </w:shapeDefaults>
  <w:decimalSymbol w:val="."/>
  <w:listSeparator w:val=","/>
  <w14:docId w14:val="7B73F3D6"/>
  <w15:docId w15:val="{722EFE85-C805-417E-86A6-685B6EEC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096C"/>
    <w:rPr>
      <w:rFonts w:ascii="Arial" w:hAnsi="Arial"/>
      <w:sz w:val="18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2A1042"/>
    <w:pPr>
      <w:keepNext/>
      <w:numPr>
        <w:numId w:val="1"/>
      </w:numPr>
      <w:spacing w:before="100" w:after="20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A1042"/>
    <w:pPr>
      <w:keepNext/>
      <w:numPr>
        <w:ilvl w:val="1"/>
        <w:numId w:val="1"/>
      </w:numPr>
      <w:spacing w:before="100" w:after="2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A1042"/>
    <w:pPr>
      <w:keepNext/>
      <w:numPr>
        <w:ilvl w:val="2"/>
        <w:numId w:val="1"/>
      </w:numPr>
      <w:spacing w:before="100" w:after="20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2A1042"/>
    <w:pPr>
      <w:keepNext/>
      <w:numPr>
        <w:ilvl w:val="3"/>
        <w:numId w:val="1"/>
      </w:numPr>
      <w:spacing w:before="200" w:after="10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982C36"/>
    <w:pPr>
      <w:spacing w:before="200" w:after="100"/>
      <w:ind w:left="1701" w:hanging="1701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92626F"/>
    <w:pPr>
      <w:spacing w:before="100" w:after="20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92626F"/>
    <w:pPr>
      <w:spacing w:before="100" w:after="200"/>
      <w:ind w:left="1701" w:hanging="170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2626F"/>
    <w:pPr>
      <w:spacing w:before="100" w:after="200"/>
      <w:ind w:left="1418" w:hanging="1418"/>
      <w:outlineLvl w:val="7"/>
    </w:pPr>
    <w:rPr>
      <w:b/>
      <w:iCs/>
      <w:sz w:val="22"/>
    </w:rPr>
  </w:style>
  <w:style w:type="paragraph" w:styleId="Heading9">
    <w:name w:val="heading 9"/>
    <w:basedOn w:val="Normal"/>
    <w:next w:val="Normal"/>
    <w:qFormat/>
    <w:rsid w:val="0092626F"/>
    <w:pPr>
      <w:spacing w:before="100" w:after="200"/>
      <w:outlineLvl w:val="8"/>
    </w:pPr>
    <w:rPr>
      <w:rFonts w:cs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4051C"/>
    <w:rPr>
      <w:szCs w:val="20"/>
    </w:rPr>
  </w:style>
  <w:style w:type="character" w:styleId="FootnoteReference">
    <w:name w:val="footnote reference"/>
    <w:rsid w:val="0064051C"/>
    <w:rPr>
      <w:vertAlign w:val="superscript"/>
    </w:rPr>
  </w:style>
  <w:style w:type="numbering" w:customStyle="1" w:styleId="StyleNumbered9pt">
    <w:name w:val="Style Numbered 9 pt"/>
    <w:basedOn w:val="NoList"/>
    <w:rsid w:val="00545878"/>
    <w:pPr>
      <w:numPr>
        <w:numId w:val="3"/>
      </w:numPr>
    </w:pPr>
  </w:style>
  <w:style w:type="table" w:styleId="TableGrid">
    <w:name w:val="Table Grid"/>
    <w:aliases w:val="Conics Table"/>
    <w:basedOn w:val="TableNormal"/>
    <w:rsid w:val="0059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rsid w:val="00B340B4"/>
    <w:pPr>
      <w:tabs>
        <w:tab w:val="center" w:pos="4153"/>
        <w:tab w:val="right" w:pos="8306"/>
      </w:tabs>
    </w:pPr>
  </w:style>
  <w:style w:type="character" w:customStyle="1" w:styleId="FootnoteTextChar">
    <w:name w:val="Footnote Text Char"/>
    <w:link w:val="FootnoteText"/>
    <w:rsid w:val="00BE49CE"/>
    <w:rPr>
      <w:rFonts w:ascii="Arial" w:hAnsi="Arial"/>
      <w:lang w:val="en-AU" w:eastAsia="en-AU" w:bidi="ar-SA"/>
    </w:rPr>
  </w:style>
  <w:style w:type="paragraph" w:styleId="Footer">
    <w:name w:val="footer"/>
    <w:basedOn w:val="Normal"/>
    <w:link w:val="FooterChar"/>
    <w:rsid w:val="00B340B4"/>
    <w:pPr>
      <w:tabs>
        <w:tab w:val="center" w:pos="4153"/>
        <w:tab w:val="right" w:pos="8306"/>
      </w:tabs>
    </w:pPr>
  </w:style>
  <w:style w:type="numbering" w:customStyle="1" w:styleId="StyleOutlinenumbered9pt">
    <w:name w:val="Style Outline numbered 9 pt"/>
    <w:basedOn w:val="NoList"/>
    <w:rsid w:val="00F016D9"/>
    <w:pPr>
      <w:numPr>
        <w:numId w:val="4"/>
      </w:numPr>
    </w:pPr>
  </w:style>
  <w:style w:type="character" w:customStyle="1" w:styleId="Heading1Char">
    <w:name w:val="Heading 1 Char"/>
    <w:link w:val="Heading1"/>
    <w:rsid w:val="002A1042"/>
    <w:rPr>
      <w:rFonts w:ascii="Arial" w:hAnsi="Arial" w:cs="Arial"/>
      <w:b/>
      <w:bCs/>
      <w:kern w:val="32"/>
      <w:sz w:val="32"/>
      <w:szCs w:val="32"/>
      <w:lang w:val="en-AU" w:eastAsia="en-AU"/>
    </w:rPr>
  </w:style>
  <w:style w:type="paragraph" w:customStyle="1" w:styleId="Default">
    <w:name w:val="Default"/>
    <w:rsid w:val="00C451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character" w:styleId="PageNumber">
    <w:name w:val="page number"/>
    <w:basedOn w:val="DefaultParagraphFont"/>
    <w:rsid w:val="00B340B4"/>
  </w:style>
  <w:style w:type="paragraph" w:styleId="TOC6">
    <w:name w:val="toc 6"/>
    <w:basedOn w:val="Normal"/>
    <w:next w:val="Normal"/>
    <w:autoRedefine/>
    <w:semiHidden/>
    <w:rsid w:val="00EF097B"/>
  </w:style>
  <w:style w:type="paragraph" w:styleId="TOC2">
    <w:name w:val="toc 2"/>
    <w:basedOn w:val="Normal"/>
    <w:next w:val="Normal"/>
    <w:autoRedefine/>
    <w:uiPriority w:val="39"/>
    <w:rsid w:val="00B707CC"/>
    <w:pPr>
      <w:tabs>
        <w:tab w:val="left" w:pos="851"/>
        <w:tab w:val="right" w:leader="dot" w:pos="8505"/>
      </w:tabs>
      <w:spacing w:before="60" w:after="60"/>
      <w:ind w:left="851" w:hanging="851"/>
    </w:pPr>
    <w:rPr>
      <w:b/>
    </w:rPr>
  </w:style>
  <w:style w:type="paragraph" w:styleId="TOC1">
    <w:name w:val="toc 1"/>
    <w:basedOn w:val="Normal"/>
    <w:next w:val="Normal"/>
    <w:autoRedefine/>
    <w:uiPriority w:val="39"/>
    <w:rsid w:val="00B707CC"/>
    <w:pPr>
      <w:tabs>
        <w:tab w:val="left" w:pos="851"/>
        <w:tab w:val="right" w:leader="dot" w:pos="8505"/>
      </w:tabs>
      <w:spacing w:before="100" w:after="200"/>
      <w:ind w:left="851" w:hanging="851"/>
    </w:pPr>
    <w:rPr>
      <w:rFonts w:cs="Arial"/>
      <w:b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B707CC"/>
    <w:pPr>
      <w:ind w:left="1702" w:hanging="851"/>
    </w:pPr>
  </w:style>
  <w:style w:type="character" w:styleId="Hyperlink">
    <w:name w:val="Hyperlink"/>
    <w:rsid w:val="007A1F49"/>
    <w:rPr>
      <w:color w:val="0000FF"/>
      <w:u w:val="single"/>
    </w:rPr>
  </w:style>
  <w:style w:type="paragraph" w:styleId="TOC5">
    <w:name w:val="toc 5"/>
    <w:basedOn w:val="Normal"/>
    <w:next w:val="Normal"/>
    <w:autoRedefine/>
    <w:semiHidden/>
    <w:rsid w:val="000C2547"/>
    <w:pPr>
      <w:tabs>
        <w:tab w:val="left" w:pos="1418"/>
        <w:tab w:val="right" w:leader="dot" w:pos="8280"/>
      </w:tabs>
      <w:ind w:left="1418" w:hanging="1418"/>
    </w:pPr>
  </w:style>
  <w:style w:type="paragraph" w:styleId="TOC7">
    <w:name w:val="toc 7"/>
    <w:basedOn w:val="Normal"/>
    <w:next w:val="Normal"/>
    <w:autoRedefine/>
    <w:uiPriority w:val="39"/>
    <w:rsid w:val="00B707CC"/>
    <w:pPr>
      <w:tabs>
        <w:tab w:val="right" w:leader="dot" w:pos="8505"/>
      </w:tabs>
      <w:ind w:left="1814" w:hanging="1814"/>
    </w:pPr>
  </w:style>
  <w:style w:type="paragraph" w:styleId="TOC8">
    <w:name w:val="toc 8"/>
    <w:basedOn w:val="Normal"/>
    <w:next w:val="Normal"/>
    <w:autoRedefine/>
    <w:uiPriority w:val="39"/>
    <w:rsid w:val="00954176"/>
    <w:pPr>
      <w:ind w:left="1418" w:hanging="1418"/>
    </w:pPr>
  </w:style>
  <w:style w:type="character" w:styleId="Emphasis">
    <w:name w:val="Emphasis"/>
    <w:qFormat/>
    <w:rsid w:val="005A194B"/>
    <w:rPr>
      <w:i/>
      <w:iCs/>
    </w:rPr>
  </w:style>
  <w:style w:type="paragraph" w:styleId="TOC4">
    <w:name w:val="toc 4"/>
    <w:basedOn w:val="Normal"/>
    <w:next w:val="Normal"/>
    <w:autoRedefine/>
    <w:uiPriority w:val="39"/>
    <w:rsid w:val="000C568D"/>
    <w:pPr>
      <w:ind w:left="2552" w:hanging="851"/>
    </w:pPr>
  </w:style>
  <w:style w:type="paragraph" w:styleId="ListParagraph">
    <w:name w:val="List Paragraph"/>
    <w:basedOn w:val="Normal"/>
    <w:link w:val="ListParagraphChar"/>
    <w:uiPriority w:val="34"/>
    <w:qFormat/>
    <w:rsid w:val="00CF0CA8"/>
    <w:pPr>
      <w:ind w:left="720"/>
    </w:pPr>
  </w:style>
  <w:style w:type="paragraph" w:styleId="BalloonText">
    <w:name w:val="Balloon Text"/>
    <w:basedOn w:val="Normal"/>
    <w:link w:val="BalloonTextChar"/>
    <w:rsid w:val="00BF6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6A3B"/>
    <w:rPr>
      <w:rFonts w:ascii="Tahoma" w:hAnsi="Tahoma" w:cs="Tahoma"/>
      <w:sz w:val="16"/>
      <w:szCs w:val="16"/>
    </w:rPr>
  </w:style>
  <w:style w:type="paragraph" w:customStyle="1" w:styleId="Reportbodytext">
    <w:name w:val="Report body text"/>
    <w:basedOn w:val="Normal"/>
    <w:link w:val="ReportbodytextChar"/>
    <w:rsid w:val="00C17897"/>
    <w:rPr>
      <w:rFonts w:cs="Arial"/>
      <w:sz w:val="24"/>
      <w:lang w:eastAsia="en-US"/>
    </w:rPr>
  </w:style>
  <w:style w:type="character" w:customStyle="1" w:styleId="ReportbodytextChar">
    <w:name w:val="Report body text Char"/>
    <w:link w:val="Reportbodytext"/>
    <w:rsid w:val="00C17897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rsid w:val="00831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1E73"/>
    <w:rPr>
      <w:szCs w:val="20"/>
    </w:rPr>
  </w:style>
  <w:style w:type="character" w:customStyle="1" w:styleId="CommentTextChar">
    <w:name w:val="Comment Text Char"/>
    <w:link w:val="CommentText"/>
    <w:rsid w:val="00831E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31E73"/>
    <w:rPr>
      <w:b/>
      <w:bCs/>
    </w:rPr>
  </w:style>
  <w:style w:type="character" w:customStyle="1" w:styleId="CommentSubjectChar">
    <w:name w:val="Comment Subject Char"/>
    <w:link w:val="CommentSubject"/>
    <w:rsid w:val="00831E73"/>
    <w:rPr>
      <w:rFonts w:ascii="Arial" w:hAnsi="Arial"/>
      <w:b/>
      <w:bCs/>
    </w:rPr>
  </w:style>
  <w:style w:type="character" w:customStyle="1" w:styleId="Char2">
    <w:name w:val="Char2"/>
    <w:semiHidden/>
    <w:rsid w:val="008031F4"/>
    <w:rPr>
      <w:rFonts w:ascii="Times New Roman" w:eastAsia="Times New Roman" w:hAnsi="Times New Roman"/>
      <w:lang w:eastAsia="en-US"/>
    </w:rPr>
  </w:style>
  <w:style w:type="paragraph" w:customStyle="1" w:styleId="SectionPoints2">
    <w:name w:val="Section Points 2"/>
    <w:basedOn w:val="Normal"/>
    <w:uiPriority w:val="99"/>
    <w:rsid w:val="00776B2D"/>
    <w:pPr>
      <w:numPr>
        <w:numId w:val="123"/>
      </w:numPr>
      <w:tabs>
        <w:tab w:val="left" w:pos="2268"/>
      </w:tabs>
      <w:spacing w:after="100"/>
    </w:pPr>
    <w:rPr>
      <w:szCs w:val="20"/>
    </w:rPr>
  </w:style>
  <w:style w:type="paragraph" w:customStyle="1" w:styleId="SectionPoints3">
    <w:name w:val="Section Points 3"/>
    <w:basedOn w:val="Normal"/>
    <w:uiPriority w:val="99"/>
    <w:rsid w:val="004709E1"/>
    <w:pPr>
      <w:numPr>
        <w:numId w:val="126"/>
      </w:numPr>
      <w:tabs>
        <w:tab w:val="clear" w:pos="2835"/>
        <w:tab w:val="num" w:pos="360"/>
      </w:tabs>
      <w:spacing w:after="100"/>
      <w:ind w:left="0" w:firstLine="0"/>
    </w:pPr>
    <w:rPr>
      <w:szCs w:val="20"/>
    </w:rPr>
  </w:style>
  <w:style w:type="paragraph" w:styleId="EndnoteText">
    <w:name w:val="endnote text"/>
    <w:basedOn w:val="Normal"/>
    <w:link w:val="EndnoteTextChar"/>
    <w:rsid w:val="00742AF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742AF4"/>
    <w:rPr>
      <w:rFonts w:ascii="Arial" w:hAnsi="Arial"/>
      <w:lang w:val="en-AU" w:eastAsia="en-AU"/>
    </w:rPr>
  </w:style>
  <w:style w:type="character" w:styleId="EndnoteReference">
    <w:name w:val="endnote reference"/>
    <w:basedOn w:val="DefaultParagraphFont"/>
    <w:rsid w:val="00742AF4"/>
    <w:rPr>
      <w:vertAlign w:val="superscript"/>
    </w:rPr>
  </w:style>
  <w:style w:type="paragraph" w:styleId="Revision">
    <w:name w:val="Revision"/>
    <w:hidden/>
    <w:uiPriority w:val="99"/>
    <w:semiHidden/>
    <w:rsid w:val="00056FDC"/>
    <w:rPr>
      <w:rFonts w:ascii="Arial" w:hAnsi="Arial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992D35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IntenseReference">
    <w:name w:val="Intense Reference"/>
    <w:uiPriority w:val="32"/>
    <w:qFormat/>
    <w:rsid w:val="00244D72"/>
    <w:rPr>
      <w:b/>
      <w:noProof/>
      <w:sz w:val="14"/>
      <w:szCs w:val="14"/>
    </w:rPr>
  </w:style>
  <w:style w:type="paragraph" w:customStyle="1" w:styleId="PSTOAC2Before1cm">
    <w:name w:val="PS TOA C2 + Before:  1 cm ..."/>
    <w:basedOn w:val="Normal"/>
    <w:qFormat/>
    <w:rsid w:val="00A67D87"/>
    <w:pPr>
      <w:numPr>
        <w:numId w:val="132"/>
      </w:numPr>
      <w:tabs>
        <w:tab w:val="num" w:pos="437"/>
      </w:tabs>
      <w:ind w:left="437" w:hanging="437"/>
    </w:pPr>
    <w:rPr>
      <w:sz w:val="20"/>
      <w:szCs w:val="20"/>
    </w:rPr>
  </w:style>
  <w:style w:type="character" w:customStyle="1" w:styleId="StyleFootnoteReference8pt1">
    <w:name w:val="Style Footnote Reference + 8 pt1"/>
    <w:rsid w:val="00A67D87"/>
    <w:rPr>
      <w:sz w:val="14"/>
      <w:vertAlign w:val="superscript"/>
    </w:rPr>
  </w:style>
  <w:style w:type="character" w:customStyle="1" w:styleId="ListParagraphChar">
    <w:name w:val="List Paragraph Char"/>
    <w:link w:val="ListParagraph"/>
    <w:uiPriority w:val="34"/>
    <w:rsid w:val="00327F3D"/>
    <w:rPr>
      <w:rFonts w:ascii="Arial" w:hAnsi="Arial"/>
      <w:sz w:val="18"/>
      <w:szCs w:val="24"/>
      <w:lang w:val="en-AU" w:eastAsia="en-AU"/>
    </w:rPr>
  </w:style>
  <w:style w:type="character" w:customStyle="1" w:styleId="FooterChar">
    <w:name w:val="Footer Char"/>
    <w:link w:val="Footer"/>
    <w:rsid w:val="005C4B87"/>
    <w:rPr>
      <w:rFonts w:ascii="Arial" w:hAnsi="Arial"/>
      <w:sz w:val="18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1C36334CADD41E78FEF536D1E1DA2E9" version="1.0.0">
  <systemFields>
    <field name="Objective-Id">
      <value order="0">A4906182</value>
    </field>
    <field name="Objective-Title">
      <value order="0">BRPS Part 8 Overlays - Adopted Version 5.0</value>
    </field>
    <field name="Objective-Description">
      <value order="0"/>
    </field>
    <field name="Objective-CreationStamp">
      <value order="0">2019-12-06T03:06:42Z</value>
    </field>
    <field name="Objective-IsApproved">
      <value order="0">false</value>
    </field>
    <field name="Objective-IsPublished">
      <value order="0">true</value>
    </field>
    <field name="Objective-DatePublished">
      <value order="0">2020-01-20T06:27:29Z</value>
    </field>
    <field name="Objective-ModificationStamp">
      <value order="0">2020-01-20T06:27:29Z</value>
    </field>
    <field name="Objective-Owner">
      <value order="0">Hugh Byrnes</value>
    </field>
    <field name="Objective-Path">
      <value order="0">BRC Global Folder:Projects:Development:Project Folders - Development:Bundaberg Region Planning Scheme:Amendment 5 - Major Amendment:Versions 5 &amp; 6 Combined</value>
    </field>
    <field name="Objective-Parent">
      <value order="0">Versions 5 &amp; 6 Combined</value>
    </field>
    <field name="Objective-State">
      <value order="0">Published</value>
    </field>
    <field name="Objective-VersionId">
      <value order="0">vA5694642</value>
    </field>
    <field name="Objective-Version">
      <value order="0">2.0</value>
    </field>
    <field name="Objective-VersionNumber">
      <value order="0">5</value>
    </field>
    <field name="Objective-VersionComment">
      <value order="0"/>
    </field>
    <field name="Objective-FileNumber">
      <value order="0">qA1021244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itemProps2.xml><?xml version="1.0" encoding="utf-8"?>
<ds:datastoreItem xmlns:ds="http://schemas.openxmlformats.org/officeDocument/2006/customXml" ds:itemID="{2230BB60-CB64-4326-A2EE-26D71149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1695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</Company>
  <LinksUpToDate>false</LinksUpToDate>
  <CharactersWithSpaces>11725</CharactersWithSpaces>
  <SharedDoc>false</SharedDoc>
  <HLinks>
    <vt:vector size="6" baseType="variant">
      <vt:variant>
        <vt:i4>7602274</vt:i4>
      </vt:variant>
      <vt:variant>
        <vt:i4>213</vt:i4>
      </vt:variant>
      <vt:variant>
        <vt:i4>0</vt:i4>
      </vt:variant>
      <vt:variant>
        <vt:i4>5</vt:i4>
      </vt:variant>
      <vt:variant>
        <vt:lpwstr>http://www.ehp.qld,gov.au/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Bundaberg Regional Council</dc:creator>
  <cp:lastModifiedBy>Hugh Byrnes</cp:lastModifiedBy>
  <cp:revision>4</cp:revision>
  <cp:lastPrinted>2020-01-20T06:27:00Z</cp:lastPrinted>
  <dcterms:created xsi:type="dcterms:W3CDTF">2020-02-10T22:45:00Z</dcterms:created>
  <dcterms:modified xsi:type="dcterms:W3CDTF">2020-02-10T22:59:00Z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A4906182</vt:lpwstr>
  </property>
  <property fmtid="{D5CDD505-2E9C-101B-9397-08002B2CF9AE}" pid="4" name="Objective-Title">
    <vt:lpwstr>BRPS Part 8 Overlays - Adopted Version 5.0</vt:lpwstr>
  </property>
  <property fmtid="{D5CDD505-2E9C-101B-9397-08002B2CF9AE}" pid="5" name="Objective-Comment">
    <vt:lpwstr/>
  </property>
  <property fmtid="{D5CDD505-2E9C-101B-9397-08002B2CF9AE}" pid="6" name="Objective-CreationStamp">
    <vt:filetime>2019-12-09T23:46:32Z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2020-01-20T06:27:29Z</vt:filetime>
  </property>
  <property fmtid="{D5CDD505-2E9C-101B-9397-08002B2CF9AE}" pid="10" name="Objective-ModificationStamp">
    <vt:filetime>2020-01-20T06:27:29Z</vt:filetime>
  </property>
  <property fmtid="{D5CDD505-2E9C-101B-9397-08002B2CF9AE}" pid="11" name="Objective-Owner">
    <vt:lpwstr>Hugh Byrnes</vt:lpwstr>
  </property>
  <property fmtid="{D5CDD505-2E9C-101B-9397-08002B2CF9AE}" pid="12" name="Objective-Path">
    <vt:lpwstr>BRC Global Folder:Projects:Development:Project Folders - Development:Bundaberg Region Planning Scheme:Amendment 5 - Major Amendment:Versions 5 &amp; 6 Combined:</vt:lpwstr>
  </property>
  <property fmtid="{D5CDD505-2E9C-101B-9397-08002B2CF9AE}" pid="13" name="Objective-Parent">
    <vt:lpwstr>Versions 5 &amp; 6 Combined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qA1021244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Legal Register Number [system]">
    <vt:lpwstr/>
  </property>
  <property fmtid="{D5CDD505-2E9C-101B-9397-08002B2CF9AE}" pid="22" name="Objective-Fully Formatted Account ID [system]">
    <vt:lpwstr/>
  </property>
  <property fmtid="{D5CDD505-2E9C-101B-9397-08002B2CF9AE}" pid="23" name="Objective-Description/Precis [system]">
    <vt:lpwstr/>
  </property>
  <property fmtid="{D5CDD505-2E9C-101B-9397-08002B2CF9AE}" pid="24" name="Objective-NAR ID [system]">
    <vt:lpwstr/>
  </property>
  <property fmtid="{D5CDD505-2E9C-101B-9397-08002B2CF9AE}" pid="25" name="Objective-NAR Name [system]">
    <vt:lpwstr/>
  </property>
  <property fmtid="{D5CDD505-2E9C-101B-9397-08002B2CF9AE}" pid="26" name="Objective-Parcel ID [system]">
    <vt:lpwstr/>
  </property>
  <property fmtid="{D5CDD505-2E9C-101B-9397-08002B2CF9AE}" pid="27" name="Objective-Property Address [system]">
    <vt:lpwstr/>
  </property>
  <property fmtid="{D5CDD505-2E9C-101B-9397-08002B2CF9AE}" pid="28" name="Objective-Other Reference Number [system]">
    <vt:lpwstr/>
  </property>
  <property fmtid="{D5CDD505-2E9C-101B-9397-08002B2CF9AE}" pid="29" name="Objective-Asset Facility [system]">
    <vt:lpwstr/>
  </property>
  <property fmtid="{D5CDD505-2E9C-101B-9397-08002B2CF9AE}" pid="30" name="Objective-Referenced Document/s [system]">
    <vt:lpwstr/>
  </property>
  <property fmtid="{D5CDD505-2E9C-101B-9397-08002B2CF9AE}" pid="31" name="Objective-Hard-copy Sent To [system]">
    <vt:lpwstr/>
  </property>
  <property fmtid="{D5CDD505-2E9C-101B-9397-08002B2CF9AE}" pid="32" name="Objective-Hard-copy Sent [system]">
    <vt:lpwstr/>
  </property>
  <property fmtid="{D5CDD505-2E9C-101B-9397-08002B2CF9AE}" pid="33" name="Objective-Hard-copy Returned [system]">
    <vt:lpwstr/>
  </property>
  <property fmtid="{D5CDD505-2E9C-101B-9397-08002B2CF9AE}" pid="34" name="Objective-Mail Notification Sent [system]">
    <vt:lpwstr/>
  </property>
  <property fmtid="{D5CDD505-2E9C-101B-9397-08002B2CF9AE}" pid="35" name="Objective-Box Number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vA5694642</vt:lpwstr>
  </property>
  <property fmtid="{D5CDD505-2E9C-101B-9397-08002B2CF9AE}" pid="38" name="Objective-Legal Register Number">
    <vt:lpwstr/>
  </property>
  <property fmtid="{D5CDD505-2E9C-101B-9397-08002B2CF9AE}" pid="39" name="Objective-Fully Formatted Account ID">
    <vt:lpwstr/>
  </property>
  <property fmtid="{D5CDD505-2E9C-101B-9397-08002B2CF9AE}" pid="40" name="Objective-Description/Precis">
    <vt:lpwstr/>
  </property>
  <property fmtid="{D5CDD505-2E9C-101B-9397-08002B2CF9AE}" pid="41" name="Objective-NAR ID">
    <vt:lpwstr/>
  </property>
  <property fmtid="{D5CDD505-2E9C-101B-9397-08002B2CF9AE}" pid="42" name="Objective-NAR Name">
    <vt:lpwstr/>
  </property>
  <property fmtid="{D5CDD505-2E9C-101B-9397-08002B2CF9AE}" pid="43" name="Objective-Parcel ID">
    <vt:lpwstr/>
  </property>
  <property fmtid="{D5CDD505-2E9C-101B-9397-08002B2CF9AE}" pid="44" name="Objective-Property Address">
    <vt:lpwstr/>
  </property>
  <property fmtid="{D5CDD505-2E9C-101B-9397-08002B2CF9AE}" pid="45" name="Objective-Other Reference Number">
    <vt:lpwstr/>
  </property>
  <property fmtid="{D5CDD505-2E9C-101B-9397-08002B2CF9AE}" pid="46" name="Objective-Asset Facility">
    <vt:lpwstr/>
  </property>
  <property fmtid="{D5CDD505-2E9C-101B-9397-08002B2CF9AE}" pid="47" name="Objective-Referenced Document/s">
    <vt:lpwstr/>
  </property>
  <property fmtid="{D5CDD505-2E9C-101B-9397-08002B2CF9AE}" pid="48" name="Objective-Box Number">
    <vt:lpwstr/>
  </property>
  <property fmtid="{D5CDD505-2E9C-101B-9397-08002B2CF9AE}" pid="49" name="Objective-Hard-copy Sent To">
    <vt:lpwstr/>
  </property>
  <property fmtid="{D5CDD505-2E9C-101B-9397-08002B2CF9AE}" pid="50" name="Objective-Hard-copy Sent">
    <vt:lpwstr/>
  </property>
  <property fmtid="{D5CDD505-2E9C-101B-9397-08002B2CF9AE}" pid="51" name="Objective-Hard-copy Returned">
    <vt:lpwstr/>
  </property>
  <property fmtid="{D5CDD505-2E9C-101B-9397-08002B2CF9AE}" pid="52" name="Objective-Mail Notification Sent">
    <vt:lpwstr/>
  </property>
</Properties>
</file>