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150E" w14:textId="77777777" w:rsidR="00612E82" w:rsidRPr="00612E82" w:rsidRDefault="00612E82" w:rsidP="00612E82">
      <w:pPr>
        <w:pStyle w:val="ListParagraph"/>
        <w:keepNext/>
        <w:numPr>
          <w:ilvl w:val="0"/>
          <w:numId w:val="2"/>
        </w:numPr>
        <w:spacing w:before="100" w:after="200"/>
        <w:outlineLvl w:val="0"/>
        <w:rPr>
          <w:rFonts w:cs="Arial"/>
          <w:b/>
          <w:bCs/>
          <w:vanish/>
          <w:kern w:val="32"/>
          <w:sz w:val="32"/>
          <w:szCs w:val="32"/>
          <w:highlight w:val="lightGray"/>
        </w:rPr>
      </w:pPr>
    </w:p>
    <w:p w14:paraId="457B31FB" w14:textId="77777777" w:rsidR="00612E82" w:rsidRPr="00612E82" w:rsidRDefault="00612E82" w:rsidP="00612E82">
      <w:pPr>
        <w:pStyle w:val="ListParagraph"/>
        <w:keepNext/>
        <w:numPr>
          <w:ilvl w:val="0"/>
          <w:numId w:val="2"/>
        </w:numPr>
        <w:spacing w:before="100" w:after="200"/>
        <w:outlineLvl w:val="0"/>
        <w:rPr>
          <w:rFonts w:cs="Arial"/>
          <w:b/>
          <w:bCs/>
          <w:vanish/>
          <w:kern w:val="32"/>
          <w:sz w:val="32"/>
          <w:szCs w:val="32"/>
          <w:highlight w:val="lightGray"/>
        </w:rPr>
      </w:pPr>
    </w:p>
    <w:p w14:paraId="38E1D86B" w14:textId="77777777" w:rsidR="00612E82" w:rsidRPr="00612E82" w:rsidRDefault="00612E82" w:rsidP="00612E82">
      <w:pPr>
        <w:pStyle w:val="ListParagraph"/>
        <w:keepNext/>
        <w:numPr>
          <w:ilvl w:val="1"/>
          <w:numId w:val="2"/>
        </w:numPr>
        <w:spacing w:before="100" w:after="200"/>
        <w:outlineLvl w:val="1"/>
        <w:rPr>
          <w:rFonts w:cs="Arial"/>
          <w:b/>
          <w:bCs/>
          <w:iCs/>
          <w:vanish/>
          <w:sz w:val="28"/>
          <w:szCs w:val="28"/>
          <w:highlight w:val="lightGray"/>
        </w:rPr>
      </w:pPr>
    </w:p>
    <w:p w14:paraId="48C0EF09" w14:textId="77777777" w:rsidR="00612E82" w:rsidRPr="00612E82" w:rsidRDefault="00612E82" w:rsidP="00612E82">
      <w:pPr>
        <w:pStyle w:val="ListParagraph"/>
        <w:keepNext/>
        <w:numPr>
          <w:ilvl w:val="1"/>
          <w:numId w:val="2"/>
        </w:numPr>
        <w:spacing w:before="100" w:after="200"/>
        <w:outlineLvl w:val="1"/>
        <w:rPr>
          <w:rFonts w:cs="Arial"/>
          <w:b/>
          <w:bCs/>
          <w:iCs/>
          <w:vanish/>
          <w:sz w:val="28"/>
          <w:szCs w:val="28"/>
          <w:highlight w:val="lightGray"/>
        </w:rPr>
      </w:pPr>
    </w:p>
    <w:p w14:paraId="7A87A39B" w14:textId="77777777" w:rsidR="00612E82" w:rsidRPr="00612E82" w:rsidRDefault="00612E82" w:rsidP="00612E82">
      <w:pPr>
        <w:pStyle w:val="ListParagraph"/>
        <w:keepNext/>
        <w:numPr>
          <w:ilvl w:val="2"/>
          <w:numId w:val="2"/>
        </w:numPr>
        <w:spacing w:before="100" w:after="200"/>
        <w:outlineLvl w:val="2"/>
        <w:rPr>
          <w:rFonts w:cs="Arial"/>
          <w:b/>
          <w:bCs/>
          <w:vanish/>
          <w:sz w:val="24"/>
          <w:szCs w:val="26"/>
          <w:highlight w:val="lightGray"/>
        </w:rPr>
      </w:pPr>
    </w:p>
    <w:p w14:paraId="76DCB823" w14:textId="6731BF60" w:rsidR="00612E82" w:rsidRPr="00E10A48" w:rsidRDefault="00612E82" w:rsidP="00612E82">
      <w:pPr>
        <w:pStyle w:val="Heading3"/>
      </w:pPr>
      <w:r w:rsidRPr="00E10A48">
        <w:rPr>
          <w:highlight w:val="lightGray"/>
        </w:rPr>
        <w:tab/>
      </w:r>
      <w:bookmarkStart w:id="0" w:name="_Toc29996383"/>
      <w:proofErr w:type="spellStart"/>
      <w:r w:rsidRPr="00E10A48">
        <w:t>Kalkie</w:t>
      </w:r>
      <w:proofErr w:type="spellEnd"/>
      <w:r w:rsidRPr="00E10A48">
        <w:t>-Ashfield local development area local plan code</w:t>
      </w:r>
      <w:bookmarkEnd w:id="0"/>
    </w:p>
    <w:p w14:paraId="0C90FF05" w14:textId="77777777" w:rsidR="00612E82" w:rsidRDefault="00612E82" w:rsidP="00612E82">
      <w:pPr>
        <w:pStyle w:val="Heading4"/>
        <w:tabs>
          <w:tab w:val="clear" w:pos="1134"/>
        </w:tabs>
        <w:spacing w:before="100" w:after="0"/>
        <w:ind w:right="5951"/>
      </w:pPr>
      <w:r>
        <w:tab/>
        <w:t>Application</w:t>
      </w:r>
    </w:p>
    <w:p w14:paraId="3194104D" w14:textId="77777777" w:rsidR="00612E82" w:rsidRDefault="00612E82" w:rsidP="00612E82">
      <w:pPr>
        <w:ind w:right="5951"/>
      </w:pPr>
    </w:p>
    <w:p w14:paraId="18421744" w14:textId="77777777" w:rsidR="00612E82" w:rsidRDefault="00612E82" w:rsidP="00612E82">
      <w:pPr>
        <w:ind w:right="5951"/>
      </w:pPr>
      <w:r>
        <w:t xml:space="preserve">This code applies to </w:t>
      </w:r>
      <w:proofErr w:type="gramStart"/>
      <w:r>
        <w:t>development:-</w:t>
      </w:r>
      <w:proofErr w:type="gramEnd"/>
    </w:p>
    <w:p w14:paraId="3A835582" w14:textId="77777777" w:rsidR="00612E82" w:rsidRDefault="00612E82" w:rsidP="00612E82">
      <w:pPr>
        <w:ind w:right="5951"/>
      </w:pPr>
    </w:p>
    <w:p w14:paraId="5B7432D8" w14:textId="77777777" w:rsidR="00612E82" w:rsidRDefault="00612E82" w:rsidP="00612E82">
      <w:pPr>
        <w:numPr>
          <w:ilvl w:val="0"/>
          <w:numId w:val="11"/>
        </w:numPr>
        <w:tabs>
          <w:tab w:val="clear" w:pos="720"/>
        </w:tabs>
        <w:ind w:left="567" w:right="5951" w:hanging="567"/>
      </w:pPr>
      <w:r>
        <w:t xml:space="preserve">within the </w:t>
      </w:r>
      <w:proofErr w:type="spellStart"/>
      <w:r>
        <w:t>Kalkie</w:t>
      </w:r>
      <w:proofErr w:type="spellEnd"/>
      <w:r>
        <w:t xml:space="preserve">-Ashfield local development area local plan area as identified on the zoning maps contained in </w:t>
      </w:r>
      <w:r w:rsidRPr="00C6147C">
        <w:rPr>
          <w:b/>
        </w:rPr>
        <w:t>Schedule 2 (Mapping)</w:t>
      </w:r>
      <w:r>
        <w:t>; and</w:t>
      </w:r>
    </w:p>
    <w:p w14:paraId="13CF6169" w14:textId="77777777" w:rsidR="00612E82" w:rsidRDefault="00612E82" w:rsidP="00612E82">
      <w:pPr>
        <w:ind w:left="720" w:right="5951"/>
      </w:pPr>
    </w:p>
    <w:p w14:paraId="15D8C3ED" w14:textId="77777777" w:rsidR="00612E82" w:rsidRDefault="00612E82" w:rsidP="00612E82">
      <w:pPr>
        <w:numPr>
          <w:ilvl w:val="0"/>
          <w:numId w:val="11"/>
        </w:numPr>
        <w:tabs>
          <w:tab w:val="clear" w:pos="720"/>
        </w:tabs>
        <w:ind w:left="567" w:right="5951" w:hanging="567"/>
      </w:pPr>
      <w:r>
        <w:t xml:space="preserve">identified as requiring assessment against the </w:t>
      </w:r>
      <w:proofErr w:type="spellStart"/>
      <w:r>
        <w:t>Kalkie</w:t>
      </w:r>
      <w:proofErr w:type="spellEnd"/>
      <w:r>
        <w:t xml:space="preserve">-Ashfield local development area local plan code by the tables of assessment in </w:t>
      </w:r>
      <w:r w:rsidRPr="00C6147C">
        <w:rPr>
          <w:b/>
        </w:rPr>
        <w:t>Part 5 (Tables of assessment)</w:t>
      </w:r>
      <w:r>
        <w:t>.</w:t>
      </w:r>
    </w:p>
    <w:p w14:paraId="37E11937" w14:textId="77777777" w:rsidR="00612E82" w:rsidRDefault="00612E82" w:rsidP="00612E82">
      <w:pPr>
        <w:pStyle w:val="ListParagraph"/>
        <w:tabs>
          <w:tab w:val="left" w:pos="0"/>
        </w:tabs>
        <w:ind w:right="5951"/>
      </w:pPr>
    </w:p>
    <w:p w14:paraId="51911CB6" w14:textId="77777777" w:rsidR="00612E82" w:rsidRPr="00E6468A" w:rsidRDefault="00612E82" w:rsidP="00612E82">
      <w:pPr>
        <w:ind w:right="5951"/>
        <w:rPr>
          <w:sz w:val="16"/>
          <w:szCs w:val="16"/>
        </w:rPr>
      </w:pPr>
      <w:r w:rsidRPr="00E6468A">
        <w:rPr>
          <w:sz w:val="16"/>
          <w:szCs w:val="16"/>
        </w:rPr>
        <w:t xml:space="preserve">Editor’s note—this code seeks to provide a local structure planning framework </w:t>
      </w:r>
      <w:r>
        <w:rPr>
          <w:sz w:val="16"/>
          <w:szCs w:val="16"/>
        </w:rPr>
        <w:t xml:space="preserve">for </w:t>
      </w:r>
      <w:r w:rsidRPr="00E6468A">
        <w:rPr>
          <w:sz w:val="16"/>
          <w:szCs w:val="16"/>
        </w:rPr>
        <w:t xml:space="preserve">the </w:t>
      </w:r>
      <w:proofErr w:type="spellStart"/>
      <w:r w:rsidRPr="00E6468A">
        <w:rPr>
          <w:sz w:val="16"/>
          <w:szCs w:val="16"/>
        </w:rPr>
        <w:t>Kalkie</w:t>
      </w:r>
      <w:proofErr w:type="spellEnd"/>
      <w:r w:rsidRPr="00E6468A">
        <w:rPr>
          <w:sz w:val="16"/>
          <w:szCs w:val="16"/>
        </w:rPr>
        <w:t xml:space="preserve">-Ashfield local development area local plan area. This may include development applications for preliminary approval including a variation request or development applications for reconfiguring a lot. </w:t>
      </w:r>
    </w:p>
    <w:p w14:paraId="470741C4" w14:textId="77777777" w:rsidR="00612E82" w:rsidRPr="00E6468A" w:rsidRDefault="00612E82" w:rsidP="00612E82">
      <w:pPr>
        <w:ind w:right="5951"/>
      </w:pPr>
    </w:p>
    <w:p w14:paraId="7C72D943" w14:textId="77777777" w:rsidR="00612E82" w:rsidRPr="00E6468A" w:rsidRDefault="00612E82" w:rsidP="00612E82">
      <w:pPr>
        <w:pStyle w:val="Heading4"/>
        <w:tabs>
          <w:tab w:val="clear" w:pos="1134"/>
        </w:tabs>
        <w:spacing w:before="0" w:after="0"/>
        <w:ind w:right="5951"/>
      </w:pPr>
      <w:r w:rsidRPr="00E6468A">
        <w:tab/>
      </w:r>
      <w:bookmarkStart w:id="1" w:name="_Toc357778858"/>
      <w:r w:rsidRPr="00E6468A">
        <w:t>Purpose and overall outcomes</w:t>
      </w:r>
      <w:bookmarkEnd w:id="1"/>
    </w:p>
    <w:p w14:paraId="5D05D01B" w14:textId="77777777" w:rsidR="00612E82" w:rsidRPr="00E6468A" w:rsidRDefault="00612E82" w:rsidP="00612E82">
      <w:pPr>
        <w:ind w:right="5951"/>
      </w:pPr>
    </w:p>
    <w:p w14:paraId="430D83E2" w14:textId="77777777" w:rsidR="00612E82" w:rsidRPr="00E6468A" w:rsidRDefault="00612E82" w:rsidP="00612E82">
      <w:pPr>
        <w:numPr>
          <w:ilvl w:val="0"/>
          <w:numId w:val="13"/>
        </w:numPr>
        <w:tabs>
          <w:tab w:val="clear" w:pos="720"/>
        </w:tabs>
        <w:ind w:left="567" w:right="5951" w:hanging="567"/>
      </w:pPr>
      <w:r w:rsidRPr="00E6468A">
        <w:t xml:space="preserve">The purpose of the </w:t>
      </w:r>
      <w:proofErr w:type="spellStart"/>
      <w:r w:rsidRPr="00E6468A">
        <w:t>Kalkie</w:t>
      </w:r>
      <w:proofErr w:type="spellEnd"/>
      <w:r w:rsidRPr="00E6468A">
        <w:t xml:space="preserve">-Ashfield local development area local plan code is to provide for the logical, orderly, efficient and sustainable development of the </w:t>
      </w:r>
      <w:proofErr w:type="spellStart"/>
      <w:r w:rsidRPr="00E6468A">
        <w:t>Kalkie</w:t>
      </w:r>
      <w:proofErr w:type="spellEnd"/>
      <w:r w:rsidRPr="00E6468A">
        <w:t xml:space="preserve">-Ashfield local development area in a manner </w:t>
      </w:r>
      <w:proofErr w:type="gramStart"/>
      <w:r w:rsidRPr="00E6468A">
        <w:t>that:-</w:t>
      </w:r>
      <w:proofErr w:type="gramEnd"/>
    </w:p>
    <w:p w14:paraId="78895A67" w14:textId="77777777" w:rsidR="00612E82" w:rsidRPr="00E6468A" w:rsidRDefault="00612E82" w:rsidP="00612E82">
      <w:pPr>
        <w:ind w:right="5951"/>
      </w:pPr>
    </w:p>
    <w:p w14:paraId="485E1170" w14:textId="77777777" w:rsidR="00612E82" w:rsidRPr="00E6468A" w:rsidRDefault="00612E82" w:rsidP="00612E82">
      <w:pPr>
        <w:numPr>
          <w:ilvl w:val="0"/>
          <w:numId w:val="14"/>
        </w:numPr>
        <w:ind w:left="1134" w:right="5951" w:hanging="567"/>
        <w:rPr>
          <w:szCs w:val="20"/>
        </w:rPr>
      </w:pPr>
      <w:r w:rsidRPr="00E6468A">
        <w:rPr>
          <w:szCs w:val="20"/>
        </w:rPr>
        <w:t>facilitates the creation of complete and vibrant communities comprising of interconnected residential neighbourhoods and supporting local services, community facilities and open space; and</w:t>
      </w:r>
    </w:p>
    <w:p w14:paraId="5BCFBE71" w14:textId="77777777" w:rsidR="00612E82" w:rsidRPr="00E6468A" w:rsidRDefault="00612E82" w:rsidP="00612E82">
      <w:pPr>
        <w:ind w:right="5951"/>
        <w:rPr>
          <w:szCs w:val="20"/>
        </w:rPr>
      </w:pPr>
    </w:p>
    <w:p w14:paraId="4BC9DD33" w14:textId="77777777" w:rsidR="00612E82" w:rsidRPr="00E6468A" w:rsidRDefault="00612E82" w:rsidP="00612E82">
      <w:pPr>
        <w:numPr>
          <w:ilvl w:val="0"/>
          <w:numId w:val="14"/>
        </w:numPr>
        <w:ind w:left="1134" w:right="5951" w:hanging="567"/>
        <w:rPr>
          <w:szCs w:val="20"/>
        </w:rPr>
      </w:pPr>
      <w:r w:rsidRPr="00E6468A">
        <w:rPr>
          <w:szCs w:val="20"/>
        </w:rPr>
        <w:t>ensures that the pattern of settlement, land use composition and configuration of movement networks and other major infrastructure and open space corridors appropriately reflects local area structure planning undertaken by the Council.</w:t>
      </w:r>
    </w:p>
    <w:p w14:paraId="1A37D9CD" w14:textId="77777777" w:rsidR="00612E82" w:rsidRPr="00E6468A" w:rsidRDefault="00612E82" w:rsidP="00612E82">
      <w:pPr>
        <w:ind w:left="720" w:right="5951"/>
      </w:pPr>
      <w:r w:rsidRPr="00E6468A">
        <w:tab/>
      </w:r>
    </w:p>
    <w:p w14:paraId="6BAB5301" w14:textId="77777777" w:rsidR="00612E82" w:rsidRPr="00E6468A" w:rsidRDefault="00612E82" w:rsidP="00612E82">
      <w:pPr>
        <w:numPr>
          <w:ilvl w:val="0"/>
          <w:numId w:val="13"/>
        </w:numPr>
        <w:tabs>
          <w:tab w:val="clear" w:pos="720"/>
        </w:tabs>
        <w:ind w:left="567" w:right="5951" w:hanging="567"/>
      </w:pPr>
      <w:r w:rsidRPr="00E6468A">
        <w:t xml:space="preserve">The purpose of the </w:t>
      </w:r>
      <w:proofErr w:type="spellStart"/>
      <w:r w:rsidRPr="00E6468A">
        <w:t>Kalkie</w:t>
      </w:r>
      <w:proofErr w:type="spellEnd"/>
      <w:r w:rsidRPr="00E6468A">
        <w:t xml:space="preserve">-Ashfield local development area local plan code will be achieved through the following overall </w:t>
      </w:r>
      <w:proofErr w:type="gramStart"/>
      <w:r w:rsidRPr="00E6468A">
        <w:t>outcomes:-</w:t>
      </w:r>
      <w:proofErr w:type="gramEnd"/>
    </w:p>
    <w:p w14:paraId="269C3CC9" w14:textId="77777777" w:rsidR="00612E82" w:rsidRPr="00E6468A" w:rsidRDefault="00612E82" w:rsidP="00612E82">
      <w:pPr>
        <w:ind w:left="567" w:right="5951"/>
        <w:rPr>
          <w:szCs w:val="20"/>
        </w:rPr>
      </w:pPr>
    </w:p>
    <w:p w14:paraId="52D4A264"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development for urban purposes occurs only in areas identified for urban development </w:t>
      </w:r>
      <w:proofErr w:type="gramStart"/>
      <w:r w:rsidRPr="00E6468A">
        <w:rPr>
          <w:szCs w:val="20"/>
        </w:rPr>
        <w:t>so as to</w:t>
      </w:r>
      <w:proofErr w:type="gramEnd"/>
      <w:r w:rsidRPr="00E6468A">
        <w:rPr>
          <w:szCs w:val="20"/>
        </w:rPr>
        <w:t xml:space="preserve"> protect the natural environment, preserve areas of open space, minimise impact on economic resources, avoid highly constrained land and provide for the efficient provision of infrastructure and services;</w:t>
      </w:r>
    </w:p>
    <w:p w14:paraId="4266B915" w14:textId="77777777" w:rsidR="00612E82" w:rsidRPr="00E6468A" w:rsidRDefault="00612E82" w:rsidP="00612E82">
      <w:pPr>
        <w:ind w:left="1134" w:right="5951"/>
        <w:rPr>
          <w:szCs w:val="20"/>
        </w:rPr>
      </w:pPr>
    </w:p>
    <w:p w14:paraId="79D743E6"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development maintains and protects significant natural features and landscape values in the </w:t>
      </w:r>
      <w:proofErr w:type="spellStart"/>
      <w:r w:rsidRPr="00E6468A">
        <w:rPr>
          <w:szCs w:val="20"/>
        </w:rPr>
        <w:t>Kalkie</w:t>
      </w:r>
      <w:proofErr w:type="spellEnd"/>
      <w:r w:rsidRPr="00E6468A">
        <w:rPr>
          <w:szCs w:val="20"/>
        </w:rPr>
        <w:t xml:space="preserve">-Ashfield local development area, including the Burnett River foreshore, the ridgeline east of the river in </w:t>
      </w:r>
      <w:proofErr w:type="spellStart"/>
      <w:r w:rsidRPr="00E6468A">
        <w:rPr>
          <w:szCs w:val="20"/>
        </w:rPr>
        <w:t>Kalkie</w:t>
      </w:r>
      <w:proofErr w:type="spellEnd"/>
      <w:r w:rsidRPr="00E6468A">
        <w:rPr>
          <w:szCs w:val="20"/>
        </w:rPr>
        <w:t xml:space="preserve">, surrounding areas of rural </w:t>
      </w:r>
      <w:r w:rsidRPr="00E6468A">
        <w:rPr>
          <w:szCs w:val="20"/>
        </w:rPr>
        <w:lastRenderedPageBreak/>
        <w:t xml:space="preserve">landscape character, the natural path of defined watercourses and areas of environmental significance (including areas of </w:t>
      </w:r>
      <w:proofErr w:type="spellStart"/>
      <w:r w:rsidRPr="00E6468A">
        <w:rPr>
          <w:szCs w:val="20"/>
        </w:rPr>
        <w:t>Woongarra</w:t>
      </w:r>
      <w:proofErr w:type="spellEnd"/>
      <w:r w:rsidRPr="00E6468A">
        <w:rPr>
          <w:szCs w:val="20"/>
        </w:rPr>
        <w:t xml:space="preserve"> Scrub);</w:t>
      </w:r>
    </w:p>
    <w:p w14:paraId="5254D6A0" w14:textId="77777777" w:rsidR="00612E82" w:rsidRPr="00E6468A" w:rsidRDefault="00612E82" w:rsidP="00612E82">
      <w:pPr>
        <w:pStyle w:val="ListParagraph"/>
        <w:ind w:right="5951"/>
        <w:rPr>
          <w:szCs w:val="20"/>
        </w:rPr>
      </w:pPr>
    </w:p>
    <w:p w14:paraId="1BBA8C92"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development provides for the establishment of a functional and integrated movement network to efficiently and effectively service the </w:t>
      </w:r>
      <w:proofErr w:type="spellStart"/>
      <w:r w:rsidRPr="00E6468A">
        <w:rPr>
          <w:szCs w:val="20"/>
        </w:rPr>
        <w:t>Kalkie</w:t>
      </w:r>
      <w:proofErr w:type="spellEnd"/>
      <w:r w:rsidRPr="00E6468A">
        <w:rPr>
          <w:szCs w:val="20"/>
        </w:rPr>
        <w:t>-Ashfield local development area;</w:t>
      </w:r>
    </w:p>
    <w:p w14:paraId="5EAF8BB6" w14:textId="77777777" w:rsidR="00612E82" w:rsidRPr="00E6468A" w:rsidRDefault="00612E82" w:rsidP="00612E82">
      <w:pPr>
        <w:pStyle w:val="ListParagraph"/>
        <w:ind w:right="5951"/>
        <w:rPr>
          <w:szCs w:val="20"/>
        </w:rPr>
      </w:pPr>
    </w:p>
    <w:p w14:paraId="0F8FBAAF"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a continuous Burnett River esplanade is maintained and improved </w:t>
      </w:r>
      <w:proofErr w:type="gramStart"/>
      <w:r w:rsidRPr="00E6468A">
        <w:rPr>
          <w:szCs w:val="20"/>
        </w:rPr>
        <w:t>to:-</w:t>
      </w:r>
      <w:proofErr w:type="gramEnd"/>
    </w:p>
    <w:p w14:paraId="17F97ED4" w14:textId="77777777" w:rsidR="00612E82" w:rsidRPr="00E6468A" w:rsidRDefault="00612E82" w:rsidP="00612E82">
      <w:pPr>
        <w:pStyle w:val="ListParagraph"/>
        <w:ind w:right="5951"/>
        <w:rPr>
          <w:szCs w:val="20"/>
        </w:rPr>
      </w:pPr>
    </w:p>
    <w:p w14:paraId="598347C8" w14:textId="77777777" w:rsidR="00612E82" w:rsidRPr="00E6468A" w:rsidRDefault="00612E82" w:rsidP="00612E82">
      <w:pPr>
        <w:pStyle w:val="ListParagraph"/>
        <w:numPr>
          <w:ilvl w:val="2"/>
          <w:numId w:val="15"/>
        </w:numPr>
        <w:ind w:right="5951"/>
        <w:contextualSpacing/>
        <w:rPr>
          <w:szCs w:val="20"/>
        </w:rPr>
      </w:pPr>
      <w:r w:rsidRPr="00E6468A">
        <w:rPr>
          <w:szCs w:val="20"/>
        </w:rPr>
        <w:t>enhance accessibility to open space and recreational opportunities along the riverside; and</w:t>
      </w:r>
    </w:p>
    <w:p w14:paraId="1C65A969" w14:textId="77777777" w:rsidR="00612E82" w:rsidRPr="00E6468A" w:rsidRDefault="00612E82" w:rsidP="00612E82">
      <w:pPr>
        <w:pStyle w:val="ListParagraph"/>
        <w:numPr>
          <w:ilvl w:val="2"/>
          <w:numId w:val="15"/>
        </w:numPr>
        <w:ind w:right="5951"/>
        <w:contextualSpacing/>
        <w:rPr>
          <w:szCs w:val="20"/>
        </w:rPr>
      </w:pPr>
      <w:r w:rsidRPr="00E6468A">
        <w:rPr>
          <w:szCs w:val="20"/>
        </w:rPr>
        <w:t>enhance the public's appreciation and enjoyment of the Burnett River;</w:t>
      </w:r>
    </w:p>
    <w:p w14:paraId="0320EE40" w14:textId="77777777" w:rsidR="00612E82" w:rsidRPr="00E6468A" w:rsidRDefault="00612E82" w:rsidP="00612E82">
      <w:pPr>
        <w:ind w:left="1287" w:right="5951"/>
        <w:rPr>
          <w:szCs w:val="20"/>
        </w:rPr>
      </w:pPr>
      <w:bookmarkStart w:id="2" w:name="_GoBack"/>
      <w:bookmarkEnd w:id="2"/>
    </w:p>
    <w:p w14:paraId="2160BD35"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development provides for a high level of integration between the open space networks and the pedestrian and bicycle path network, including connecting the </w:t>
      </w:r>
      <w:proofErr w:type="spellStart"/>
      <w:r w:rsidRPr="00E6468A">
        <w:rPr>
          <w:szCs w:val="20"/>
        </w:rPr>
        <w:t>Kalkie</w:t>
      </w:r>
      <w:proofErr w:type="spellEnd"/>
      <w:r w:rsidRPr="00E6468A">
        <w:rPr>
          <w:szCs w:val="20"/>
        </w:rPr>
        <w:t>-Ashfield local development area to the Bundaberg CBD via Baldwin Swamp Environmental Park;</w:t>
      </w:r>
    </w:p>
    <w:p w14:paraId="17475753"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development provides short and long distance views over the Burnett River, farmland and the non-urban setting of </w:t>
      </w:r>
      <w:proofErr w:type="gramStart"/>
      <w:r w:rsidRPr="00E6468A">
        <w:rPr>
          <w:szCs w:val="20"/>
        </w:rPr>
        <w:t>Bundaberg  for</w:t>
      </w:r>
      <w:proofErr w:type="gramEnd"/>
      <w:r w:rsidRPr="00E6468A">
        <w:rPr>
          <w:szCs w:val="20"/>
        </w:rPr>
        <w:t xml:space="preserve"> residents and the public by establishing a continuous avenue along the ridgeline between Jealous Road and Sauers Road in </w:t>
      </w:r>
      <w:proofErr w:type="spellStart"/>
      <w:r w:rsidRPr="00E6468A">
        <w:rPr>
          <w:szCs w:val="20"/>
        </w:rPr>
        <w:t>Kalkie</w:t>
      </w:r>
      <w:proofErr w:type="spellEnd"/>
      <w:r w:rsidRPr="00E6468A">
        <w:rPr>
          <w:szCs w:val="20"/>
        </w:rPr>
        <w:t>;</w:t>
      </w:r>
    </w:p>
    <w:p w14:paraId="26EDD70E" w14:textId="77777777" w:rsidR="00612E82" w:rsidRPr="00E6468A" w:rsidRDefault="00612E82" w:rsidP="00612E82">
      <w:pPr>
        <w:pStyle w:val="ListParagraph"/>
        <w:ind w:right="5951"/>
        <w:rPr>
          <w:szCs w:val="20"/>
        </w:rPr>
      </w:pPr>
    </w:p>
    <w:p w14:paraId="0D600E01"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development supports the establishment of a network of centres for the </w:t>
      </w:r>
      <w:proofErr w:type="spellStart"/>
      <w:r w:rsidRPr="00E6468A">
        <w:rPr>
          <w:szCs w:val="20"/>
        </w:rPr>
        <w:t>Kalkie</w:t>
      </w:r>
      <w:proofErr w:type="spellEnd"/>
      <w:r w:rsidRPr="00E6468A">
        <w:rPr>
          <w:szCs w:val="20"/>
        </w:rPr>
        <w:t xml:space="preserve">-Ashfield local development area, </w:t>
      </w:r>
      <w:proofErr w:type="gramStart"/>
      <w:r w:rsidRPr="00E6468A">
        <w:rPr>
          <w:szCs w:val="20"/>
        </w:rPr>
        <w:t>comprising:-</w:t>
      </w:r>
      <w:proofErr w:type="gramEnd"/>
    </w:p>
    <w:p w14:paraId="3905EEA4" w14:textId="77777777" w:rsidR="00612E82" w:rsidRPr="00E6468A" w:rsidRDefault="00612E82" w:rsidP="00612E82">
      <w:pPr>
        <w:pStyle w:val="ListParagraph"/>
        <w:ind w:right="5951"/>
        <w:rPr>
          <w:szCs w:val="20"/>
        </w:rPr>
      </w:pPr>
    </w:p>
    <w:p w14:paraId="33A0DED9" w14:textId="77777777" w:rsidR="00612E82" w:rsidRPr="00E6468A" w:rsidRDefault="00612E82" w:rsidP="00612E82">
      <w:pPr>
        <w:pStyle w:val="ListParagraph"/>
        <w:numPr>
          <w:ilvl w:val="2"/>
          <w:numId w:val="19"/>
        </w:numPr>
        <w:ind w:right="5951"/>
        <w:contextualSpacing/>
        <w:rPr>
          <w:szCs w:val="20"/>
        </w:rPr>
      </w:pPr>
      <w:r w:rsidRPr="00E6468A">
        <w:rPr>
          <w:szCs w:val="20"/>
        </w:rPr>
        <w:t xml:space="preserve">a local activity centre located at or near the midpoint of FE Walker Street/Bundaberg Port Road within the </w:t>
      </w:r>
      <w:proofErr w:type="spellStart"/>
      <w:r w:rsidRPr="00E6468A">
        <w:rPr>
          <w:szCs w:val="20"/>
        </w:rPr>
        <w:t>Kalkie</w:t>
      </w:r>
      <w:proofErr w:type="spellEnd"/>
      <w:r w:rsidRPr="00E6468A">
        <w:rPr>
          <w:szCs w:val="20"/>
        </w:rPr>
        <w:t>-Ashfield local development area; and</w:t>
      </w:r>
    </w:p>
    <w:p w14:paraId="3D91F96F" w14:textId="77777777" w:rsidR="00612E82" w:rsidRPr="00E6468A" w:rsidRDefault="00612E82" w:rsidP="00612E82">
      <w:pPr>
        <w:numPr>
          <w:ilvl w:val="2"/>
          <w:numId w:val="19"/>
        </w:numPr>
        <w:ind w:right="5951"/>
        <w:rPr>
          <w:szCs w:val="20"/>
        </w:rPr>
      </w:pPr>
      <w:r w:rsidRPr="00E6468A">
        <w:rPr>
          <w:szCs w:val="20"/>
        </w:rPr>
        <w:t xml:space="preserve">a series of well-located neighbourhood centres at other strategic locations throughout the area as required to satisfy community need; </w:t>
      </w:r>
    </w:p>
    <w:p w14:paraId="241ADF8F" w14:textId="77777777" w:rsidR="00612E82" w:rsidRPr="00E6468A" w:rsidRDefault="00612E82" w:rsidP="00612E82">
      <w:pPr>
        <w:pStyle w:val="ListParagraph"/>
        <w:ind w:right="5951"/>
        <w:rPr>
          <w:szCs w:val="20"/>
        </w:rPr>
      </w:pPr>
    </w:p>
    <w:p w14:paraId="35FF2852"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development provides for any new activity centres to establish as vibrant, mixed use places with both residential and non-residential activities appropriate to their role and location, and displaying high quality urban design and landscaping;</w:t>
      </w:r>
    </w:p>
    <w:p w14:paraId="18BAB48C" w14:textId="77777777" w:rsidR="00612E82" w:rsidRPr="00E6468A" w:rsidRDefault="00612E82" w:rsidP="00612E82">
      <w:pPr>
        <w:ind w:left="1134" w:right="5951"/>
        <w:rPr>
          <w:szCs w:val="20"/>
        </w:rPr>
      </w:pPr>
    </w:p>
    <w:p w14:paraId="4DAD21C5"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development in the local activity </w:t>
      </w:r>
      <w:proofErr w:type="gramStart"/>
      <w:r w:rsidRPr="00E6468A">
        <w:rPr>
          <w:szCs w:val="20"/>
        </w:rPr>
        <w:t>centre:-</w:t>
      </w:r>
      <w:proofErr w:type="gramEnd"/>
    </w:p>
    <w:p w14:paraId="05F56447" w14:textId="77777777" w:rsidR="00612E82" w:rsidRPr="00E6468A" w:rsidRDefault="00612E82" w:rsidP="00612E82">
      <w:pPr>
        <w:ind w:left="1287" w:right="5951"/>
        <w:rPr>
          <w:szCs w:val="20"/>
        </w:rPr>
      </w:pPr>
    </w:p>
    <w:p w14:paraId="3214A5E0" w14:textId="77777777" w:rsidR="00612E82" w:rsidRPr="00E6468A" w:rsidRDefault="00612E82" w:rsidP="00612E82">
      <w:pPr>
        <w:pStyle w:val="ListParagraph"/>
        <w:numPr>
          <w:ilvl w:val="2"/>
          <w:numId w:val="16"/>
        </w:numPr>
        <w:ind w:right="5951"/>
        <w:contextualSpacing/>
        <w:rPr>
          <w:szCs w:val="20"/>
        </w:rPr>
      </w:pPr>
      <w:r w:rsidRPr="00E6468A">
        <w:rPr>
          <w:szCs w:val="20"/>
        </w:rPr>
        <w:t xml:space="preserve">does not adversely impact on the amenity of any surrounding sensitive land uses; </w:t>
      </w:r>
    </w:p>
    <w:p w14:paraId="5D2C510C" w14:textId="77777777" w:rsidR="00612E82" w:rsidRPr="00E6468A" w:rsidRDefault="00612E82" w:rsidP="00612E82">
      <w:pPr>
        <w:pStyle w:val="ListParagraph"/>
        <w:numPr>
          <w:ilvl w:val="2"/>
          <w:numId w:val="16"/>
        </w:numPr>
        <w:ind w:right="5951"/>
        <w:contextualSpacing/>
        <w:rPr>
          <w:szCs w:val="20"/>
        </w:rPr>
      </w:pPr>
      <w:r w:rsidRPr="00E6468A">
        <w:rPr>
          <w:szCs w:val="20"/>
        </w:rPr>
        <w:lastRenderedPageBreak/>
        <w:t>makes a positive contribution to the visual character of the area, particularly as viewed from major road frontages; and</w:t>
      </w:r>
    </w:p>
    <w:p w14:paraId="082E2EED" w14:textId="77777777" w:rsidR="00612E82" w:rsidRPr="00E6468A" w:rsidRDefault="00612E82" w:rsidP="00612E82">
      <w:pPr>
        <w:pStyle w:val="ListParagraph"/>
        <w:numPr>
          <w:ilvl w:val="2"/>
          <w:numId w:val="16"/>
        </w:numPr>
        <w:ind w:right="5951"/>
        <w:contextualSpacing/>
        <w:rPr>
          <w:szCs w:val="20"/>
        </w:rPr>
      </w:pPr>
      <w:r w:rsidRPr="00E6468A">
        <w:rPr>
          <w:szCs w:val="20"/>
        </w:rPr>
        <w:t>may provide for a full-line supermarket where forming part of the local activity centre; and</w:t>
      </w:r>
    </w:p>
    <w:p w14:paraId="6ECAED59" w14:textId="77777777" w:rsidR="00612E82" w:rsidRPr="00E6468A" w:rsidRDefault="00612E82" w:rsidP="00612E82">
      <w:pPr>
        <w:pStyle w:val="ListParagraph"/>
        <w:numPr>
          <w:ilvl w:val="2"/>
          <w:numId w:val="16"/>
        </w:numPr>
        <w:ind w:right="5951"/>
        <w:contextualSpacing/>
        <w:rPr>
          <w:szCs w:val="20"/>
        </w:rPr>
      </w:pPr>
      <w:r w:rsidRPr="00E6468A">
        <w:rPr>
          <w:szCs w:val="20"/>
        </w:rPr>
        <w:t>does not contain any other uses that would be more appropriately located in the Bundaberg principal activity centre;</w:t>
      </w:r>
    </w:p>
    <w:p w14:paraId="7A005275" w14:textId="77777777" w:rsidR="00612E82" w:rsidRPr="00E6468A" w:rsidRDefault="00612E82" w:rsidP="00612E82">
      <w:pPr>
        <w:pStyle w:val="ListParagraph"/>
        <w:ind w:left="1134" w:right="5951"/>
        <w:rPr>
          <w:szCs w:val="20"/>
        </w:rPr>
      </w:pPr>
    </w:p>
    <w:p w14:paraId="79685EB1" w14:textId="77777777" w:rsidR="00612E82" w:rsidRPr="00E6468A" w:rsidRDefault="00612E82" w:rsidP="00612E82">
      <w:pPr>
        <w:numPr>
          <w:ilvl w:val="0"/>
          <w:numId w:val="12"/>
        </w:numPr>
        <w:tabs>
          <w:tab w:val="clear" w:pos="1287"/>
        </w:tabs>
        <w:ind w:left="1134" w:right="5951" w:hanging="567"/>
        <w:rPr>
          <w:szCs w:val="20"/>
        </w:rPr>
      </w:pPr>
      <w:r w:rsidRPr="00E6468A">
        <w:rPr>
          <w:szCs w:val="20"/>
        </w:rPr>
        <w:t xml:space="preserve">where provided, multi-unit residential development sensitively responds to the scale and intensity of existing and planned development and is well-located relative </w:t>
      </w:r>
      <w:proofErr w:type="gramStart"/>
      <w:r w:rsidRPr="00E6468A">
        <w:rPr>
          <w:szCs w:val="20"/>
        </w:rPr>
        <w:t>to:-</w:t>
      </w:r>
      <w:proofErr w:type="gramEnd"/>
    </w:p>
    <w:p w14:paraId="3405A6CF" w14:textId="77777777" w:rsidR="00612E82" w:rsidRPr="00E6468A" w:rsidRDefault="00612E82" w:rsidP="00612E82">
      <w:pPr>
        <w:ind w:left="1134" w:right="5951"/>
        <w:rPr>
          <w:szCs w:val="20"/>
        </w:rPr>
      </w:pPr>
    </w:p>
    <w:p w14:paraId="57DD2C70" w14:textId="77777777" w:rsidR="00612E82" w:rsidRPr="00E6468A" w:rsidRDefault="00612E82" w:rsidP="00612E82">
      <w:pPr>
        <w:pStyle w:val="ListParagraph"/>
        <w:numPr>
          <w:ilvl w:val="2"/>
          <w:numId w:val="17"/>
        </w:numPr>
        <w:ind w:right="5951"/>
        <w:contextualSpacing/>
        <w:rPr>
          <w:szCs w:val="20"/>
        </w:rPr>
      </w:pPr>
      <w:r w:rsidRPr="00E6468A">
        <w:rPr>
          <w:szCs w:val="20"/>
        </w:rPr>
        <w:t>existing and planned activity centres, community facilities and/or transport nodes; and</w:t>
      </w:r>
    </w:p>
    <w:p w14:paraId="5AFEAB57" w14:textId="77777777" w:rsidR="00612E82" w:rsidRPr="00E6468A" w:rsidRDefault="00612E82" w:rsidP="00612E82">
      <w:pPr>
        <w:pStyle w:val="ListParagraph"/>
        <w:numPr>
          <w:ilvl w:val="2"/>
          <w:numId w:val="17"/>
        </w:numPr>
        <w:ind w:right="5951"/>
        <w:contextualSpacing/>
        <w:rPr>
          <w:szCs w:val="20"/>
        </w:rPr>
      </w:pPr>
      <w:r w:rsidRPr="00E6468A">
        <w:rPr>
          <w:szCs w:val="20"/>
        </w:rPr>
        <w:t>higher order elements of the road network;</w:t>
      </w:r>
    </w:p>
    <w:p w14:paraId="76FFFC99" w14:textId="77777777" w:rsidR="00612E82" w:rsidRPr="00E6468A" w:rsidRDefault="00612E82" w:rsidP="00612E82">
      <w:pPr>
        <w:ind w:left="567" w:right="5951"/>
        <w:rPr>
          <w:szCs w:val="20"/>
        </w:rPr>
      </w:pPr>
    </w:p>
    <w:p w14:paraId="558A6B2C" w14:textId="77777777" w:rsidR="00612E82" w:rsidRPr="00E6468A" w:rsidRDefault="00612E82" w:rsidP="00612E82">
      <w:pPr>
        <w:numPr>
          <w:ilvl w:val="0"/>
          <w:numId w:val="12"/>
        </w:numPr>
        <w:tabs>
          <w:tab w:val="clear" w:pos="1287"/>
          <w:tab w:val="num" w:pos="1134"/>
        </w:tabs>
        <w:ind w:left="1134" w:right="5951" w:hanging="567"/>
        <w:rPr>
          <w:szCs w:val="20"/>
        </w:rPr>
      </w:pPr>
      <w:r w:rsidRPr="00E6468A">
        <w:rPr>
          <w:szCs w:val="20"/>
        </w:rPr>
        <w:t xml:space="preserve">a Rural and landscape protection area is maintained along the Burnett River flats, extending from Jealous Road to </w:t>
      </w:r>
      <w:proofErr w:type="spellStart"/>
      <w:r w:rsidRPr="00E6468A">
        <w:rPr>
          <w:szCs w:val="20"/>
        </w:rPr>
        <w:t>Kirbys</w:t>
      </w:r>
      <w:proofErr w:type="spellEnd"/>
      <w:r w:rsidRPr="00E6468A">
        <w:rPr>
          <w:szCs w:val="20"/>
        </w:rPr>
        <w:t xml:space="preserve"> Road to provide for the protection and enhancement of rural landscape, primary production and scenic amenity values and, subject to appropriate address of flooding constraints, the longer term potential of the area adjacent to the Burnett River to accommodate higher order sport and recreation facilities for the Bundaberg Region with a riverfront setting; </w:t>
      </w:r>
    </w:p>
    <w:p w14:paraId="3A3E5EE9" w14:textId="77777777" w:rsidR="00612E82" w:rsidRPr="00E6468A" w:rsidRDefault="00612E82" w:rsidP="00612E82">
      <w:pPr>
        <w:ind w:left="567" w:right="5951"/>
        <w:rPr>
          <w:szCs w:val="20"/>
        </w:rPr>
      </w:pPr>
    </w:p>
    <w:p w14:paraId="05CBE804" w14:textId="77777777" w:rsidR="00612E82" w:rsidRPr="00E6468A" w:rsidRDefault="00612E82" w:rsidP="00612E82">
      <w:pPr>
        <w:numPr>
          <w:ilvl w:val="0"/>
          <w:numId w:val="12"/>
        </w:numPr>
        <w:tabs>
          <w:tab w:val="clear" w:pos="1287"/>
        </w:tabs>
        <w:ind w:left="1134" w:right="5951" w:hanging="567"/>
        <w:rPr>
          <w:szCs w:val="20"/>
        </w:rPr>
      </w:pPr>
      <w:r w:rsidRPr="00E6468A">
        <w:rPr>
          <w:szCs w:val="20"/>
        </w:rPr>
        <w:t>development provides for an integrated environmental open space network incorporating riverine foreshore areas, watercourses, wetlands and remnant vegetation to provide low impact recreational experiences in addition to habitat protection, rehabilitation, wildlife movement, maintenance of riverine and coastal processes, flood conveyance and landscape protection functions;</w:t>
      </w:r>
    </w:p>
    <w:p w14:paraId="7A908CFC" w14:textId="77777777" w:rsidR="00612E82" w:rsidRPr="00E6468A" w:rsidRDefault="00612E82" w:rsidP="00612E82">
      <w:pPr>
        <w:ind w:left="1134" w:right="5951"/>
        <w:rPr>
          <w:szCs w:val="20"/>
        </w:rPr>
      </w:pPr>
    </w:p>
    <w:p w14:paraId="167D8DD8" w14:textId="77777777" w:rsidR="00612E82" w:rsidRPr="00E6468A" w:rsidRDefault="00612E82" w:rsidP="00612E82">
      <w:pPr>
        <w:numPr>
          <w:ilvl w:val="0"/>
          <w:numId w:val="12"/>
        </w:numPr>
        <w:tabs>
          <w:tab w:val="clear" w:pos="1287"/>
        </w:tabs>
        <w:ind w:left="1134" w:right="5951" w:hanging="567"/>
        <w:rPr>
          <w:szCs w:val="20"/>
        </w:rPr>
      </w:pPr>
      <w:r w:rsidRPr="00E6468A">
        <w:rPr>
          <w:szCs w:val="20"/>
        </w:rPr>
        <w:t xml:space="preserve">rural residential development is limited to a small area in the northern portion of </w:t>
      </w:r>
      <w:proofErr w:type="spellStart"/>
      <w:r w:rsidRPr="00E6468A">
        <w:rPr>
          <w:szCs w:val="20"/>
        </w:rPr>
        <w:t>Kalkie</w:t>
      </w:r>
      <w:proofErr w:type="spellEnd"/>
      <w:r w:rsidRPr="00E6468A">
        <w:rPr>
          <w:szCs w:val="20"/>
        </w:rPr>
        <w:t xml:space="preserve"> to ensure that predominantly urban residential development within the </w:t>
      </w:r>
      <w:proofErr w:type="spellStart"/>
      <w:r w:rsidRPr="00E6468A">
        <w:rPr>
          <w:szCs w:val="20"/>
        </w:rPr>
        <w:t>Kalkie</w:t>
      </w:r>
      <w:proofErr w:type="spellEnd"/>
      <w:r w:rsidRPr="00E6468A">
        <w:rPr>
          <w:szCs w:val="20"/>
        </w:rPr>
        <w:t xml:space="preserve">-Ashfield local development area is of an appropriate density to benefit from its proximity to </w:t>
      </w:r>
      <w:proofErr w:type="spellStart"/>
      <w:r w:rsidRPr="00E6468A">
        <w:rPr>
          <w:szCs w:val="20"/>
        </w:rPr>
        <w:t>Rubyanna</w:t>
      </w:r>
      <w:proofErr w:type="spellEnd"/>
      <w:r w:rsidRPr="00E6468A">
        <w:rPr>
          <w:szCs w:val="20"/>
        </w:rPr>
        <w:t xml:space="preserve"> Wastewater Treatment Plant, able to conveniently connect to urban services;</w:t>
      </w:r>
    </w:p>
    <w:p w14:paraId="69B75954" w14:textId="77777777" w:rsidR="00612E82" w:rsidRPr="00E6468A" w:rsidRDefault="00612E82" w:rsidP="00612E82">
      <w:pPr>
        <w:pStyle w:val="ListParagraph"/>
        <w:ind w:right="5951"/>
        <w:rPr>
          <w:szCs w:val="20"/>
        </w:rPr>
      </w:pPr>
    </w:p>
    <w:p w14:paraId="39EADEC2" w14:textId="77777777" w:rsidR="00612E82" w:rsidRPr="00E6468A" w:rsidRDefault="00612E82" w:rsidP="00612E82">
      <w:pPr>
        <w:numPr>
          <w:ilvl w:val="0"/>
          <w:numId w:val="12"/>
        </w:numPr>
        <w:tabs>
          <w:tab w:val="clear" w:pos="1287"/>
        </w:tabs>
        <w:ind w:left="1134" w:right="5951" w:hanging="567"/>
        <w:rPr>
          <w:szCs w:val="20"/>
        </w:rPr>
      </w:pPr>
      <w:r w:rsidRPr="00E6468A">
        <w:rPr>
          <w:szCs w:val="20"/>
        </w:rPr>
        <w:t xml:space="preserve">the open space network in the </w:t>
      </w:r>
      <w:proofErr w:type="spellStart"/>
      <w:r w:rsidRPr="00E6468A">
        <w:rPr>
          <w:szCs w:val="20"/>
        </w:rPr>
        <w:t>Kalkie</w:t>
      </w:r>
      <w:proofErr w:type="spellEnd"/>
      <w:r w:rsidRPr="00E6468A">
        <w:rPr>
          <w:szCs w:val="20"/>
        </w:rPr>
        <w:t>-Ashfield local development area connects with and complements the existing active and passive open space system extending along Bundaberg Creek and Baldwin Swamp Environmental Park into Bundaberg East and Bundaberg South;</w:t>
      </w:r>
    </w:p>
    <w:p w14:paraId="027079E5" w14:textId="77777777" w:rsidR="00612E82" w:rsidRPr="00E6468A" w:rsidRDefault="00612E82" w:rsidP="00612E82">
      <w:pPr>
        <w:pStyle w:val="ListParagraph"/>
        <w:ind w:right="5951"/>
        <w:rPr>
          <w:szCs w:val="20"/>
        </w:rPr>
      </w:pPr>
    </w:p>
    <w:p w14:paraId="3000E942" w14:textId="77777777" w:rsidR="00612E82" w:rsidRPr="00E6468A" w:rsidRDefault="00612E82" w:rsidP="00612E82">
      <w:pPr>
        <w:numPr>
          <w:ilvl w:val="0"/>
          <w:numId w:val="12"/>
        </w:numPr>
        <w:tabs>
          <w:tab w:val="clear" w:pos="1287"/>
        </w:tabs>
        <w:ind w:left="1134" w:right="5951" w:hanging="567"/>
        <w:rPr>
          <w:szCs w:val="20"/>
        </w:rPr>
      </w:pPr>
      <w:r w:rsidRPr="00E6468A">
        <w:rPr>
          <w:szCs w:val="20"/>
        </w:rPr>
        <w:lastRenderedPageBreak/>
        <w:t xml:space="preserve">development maintains and enhances opportunities for an improved linear open space and pedestrian and bicycle path network extending along the Burnett River providing connectivity between the </w:t>
      </w:r>
      <w:proofErr w:type="spellStart"/>
      <w:r w:rsidRPr="00E6468A">
        <w:rPr>
          <w:szCs w:val="20"/>
        </w:rPr>
        <w:t>Kalkie</w:t>
      </w:r>
      <w:proofErr w:type="spellEnd"/>
      <w:r w:rsidRPr="00E6468A">
        <w:rPr>
          <w:szCs w:val="20"/>
        </w:rPr>
        <w:t>-Ashfield local development area and the Bundaberg CBD via East Bundaberg;</w:t>
      </w:r>
    </w:p>
    <w:p w14:paraId="2E01631E" w14:textId="77777777" w:rsidR="00612E82" w:rsidRPr="00E6468A" w:rsidRDefault="00612E82" w:rsidP="00612E82">
      <w:pPr>
        <w:pStyle w:val="ListParagraph"/>
        <w:tabs>
          <w:tab w:val="left" w:pos="5550"/>
        </w:tabs>
        <w:ind w:right="5951"/>
        <w:rPr>
          <w:szCs w:val="20"/>
        </w:rPr>
      </w:pPr>
      <w:r w:rsidRPr="00E6468A">
        <w:rPr>
          <w:szCs w:val="20"/>
        </w:rPr>
        <w:tab/>
      </w:r>
    </w:p>
    <w:p w14:paraId="06445416" w14:textId="77777777" w:rsidR="00612E82" w:rsidRPr="00E6468A" w:rsidRDefault="00612E82" w:rsidP="00612E82">
      <w:pPr>
        <w:numPr>
          <w:ilvl w:val="0"/>
          <w:numId w:val="12"/>
        </w:numPr>
        <w:tabs>
          <w:tab w:val="clear" w:pos="1287"/>
        </w:tabs>
        <w:ind w:left="1134" w:right="5951" w:hanging="567"/>
        <w:rPr>
          <w:szCs w:val="20"/>
        </w:rPr>
      </w:pPr>
      <w:r w:rsidRPr="00E6468A">
        <w:rPr>
          <w:szCs w:val="20"/>
        </w:rPr>
        <w:t>subject to ensuring the safe and efficient operation of rural infrastructure, development aligns components of the road, open space and pedestrian and cycle path networks with the irrigation channel network and cane rail network through Ashfield, to add visual interest to neighbourhoods and establish a cultural connection between urban development and the agricultural heritage of the area;</w:t>
      </w:r>
    </w:p>
    <w:p w14:paraId="065A8FD6" w14:textId="77777777" w:rsidR="00612E82" w:rsidRPr="00E6468A" w:rsidRDefault="00612E82" w:rsidP="00612E82">
      <w:pPr>
        <w:pStyle w:val="ListParagraph"/>
        <w:ind w:right="5951"/>
        <w:rPr>
          <w:szCs w:val="20"/>
        </w:rPr>
      </w:pPr>
    </w:p>
    <w:p w14:paraId="5B4CAEED" w14:textId="77777777" w:rsidR="00612E82" w:rsidRPr="00E6468A" w:rsidRDefault="00612E82" w:rsidP="00612E82">
      <w:pPr>
        <w:numPr>
          <w:ilvl w:val="0"/>
          <w:numId w:val="12"/>
        </w:numPr>
        <w:tabs>
          <w:tab w:val="clear" w:pos="1287"/>
        </w:tabs>
        <w:ind w:left="1134" w:right="5951" w:hanging="567"/>
        <w:rPr>
          <w:szCs w:val="20"/>
        </w:rPr>
      </w:pPr>
      <w:r w:rsidRPr="00E6468A">
        <w:rPr>
          <w:szCs w:val="20"/>
        </w:rPr>
        <w:t>the Bargara Road/</w:t>
      </w:r>
      <w:proofErr w:type="spellStart"/>
      <w:r w:rsidRPr="00E6468A">
        <w:rPr>
          <w:szCs w:val="20"/>
        </w:rPr>
        <w:t>Gahans</w:t>
      </w:r>
      <w:proofErr w:type="spellEnd"/>
      <w:r w:rsidRPr="00E6468A">
        <w:rPr>
          <w:szCs w:val="20"/>
        </w:rPr>
        <w:t xml:space="preserve"> Road/Kingsford Street/Jealous Road intersection is redesigned to improve access and traffic circulation to support the development of new neighbourhoods in </w:t>
      </w:r>
      <w:proofErr w:type="spellStart"/>
      <w:r w:rsidRPr="00E6468A">
        <w:rPr>
          <w:szCs w:val="20"/>
        </w:rPr>
        <w:t>Kalkie</w:t>
      </w:r>
      <w:proofErr w:type="spellEnd"/>
      <w:r w:rsidRPr="00E6468A">
        <w:rPr>
          <w:szCs w:val="20"/>
        </w:rPr>
        <w:t>;</w:t>
      </w:r>
    </w:p>
    <w:p w14:paraId="27DF9E0E" w14:textId="77777777" w:rsidR="00612E82" w:rsidRPr="00E6468A" w:rsidRDefault="00612E82" w:rsidP="00612E82">
      <w:pPr>
        <w:pStyle w:val="ListParagraph"/>
        <w:ind w:right="5951"/>
        <w:rPr>
          <w:szCs w:val="20"/>
        </w:rPr>
      </w:pPr>
    </w:p>
    <w:p w14:paraId="48BF3E66" w14:textId="77777777" w:rsidR="00612E82" w:rsidRPr="00E6468A" w:rsidRDefault="00612E82" w:rsidP="00612E82">
      <w:pPr>
        <w:numPr>
          <w:ilvl w:val="0"/>
          <w:numId w:val="12"/>
        </w:numPr>
        <w:tabs>
          <w:tab w:val="clear" w:pos="1287"/>
        </w:tabs>
        <w:ind w:left="1134" w:right="5951" w:hanging="567"/>
        <w:rPr>
          <w:szCs w:val="20"/>
        </w:rPr>
      </w:pPr>
      <w:r w:rsidRPr="00E6468A">
        <w:rPr>
          <w:szCs w:val="20"/>
        </w:rPr>
        <w:t xml:space="preserve">appropriate physical separation, landscape buffering and/or acoustic attenuation is provided within the local plan area to minimise land use conflicts, maintain residential amenity and protect landscape character values, with a particular focus </w:t>
      </w:r>
      <w:proofErr w:type="gramStart"/>
      <w:r w:rsidRPr="00E6468A">
        <w:rPr>
          <w:szCs w:val="20"/>
        </w:rPr>
        <w:t>on:-</w:t>
      </w:r>
      <w:proofErr w:type="gramEnd"/>
      <w:r w:rsidRPr="00E6468A">
        <w:rPr>
          <w:szCs w:val="20"/>
        </w:rPr>
        <w:t xml:space="preserve"> </w:t>
      </w:r>
    </w:p>
    <w:p w14:paraId="6BC9BB8C" w14:textId="77777777" w:rsidR="00612E82" w:rsidRPr="00E6468A" w:rsidRDefault="00612E82" w:rsidP="00612E82">
      <w:pPr>
        <w:ind w:left="567" w:right="5951"/>
        <w:rPr>
          <w:szCs w:val="20"/>
        </w:rPr>
      </w:pPr>
    </w:p>
    <w:p w14:paraId="352CEAA9" w14:textId="77777777" w:rsidR="00612E82" w:rsidRPr="00E6468A" w:rsidRDefault="00612E82" w:rsidP="00612E82">
      <w:pPr>
        <w:pStyle w:val="ListParagraph"/>
        <w:numPr>
          <w:ilvl w:val="2"/>
          <w:numId w:val="18"/>
        </w:numPr>
        <w:ind w:right="5951"/>
        <w:contextualSpacing/>
        <w:rPr>
          <w:szCs w:val="20"/>
        </w:rPr>
      </w:pPr>
      <w:r w:rsidRPr="00E6468A">
        <w:rPr>
          <w:szCs w:val="20"/>
        </w:rPr>
        <w:t xml:space="preserve">maintaining the long-term productive use of agricultural land surrounding the </w:t>
      </w:r>
      <w:proofErr w:type="spellStart"/>
      <w:r w:rsidRPr="00E6468A">
        <w:rPr>
          <w:szCs w:val="20"/>
        </w:rPr>
        <w:t>Kalkie</w:t>
      </w:r>
      <w:proofErr w:type="spellEnd"/>
      <w:r w:rsidRPr="00E6468A">
        <w:rPr>
          <w:szCs w:val="20"/>
        </w:rPr>
        <w:t>-Ashfield local development area;</w:t>
      </w:r>
    </w:p>
    <w:p w14:paraId="17333887" w14:textId="77777777" w:rsidR="00612E82" w:rsidRPr="00E6468A" w:rsidRDefault="00612E82" w:rsidP="00612E82">
      <w:pPr>
        <w:pStyle w:val="ListParagraph"/>
        <w:numPr>
          <w:ilvl w:val="2"/>
          <w:numId w:val="18"/>
        </w:numPr>
        <w:ind w:right="5951"/>
        <w:contextualSpacing/>
        <w:rPr>
          <w:szCs w:val="20"/>
        </w:rPr>
      </w:pPr>
      <w:r w:rsidRPr="00E6468A">
        <w:rPr>
          <w:szCs w:val="20"/>
        </w:rPr>
        <w:t xml:space="preserve">maintaining the short to medium term productive use of agricultural land within the </w:t>
      </w:r>
      <w:proofErr w:type="spellStart"/>
      <w:r w:rsidRPr="00E6468A">
        <w:rPr>
          <w:szCs w:val="20"/>
        </w:rPr>
        <w:t>Kalkie</w:t>
      </w:r>
      <w:proofErr w:type="spellEnd"/>
      <w:r w:rsidRPr="00E6468A">
        <w:rPr>
          <w:szCs w:val="20"/>
        </w:rPr>
        <w:t>-Ashfield local development area;</w:t>
      </w:r>
    </w:p>
    <w:p w14:paraId="230C526F" w14:textId="77777777" w:rsidR="00612E82" w:rsidRPr="00E6468A" w:rsidRDefault="00612E82" w:rsidP="00612E82">
      <w:pPr>
        <w:pStyle w:val="ListParagraph"/>
        <w:numPr>
          <w:ilvl w:val="2"/>
          <w:numId w:val="18"/>
        </w:numPr>
        <w:ind w:right="5951"/>
        <w:contextualSpacing/>
        <w:rPr>
          <w:szCs w:val="20"/>
        </w:rPr>
      </w:pPr>
      <w:r w:rsidRPr="00E6468A">
        <w:rPr>
          <w:szCs w:val="20"/>
        </w:rPr>
        <w:t xml:space="preserve">separation and buffering of sensitive land </w:t>
      </w:r>
      <w:proofErr w:type="gramStart"/>
      <w:r w:rsidRPr="00E6468A">
        <w:rPr>
          <w:szCs w:val="20"/>
        </w:rPr>
        <w:t>uses</w:t>
      </w:r>
      <w:proofErr w:type="gramEnd"/>
      <w:r w:rsidRPr="00E6468A">
        <w:rPr>
          <w:szCs w:val="20"/>
        </w:rPr>
        <w:t xml:space="preserve"> to industrial activity in Bundaberg East to the south of Jealous Road and in the vicinity of Alexandra Street; and</w:t>
      </w:r>
    </w:p>
    <w:p w14:paraId="2AC3396D" w14:textId="77777777" w:rsidR="00612E82" w:rsidRPr="00E6468A" w:rsidRDefault="00612E82" w:rsidP="00612E82">
      <w:pPr>
        <w:pStyle w:val="ListParagraph"/>
        <w:numPr>
          <w:ilvl w:val="2"/>
          <w:numId w:val="18"/>
        </w:numPr>
        <w:ind w:right="5951"/>
        <w:contextualSpacing/>
        <w:rPr>
          <w:szCs w:val="20"/>
        </w:rPr>
      </w:pPr>
      <w:r w:rsidRPr="00E6468A">
        <w:rPr>
          <w:szCs w:val="20"/>
        </w:rPr>
        <w:t>the interface between urban development, major roads and the sugar cane rail network.</w:t>
      </w:r>
    </w:p>
    <w:p w14:paraId="1E7EE0EB" w14:textId="77777777" w:rsidR="00612E82" w:rsidRPr="00E6468A" w:rsidRDefault="00612E82" w:rsidP="00612E82">
      <w:pPr>
        <w:ind w:right="5951"/>
        <w:rPr>
          <w:szCs w:val="20"/>
        </w:rPr>
      </w:pPr>
    </w:p>
    <w:p w14:paraId="04875471" w14:textId="77777777" w:rsidR="00612E82" w:rsidRPr="00E6468A" w:rsidRDefault="00612E82" w:rsidP="00612E82">
      <w:pPr>
        <w:pStyle w:val="Heading4"/>
        <w:tabs>
          <w:tab w:val="clear" w:pos="1134"/>
        </w:tabs>
        <w:spacing w:before="0" w:after="200"/>
        <w:ind w:right="5951"/>
      </w:pPr>
      <w:r w:rsidRPr="00E6468A">
        <w:tab/>
        <w:t>Specific benchmarks for assessment</w:t>
      </w:r>
    </w:p>
    <w:p w14:paraId="56BF27F3" w14:textId="77777777" w:rsidR="00612E82" w:rsidRPr="00E6468A" w:rsidRDefault="00612E82" w:rsidP="00612E82">
      <w:pPr>
        <w:tabs>
          <w:tab w:val="left" w:pos="1701"/>
        </w:tabs>
        <w:spacing w:before="100" w:after="200"/>
        <w:ind w:left="1701" w:right="5951" w:hanging="1701"/>
        <w:outlineLvl w:val="6"/>
        <w:rPr>
          <w:b/>
          <w:bCs/>
          <w:iCs/>
        </w:rPr>
      </w:pPr>
      <w:bookmarkStart w:id="3" w:name="_Toc357778861"/>
      <w:bookmarkStart w:id="4" w:name="_Toc387356484"/>
      <w:r w:rsidRPr="00E6468A">
        <w:rPr>
          <w:b/>
          <w:bCs/>
          <w:iCs/>
        </w:rPr>
        <w:t>Table 7.2.2.3.1</w:t>
      </w:r>
      <w:r w:rsidRPr="00E6468A">
        <w:rPr>
          <w:b/>
          <w:bCs/>
          <w:iCs/>
        </w:rPr>
        <w:tab/>
        <w:t>Benchmarks for assessable development</w:t>
      </w:r>
      <w:bookmarkEnd w:id="3"/>
      <w:bookmarkEnd w:id="4"/>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24"/>
        <w:gridCol w:w="4081"/>
        <w:gridCol w:w="5439"/>
      </w:tblGrid>
      <w:tr w:rsidR="00612E82" w:rsidRPr="00E6468A" w14:paraId="34EBBE26" w14:textId="7D758194" w:rsidTr="00612E82">
        <w:trPr>
          <w:tblHeader/>
        </w:trPr>
        <w:tc>
          <w:tcPr>
            <w:tcW w:w="4424" w:type="dxa"/>
            <w:tcBorders>
              <w:top w:val="single" w:sz="4" w:space="0" w:color="auto"/>
              <w:left w:val="single" w:sz="4" w:space="0" w:color="auto"/>
              <w:bottom w:val="single" w:sz="4" w:space="0" w:color="auto"/>
              <w:right w:val="single" w:sz="4" w:space="0" w:color="auto"/>
            </w:tcBorders>
            <w:shd w:val="clear" w:color="auto" w:fill="000000"/>
          </w:tcPr>
          <w:p w14:paraId="507EED75" w14:textId="77777777" w:rsidR="00612E82" w:rsidRPr="00E6468A" w:rsidRDefault="00612E82" w:rsidP="00612E82">
            <w:pPr>
              <w:rPr>
                <w:b/>
                <w:szCs w:val="18"/>
              </w:rPr>
            </w:pPr>
            <w:r w:rsidRPr="00E6468A">
              <w:rPr>
                <w:b/>
                <w:szCs w:val="18"/>
              </w:rPr>
              <w:t>Performance outcomes</w:t>
            </w:r>
          </w:p>
        </w:tc>
        <w:tc>
          <w:tcPr>
            <w:tcW w:w="4081" w:type="dxa"/>
            <w:tcBorders>
              <w:top w:val="single" w:sz="4" w:space="0" w:color="auto"/>
              <w:left w:val="single" w:sz="4" w:space="0" w:color="auto"/>
              <w:bottom w:val="single" w:sz="4" w:space="0" w:color="auto"/>
              <w:right w:val="single" w:sz="4" w:space="0" w:color="auto"/>
            </w:tcBorders>
            <w:shd w:val="clear" w:color="auto" w:fill="000000"/>
          </w:tcPr>
          <w:p w14:paraId="3068860F" w14:textId="77777777" w:rsidR="00612E82" w:rsidRPr="00E6468A" w:rsidRDefault="00612E82" w:rsidP="00612E82">
            <w:pPr>
              <w:rPr>
                <w:b/>
                <w:szCs w:val="18"/>
              </w:rPr>
            </w:pPr>
            <w:r w:rsidRPr="00E6468A">
              <w:rPr>
                <w:b/>
                <w:szCs w:val="18"/>
              </w:rPr>
              <w:t>Acceptable outcomes</w:t>
            </w:r>
          </w:p>
        </w:tc>
        <w:tc>
          <w:tcPr>
            <w:tcW w:w="5439" w:type="dxa"/>
            <w:tcBorders>
              <w:top w:val="single" w:sz="4" w:space="0" w:color="auto"/>
              <w:left w:val="single" w:sz="4" w:space="0" w:color="auto"/>
              <w:bottom w:val="single" w:sz="4" w:space="0" w:color="auto"/>
              <w:right w:val="single" w:sz="4" w:space="0" w:color="auto"/>
            </w:tcBorders>
            <w:shd w:val="clear" w:color="auto" w:fill="000000"/>
          </w:tcPr>
          <w:p w14:paraId="1FF9105D" w14:textId="47194693" w:rsidR="00612E82" w:rsidRPr="00E6468A" w:rsidRDefault="00612E82" w:rsidP="00612E82">
            <w:pPr>
              <w:rPr>
                <w:b/>
                <w:szCs w:val="18"/>
              </w:rPr>
            </w:pPr>
            <w:r w:rsidRPr="00C50906">
              <w:rPr>
                <w:rFonts w:cs="Arial"/>
                <w:b/>
                <w:sz w:val="18"/>
                <w:szCs w:val="18"/>
              </w:rPr>
              <w:t>Compliance / Representations</w:t>
            </w:r>
          </w:p>
        </w:tc>
      </w:tr>
      <w:tr w:rsidR="00612E82" w:rsidRPr="00E6468A" w14:paraId="09BD3151" w14:textId="30F59488" w:rsidTr="00612E82">
        <w:tc>
          <w:tcPr>
            <w:tcW w:w="8505" w:type="dxa"/>
            <w:gridSpan w:val="2"/>
            <w:shd w:val="clear" w:color="auto" w:fill="D9D9D9"/>
          </w:tcPr>
          <w:p w14:paraId="52EA8355" w14:textId="77777777" w:rsidR="00612E82" w:rsidRPr="00E6468A" w:rsidRDefault="00612E82" w:rsidP="00612E82">
            <w:pPr>
              <w:rPr>
                <w:b/>
                <w:i/>
                <w:szCs w:val="18"/>
              </w:rPr>
            </w:pPr>
            <w:r w:rsidRPr="00E6468A">
              <w:rPr>
                <w:b/>
                <w:i/>
                <w:szCs w:val="18"/>
              </w:rPr>
              <w:t>Pattern of settlement and land use structure</w:t>
            </w:r>
          </w:p>
        </w:tc>
        <w:tc>
          <w:tcPr>
            <w:tcW w:w="5439" w:type="dxa"/>
            <w:shd w:val="clear" w:color="auto" w:fill="D9D9D9"/>
          </w:tcPr>
          <w:p w14:paraId="584FE997" w14:textId="77777777" w:rsidR="00612E82" w:rsidRPr="00E6468A" w:rsidRDefault="00612E82" w:rsidP="00612E82">
            <w:pPr>
              <w:rPr>
                <w:b/>
                <w:i/>
                <w:szCs w:val="18"/>
              </w:rPr>
            </w:pPr>
          </w:p>
        </w:tc>
      </w:tr>
      <w:tr w:rsidR="00612E82" w:rsidRPr="00E6468A" w14:paraId="0D3A920C" w14:textId="0CC12AF0" w:rsidTr="00612E82">
        <w:tc>
          <w:tcPr>
            <w:tcW w:w="4424" w:type="dxa"/>
            <w:shd w:val="clear" w:color="auto" w:fill="auto"/>
          </w:tcPr>
          <w:p w14:paraId="3A19B74F" w14:textId="77777777" w:rsidR="00612E82" w:rsidRPr="00E6468A" w:rsidRDefault="00612E82" w:rsidP="00612E82">
            <w:pPr>
              <w:rPr>
                <w:b/>
                <w:szCs w:val="18"/>
              </w:rPr>
            </w:pPr>
            <w:r w:rsidRPr="00E6468A">
              <w:rPr>
                <w:b/>
                <w:szCs w:val="18"/>
              </w:rPr>
              <w:t>PO1</w:t>
            </w:r>
          </w:p>
          <w:p w14:paraId="079A2519" w14:textId="77777777" w:rsidR="00612E82" w:rsidRPr="00E6468A" w:rsidRDefault="00612E82" w:rsidP="00612E82">
            <w:pPr>
              <w:rPr>
                <w:szCs w:val="18"/>
              </w:rPr>
            </w:pPr>
            <w:r w:rsidRPr="00E6468A">
              <w:rPr>
                <w:szCs w:val="18"/>
              </w:rPr>
              <w:t xml:space="preserve">The pattern of settlement and land use </w:t>
            </w:r>
            <w:proofErr w:type="gramStart"/>
            <w:r w:rsidRPr="00E6468A">
              <w:rPr>
                <w:szCs w:val="18"/>
              </w:rPr>
              <w:t>structure:-</w:t>
            </w:r>
            <w:proofErr w:type="gramEnd"/>
            <w:r w:rsidRPr="00E6468A">
              <w:rPr>
                <w:szCs w:val="18"/>
              </w:rPr>
              <w:t xml:space="preserve"> </w:t>
            </w:r>
          </w:p>
          <w:p w14:paraId="3F8DE9ED" w14:textId="77777777" w:rsidR="00612E82" w:rsidRPr="00E6468A" w:rsidRDefault="00612E82" w:rsidP="00612E82">
            <w:pPr>
              <w:numPr>
                <w:ilvl w:val="0"/>
                <w:numId w:val="20"/>
              </w:numPr>
              <w:rPr>
                <w:szCs w:val="18"/>
              </w:rPr>
            </w:pPr>
            <w:r w:rsidRPr="00E6468A">
              <w:rPr>
                <w:szCs w:val="18"/>
              </w:rPr>
              <w:lastRenderedPageBreak/>
              <w:t>appropriately responds to structure planning undertaken by the Council;</w:t>
            </w:r>
          </w:p>
          <w:p w14:paraId="42540BA1" w14:textId="77777777" w:rsidR="00612E82" w:rsidRPr="00E6468A" w:rsidRDefault="00612E82" w:rsidP="00612E82">
            <w:pPr>
              <w:numPr>
                <w:ilvl w:val="0"/>
                <w:numId w:val="20"/>
              </w:numPr>
              <w:rPr>
                <w:szCs w:val="18"/>
              </w:rPr>
            </w:pPr>
            <w:r w:rsidRPr="00E6468A">
              <w:rPr>
                <w:szCs w:val="18"/>
              </w:rPr>
              <w:t>provides for the growth area to be developed as a series of high quality, interconnected residential neighbourhoods offering a diverse mix of generally low to medium density accommodation ranging from dwelling houses on conventional size lots to appropriately located multi-unit residential development in various configurations;</w:t>
            </w:r>
          </w:p>
          <w:p w14:paraId="2D4EF3DC" w14:textId="77777777" w:rsidR="00612E82" w:rsidRPr="00E6468A" w:rsidRDefault="00612E82" w:rsidP="00612E82">
            <w:pPr>
              <w:numPr>
                <w:ilvl w:val="0"/>
                <w:numId w:val="20"/>
              </w:numPr>
              <w:rPr>
                <w:szCs w:val="18"/>
              </w:rPr>
            </w:pPr>
            <w:r w:rsidRPr="00E6468A">
              <w:rPr>
                <w:szCs w:val="18"/>
              </w:rPr>
              <w:t xml:space="preserve">occurs in a logical sequence that ensures the timely and efficient use of land and provision of infrastructure; </w:t>
            </w:r>
          </w:p>
          <w:p w14:paraId="48EE06A1" w14:textId="77777777" w:rsidR="00612E82" w:rsidRPr="00E6468A" w:rsidRDefault="00612E82" w:rsidP="00612E82">
            <w:pPr>
              <w:numPr>
                <w:ilvl w:val="0"/>
                <w:numId w:val="20"/>
              </w:numPr>
              <w:rPr>
                <w:szCs w:val="18"/>
              </w:rPr>
            </w:pPr>
            <w:r w:rsidRPr="00E6468A">
              <w:rPr>
                <w:szCs w:val="18"/>
              </w:rPr>
              <w:t>avoids environmentally significant areas, and areas subject to an unacceptable risk from natural hazards;</w:t>
            </w:r>
          </w:p>
          <w:p w14:paraId="6E8121CE" w14:textId="77777777" w:rsidR="00612E82" w:rsidRPr="00E6468A" w:rsidRDefault="00612E82" w:rsidP="00612E82">
            <w:pPr>
              <w:numPr>
                <w:ilvl w:val="0"/>
                <w:numId w:val="20"/>
              </w:numPr>
              <w:rPr>
                <w:szCs w:val="18"/>
              </w:rPr>
            </w:pPr>
            <w:r w:rsidRPr="00E6468A">
              <w:rPr>
                <w:szCs w:val="18"/>
              </w:rPr>
              <w:t xml:space="preserve">preserves significant natural features and landscape values including the Burnett River foreshore, the ridgeline east of the river in </w:t>
            </w:r>
            <w:proofErr w:type="spellStart"/>
            <w:r w:rsidRPr="00E6468A">
              <w:rPr>
                <w:szCs w:val="18"/>
              </w:rPr>
              <w:t>Kalkie</w:t>
            </w:r>
            <w:proofErr w:type="spellEnd"/>
            <w:r w:rsidRPr="00E6468A">
              <w:rPr>
                <w:szCs w:val="18"/>
              </w:rPr>
              <w:t xml:space="preserve">, </w:t>
            </w:r>
            <w:r w:rsidRPr="00E6468A">
              <w:rPr>
                <w:szCs w:val="20"/>
              </w:rPr>
              <w:t xml:space="preserve">surrounding areas of rural landscape character, </w:t>
            </w:r>
            <w:r w:rsidRPr="00E6468A">
              <w:rPr>
                <w:szCs w:val="18"/>
              </w:rPr>
              <w:t xml:space="preserve">the natural path of defined watercourses and areas of environmental significance (including </w:t>
            </w:r>
            <w:proofErr w:type="spellStart"/>
            <w:r w:rsidRPr="00E6468A">
              <w:rPr>
                <w:szCs w:val="18"/>
              </w:rPr>
              <w:t>Woongarra</w:t>
            </w:r>
            <w:proofErr w:type="spellEnd"/>
            <w:r w:rsidRPr="00E6468A">
              <w:rPr>
                <w:szCs w:val="18"/>
              </w:rPr>
              <w:t xml:space="preserve"> Scrub);</w:t>
            </w:r>
          </w:p>
          <w:p w14:paraId="6AFADB70" w14:textId="77777777" w:rsidR="00612E82" w:rsidRPr="00E6468A" w:rsidRDefault="00612E82" w:rsidP="00612E82">
            <w:pPr>
              <w:numPr>
                <w:ilvl w:val="0"/>
                <w:numId w:val="20"/>
              </w:numPr>
              <w:rPr>
                <w:szCs w:val="18"/>
              </w:rPr>
            </w:pPr>
            <w:r w:rsidRPr="00E6468A">
              <w:rPr>
                <w:szCs w:val="18"/>
              </w:rPr>
              <w:t>incorporates adequate buffering and separation between incompatible land uses; and</w:t>
            </w:r>
          </w:p>
          <w:p w14:paraId="34C13E6A" w14:textId="77777777" w:rsidR="00612E82" w:rsidRPr="00E6468A" w:rsidRDefault="00612E82" w:rsidP="00612E82">
            <w:pPr>
              <w:numPr>
                <w:ilvl w:val="0"/>
                <w:numId w:val="20"/>
              </w:numPr>
              <w:rPr>
                <w:szCs w:val="18"/>
              </w:rPr>
            </w:pPr>
            <w:r w:rsidRPr="00E6468A">
              <w:rPr>
                <w:szCs w:val="18"/>
              </w:rPr>
              <w:t>provides connections to and continuity with the established Bundaberg settlement pattern through integration between new and existing components of the movement network and the open space network.</w:t>
            </w:r>
          </w:p>
        </w:tc>
        <w:tc>
          <w:tcPr>
            <w:tcW w:w="4081" w:type="dxa"/>
            <w:shd w:val="clear" w:color="auto" w:fill="auto"/>
          </w:tcPr>
          <w:p w14:paraId="7484438B" w14:textId="77777777" w:rsidR="00612E82" w:rsidRPr="00E6468A" w:rsidRDefault="00612E82" w:rsidP="00612E82">
            <w:pPr>
              <w:rPr>
                <w:b/>
                <w:szCs w:val="18"/>
              </w:rPr>
            </w:pPr>
            <w:r w:rsidRPr="00E6468A">
              <w:rPr>
                <w:b/>
                <w:szCs w:val="18"/>
              </w:rPr>
              <w:lastRenderedPageBreak/>
              <w:t>AO1</w:t>
            </w:r>
          </w:p>
          <w:p w14:paraId="11201FF0" w14:textId="77777777" w:rsidR="00612E82" w:rsidRPr="00E6468A" w:rsidRDefault="00612E82" w:rsidP="00612E82">
            <w:pPr>
              <w:rPr>
                <w:i/>
                <w:szCs w:val="18"/>
              </w:rPr>
            </w:pPr>
            <w:r w:rsidRPr="00E6468A">
              <w:rPr>
                <w:i/>
                <w:szCs w:val="18"/>
              </w:rPr>
              <w:t>In partial fulfilment only of Performance outcome PO</w:t>
            </w:r>
            <w:proofErr w:type="gramStart"/>
            <w:r w:rsidRPr="00E6468A">
              <w:rPr>
                <w:i/>
                <w:szCs w:val="18"/>
              </w:rPr>
              <w:t>1:-</w:t>
            </w:r>
            <w:proofErr w:type="gramEnd"/>
          </w:p>
          <w:p w14:paraId="1875F828" w14:textId="77777777" w:rsidR="00612E82" w:rsidRPr="00E6468A" w:rsidRDefault="00612E82" w:rsidP="00612E82">
            <w:pPr>
              <w:rPr>
                <w:i/>
                <w:szCs w:val="18"/>
              </w:rPr>
            </w:pPr>
          </w:p>
          <w:p w14:paraId="00BDD254" w14:textId="77777777" w:rsidR="00612E82" w:rsidRPr="00E6468A" w:rsidRDefault="00612E82" w:rsidP="00612E82">
            <w:pPr>
              <w:rPr>
                <w:szCs w:val="18"/>
              </w:rPr>
            </w:pPr>
            <w:r w:rsidRPr="00E6468A">
              <w:rPr>
                <w:szCs w:val="18"/>
              </w:rPr>
              <w:lastRenderedPageBreak/>
              <w:t xml:space="preserve">Development conforms to a pattern of settlement and land use structure that is generally in accordance with the structure planning elements identified on </w:t>
            </w:r>
            <w:r w:rsidRPr="00E6468A">
              <w:rPr>
                <w:b/>
                <w:szCs w:val="18"/>
              </w:rPr>
              <w:t>Figure 7.2.2 (</w:t>
            </w:r>
            <w:proofErr w:type="spellStart"/>
            <w:r w:rsidRPr="00E6468A">
              <w:rPr>
                <w:b/>
                <w:szCs w:val="18"/>
              </w:rPr>
              <w:t>Kalkie</w:t>
            </w:r>
            <w:proofErr w:type="spellEnd"/>
            <w:r w:rsidRPr="00E6468A">
              <w:rPr>
                <w:b/>
                <w:szCs w:val="18"/>
              </w:rPr>
              <w:t>-Ashfield local development area structure plan concept)</w:t>
            </w:r>
            <w:r w:rsidRPr="00E6468A">
              <w:rPr>
                <w:szCs w:val="18"/>
              </w:rPr>
              <w:t>.</w:t>
            </w:r>
            <w:r w:rsidRPr="00E6468A">
              <w:rPr>
                <w:color w:val="FF0000"/>
                <w:szCs w:val="18"/>
              </w:rPr>
              <w:t xml:space="preserve">  </w:t>
            </w:r>
          </w:p>
        </w:tc>
        <w:tc>
          <w:tcPr>
            <w:tcW w:w="5439" w:type="dxa"/>
          </w:tcPr>
          <w:p w14:paraId="6998EDEF" w14:textId="2FB54BDF" w:rsidR="00612E82" w:rsidRPr="00E6468A" w:rsidRDefault="00612E82" w:rsidP="00612E82">
            <w:pPr>
              <w:rPr>
                <w:b/>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612E82" w:rsidRPr="00E6468A" w14:paraId="25708FA6" w14:textId="2AECE53C" w:rsidTr="00612E82">
        <w:tc>
          <w:tcPr>
            <w:tcW w:w="8505" w:type="dxa"/>
            <w:gridSpan w:val="2"/>
            <w:shd w:val="clear" w:color="auto" w:fill="D9D9D9"/>
          </w:tcPr>
          <w:p w14:paraId="1B018C50" w14:textId="77777777" w:rsidR="00612E82" w:rsidRPr="00E6468A" w:rsidRDefault="00612E82" w:rsidP="00146513">
            <w:pPr>
              <w:rPr>
                <w:b/>
                <w:i/>
                <w:szCs w:val="18"/>
              </w:rPr>
            </w:pPr>
            <w:r w:rsidRPr="00E6468A">
              <w:rPr>
                <w:b/>
                <w:i/>
                <w:szCs w:val="18"/>
              </w:rPr>
              <w:t>Movement network</w:t>
            </w:r>
          </w:p>
        </w:tc>
        <w:tc>
          <w:tcPr>
            <w:tcW w:w="5439" w:type="dxa"/>
            <w:shd w:val="clear" w:color="auto" w:fill="D9D9D9"/>
          </w:tcPr>
          <w:p w14:paraId="5D22E87D" w14:textId="77777777" w:rsidR="00612E82" w:rsidRPr="00E6468A" w:rsidRDefault="00612E82" w:rsidP="00146513">
            <w:pPr>
              <w:rPr>
                <w:b/>
                <w:i/>
                <w:szCs w:val="18"/>
              </w:rPr>
            </w:pPr>
          </w:p>
        </w:tc>
      </w:tr>
      <w:tr w:rsidR="00612E82" w:rsidRPr="00E6468A" w14:paraId="65C8313E" w14:textId="1F3DFE5F" w:rsidTr="00612E82">
        <w:tc>
          <w:tcPr>
            <w:tcW w:w="4424" w:type="dxa"/>
            <w:tcBorders>
              <w:bottom w:val="single" w:sz="4" w:space="0" w:color="auto"/>
            </w:tcBorders>
            <w:shd w:val="clear" w:color="auto" w:fill="auto"/>
          </w:tcPr>
          <w:p w14:paraId="6A43A66F" w14:textId="77777777" w:rsidR="00612E82" w:rsidRPr="00E6468A" w:rsidRDefault="00612E82" w:rsidP="00146513">
            <w:pPr>
              <w:rPr>
                <w:b/>
                <w:szCs w:val="18"/>
              </w:rPr>
            </w:pPr>
            <w:r w:rsidRPr="00E6468A">
              <w:rPr>
                <w:b/>
                <w:szCs w:val="18"/>
              </w:rPr>
              <w:t>PO2</w:t>
            </w:r>
          </w:p>
          <w:p w14:paraId="4054F1B0" w14:textId="77777777" w:rsidR="00612E82" w:rsidRPr="00E6468A" w:rsidRDefault="00612E82" w:rsidP="00146513">
            <w:pPr>
              <w:rPr>
                <w:szCs w:val="18"/>
              </w:rPr>
            </w:pPr>
            <w:r w:rsidRPr="00E6468A">
              <w:rPr>
                <w:szCs w:val="18"/>
              </w:rPr>
              <w:t xml:space="preserve">Development supports the establishment of an efficient, functional and integrated movement network </w:t>
            </w:r>
            <w:proofErr w:type="gramStart"/>
            <w:r w:rsidRPr="00E6468A">
              <w:rPr>
                <w:szCs w:val="18"/>
              </w:rPr>
              <w:t>that:-</w:t>
            </w:r>
            <w:proofErr w:type="gramEnd"/>
          </w:p>
          <w:p w14:paraId="15C8CAC0" w14:textId="77777777" w:rsidR="00612E82" w:rsidRPr="00E6468A" w:rsidRDefault="00612E82" w:rsidP="00612E82">
            <w:pPr>
              <w:numPr>
                <w:ilvl w:val="0"/>
                <w:numId w:val="21"/>
              </w:numPr>
              <w:rPr>
                <w:szCs w:val="18"/>
              </w:rPr>
            </w:pPr>
            <w:r w:rsidRPr="00E6468A">
              <w:rPr>
                <w:szCs w:val="18"/>
              </w:rPr>
              <w:t xml:space="preserve">strengthens road and other connections internally within the </w:t>
            </w:r>
            <w:proofErr w:type="spellStart"/>
            <w:r w:rsidRPr="00E6468A">
              <w:rPr>
                <w:szCs w:val="18"/>
              </w:rPr>
              <w:t>Kalkie</w:t>
            </w:r>
            <w:proofErr w:type="spellEnd"/>
            <w:r w:rsidRPr="00E6468A">
              <w:rPr>
                <w:szCs w:val="18"/>
              </w:rPr>
              <w:t xml:space="preserve">-Ashfield local </w:t>
            </w:r>
            <w:r w:rsidRPr="00E6468A">
              <w:rPr>
                <w:szCs w:val="18"/>
              </w:rPr>
              <w:lastRenderedPageBreak/>
              <w:t xml:space="preserve">development area and externally to the established Bundaberg settlement pattern; </w:t>
            </w:r>
          </w:p>
          <w:p w14:paraId="5316EB1C" w14:textId="77777777" w:rsidR="00612E82" w:rsidRPr="00E6468A" w:rsidRDefault="00612E82" w:rsidP="00612E82">
            <w:pPr>
              <w:numPr>
                <w:ilvl w:val="0"/>
                <w:numId w:val="21"/>
              </w:numPr>
              <w:rPr>
                <w:szCs w:val="18"/>
              </w:rPr>
            </w:pPr>
            <w:r w:rsidRPr="00E6468A">
              <w:rPr>
                <w:szCs w:val="18"/>
              </w:rPr>
              <w:t xml:space="preserve">improves north-south connectivity between existing and new residential neighbourhoods to the proposed local activity centre for the </w:t>
            </w:r>
            <w:proofErr w:type="spellStart"/>
            <w:r w:rsidRPr="00E6468A">
              <w:rPr>
                <w:szCs w:val="18"/>
              </w:rPr>
              <w:t>Kalkie</w:t>
            </w:r>
            <w:proofErr w:type="spellEnd"/>
            <w:r w:rsidRPr="00E6468A">
              <w:rPr>
                <w:szCs w:val="18"/>
              </w:rPr>
              <w:t xml:space="preserve">-Ashfield local development area on FE Walker Street/Bundaberg Port Road; </w:t>
            </w:r>
          </w:p>
          <w:p w14:paraId="31467654" w14:textId="77777777" w:rsidR="00612E82" w:rsidRPr="00E6468A" w:rsidRDefault="00612E82" w:rsidP="00612E82">
            <w:pPr>
              <w:numPr>
                <w:ilvl w:val="0"/>
                <w:numId w:val="21"/>
              </w:numPr>
              <w:rPr>
                <w:szCs w:val="18"/>
              </w:rPr>
            </w:pPr>
            <w:r w:rsidRPr="00E6468A">
              <w:rPr>
                <w:szCs w:val="18"/>
              </w:rPr>
              <w:t xml:space="preserve">strengthens east-west connectivity by providing an integrated movement network that links the </w:t>
            </w:r>
            <w:proofErr w:type="spellStart"/>
            <w:r w:rsidRPr="00E6468A">
              <w:rPr>
                <w:szCs w:val="18"/>
              </w:rPr>
              <w:t>Kalkie</w:t>
            </w:r>
            <w:proofErr w:type="spellEnd"/>
            <w:r w:rsidRPr="00E6468A">
              <w:rPr>
                <w:szCs w:val="18"/>
              </w:rPr>
              <w:t xml:space="preserve">-Ashfield local development area to the Burnett River, the Bundaberg CBD and surrounding residential neighbourhoods; </w:t>
            </w:r>
          </w:p>
          <w:p w14:paraId="7736303B" w14:textId="77777777" w:rsidR="00612E82" w:rsidRPr="00E6468A" w:rsidRDefault="00612E82" w:rsidP="00612E82">
            <w:pPr>
              <w:numPr>
                <w:ilvl w:val="0"/>
                <w:numId w:val="21"/>
              </w:numPr>
              <w:rPr>
                <w:szCs w:val="18"/>
              </w:rPr>
            </w:pPr>
            <w:r w:rsidRPr="00E6468A">
              <w:rPr>
                <w:szCs w:val="18"/>
              </w:rPr>
              <w:t>promotes the use of pedestrian, cycle and public transport modes; and</w:t>
            </w:r>
          </w:p>
          <w:p w14:paraId="74E53EB7" w14:textId="77777777" w:rsidR="00612E82" w:rsidRPr="00E6468A" w:rsidRDefault="00612E82" w:rsidP="00612E82">
            <w:pPr>
              <w:numPr>
                <w:ilvl w:val="0"/>
                <w:numId w:val="21"/>
              </w:numPr>
              <w:rPr>
                <w:szCs w:val="18"/>
              </w:rPr>
            </w:pPr>
            <w:r w:rsidRPr="00E6468A">
              <w:rPr>
                <w:szCs w:val="18"/>
              </w:rPr>
              <w:t xml:space="preserve">provides for pedestrian and bicycle path connections between the </w:t>
            </w:r>
            <w:proofErr w:type="spellStart"/>
            <w:r w:rsidRPr="00E6468A">
              <w:rPr>
                <w:szCs w:val="18"/>
              </w:rPr>
              <w:t>Kalkie</w:t>
            </w:r>
            <w:proofErr w:type="spellEnd"/>
            <w:r w:rsidRPr="00E6468A">
              <w:rPr>
                <w:szCs w:val="18"/>
              </w:rPr>
              <w:t>-Ashfield local development area and the Bundaberg CBD via a linear network of open space including Baldwin Swamp Environmental Park.</w:t>
            </w:r>
          </w:p>
        </w:tc>
        <w:tc>
          <w:tcPr>
            <w:tcW w:w="4081" w:type="dxa"/>
            <w:tcBorders>
              <w:bottom w:val="single" w:sz="4" w:space="0" w:color="auto"/>
            </w:tcBorders>
            <w:shd w:val="clear" w:color="auto" w:fill="auto"/>
          </w:tcPr>
          <w:p w14:paraId="19A3F947" w14:textId="77777777" w:rsidR="00612E82" w:rsidRPr="00E6468A" w:rsidRDefault="00612E82" w:rsidP="00146513">
            <w:pPr>
              <w:rPr>
                <w:b/>
                <w:szCs w:val="18"/>
              </w:rPr>
            </w:pPr>
            <w:r w:rsidRPr="00E6468A">
              <w:rPr>
                <w:b/>
                <w:szCs w:val="18"/>
              </w:rPr>
              <w:lastRenderedPageBreak/>
              <w:t>AO2</w:t>
            </w:r>
          </w:p>
          <w:p w14:paraId="429EE9F1" w14:textId="77777777" w:rsidR="00612E82" w:rsidRPr="00E6468A" w:rsidRDefault="00612E82" w:rsidP="00146513">
            <w:pPr>
              <w:rPr>
                <w:i/>
                <w:szCs w:val="18"/>
              </w:rPr>
            </w:pPr>
            <w:r w:rsidRPr="00E6468A">
              <w:rPr>
                <w:i/>
                <w:szCs w:val="18"/>
              </w:rPr>
              <w:t>In partial fulfilment only of Performance outcome PO</w:t>
            </w:r>
            <w:proofErr w:type="gramStart"/>
            <w:r w:rsidRPr="00E6468A">
              <w:rPr>
                <w:i/>
                <w:szCs w:val="18"/>
              </w:rPr>
              <w:t>2:-</w:t>
            </w:r>
            <w:proofErr w:type="gramEnd"/>
          </w:p>
          <w:p w14:paraId="65819186" w14:textId="77777777" w:rsidR="00612E82" w:rsidRPr="00E6468A" w:rsidRDefault="00612E82" w:rsidP="00146513">
            <w:pPr>
              <w:rPr>
                <w:i/>
                <w:szCs w:val="18"/>
              </w:rPr>
            </w:pPr>
          </w:p>
          <w:p w14:paraId="36B8ACC1" w14:textId="77777777" w:rsidR="00612E82" w:rsidRPr="00E6468A" w:rsidRDefault="00612E82" w:rsidP="00146513">
            <w:pPr>
              <w:rPr>
                <w:sz w:val="16"/>
                <w:szCs w:val="16"/>
              </w:rPr>
            </w:pPr>
            <w:r w:rsidRPr="00E6468A">
              <w:rPr>
                <w:szCs w:val="18"/>
              </w:rPr>
              <w:t xml:space="preserve">Development provides for the major transport infrastructure networks in a </w:t>
            </w:r>
            <w:r w:rsidRPr="00E6468A">
              <w:rPr>
                <w:szCs w:val="18"/>
              </w:rPr>
              <w:lastRenderedPageBreak/>
              <w:t xml:space="preserve">configuration generally in accordance with </w:t>
            </w:r>
            <w:r w:rsidRPr="00E6468A">
              <w:rPr>
                <w:b/>
                <w:szCs w:val="18"/>
              </w:rPr>
              <w:t>Figure 7.2.2 (</w:t>
            </w:r>
            <w:proofErr w:type="spellStart"/>
            <w:r w:rsidRPr="00E6468A">
              <w:rPr>
                <w:b/>
                <w:szCs w:val="18"/>
              </w:rPr>
              <w:t>Kalkie</w:t>
            </w:r>
            <w:proofErr w:type="spellEnd"/>
            <w:r w:rsidRPr="00E6468A">
              <w:rPr>
                <w:b/>
                <w:szCs w:val="18"/>
              </w:rPr>
              <w:t>-Ashfield local development area structure plan concept)</w:t>
            </w:r>
            <w:r w:rsidRPr="00E6468A">
              <w:rPr>
                <w:szCs w:val="18"/>
              </w:rPr>
              <w:t>.</w:t>
            </w:r>
          </w:p>
        </w:tc>
        <w:tc>
          <w:tcPr>
            <w:tcW w:w="5439" w:type="dxa"/>
            <w:tcBorders>
              <w:bottom w:val="single" w:sz="4" w:space="0" w:color="auto"/>
            </w:tcBorders>
          </w:tcPr>
          <w:p w14:paraId="285438C3" w14:textId="6FD7FB62" w:rsidR="00612E82" w:rsidRPr="00E6468A" w:rsidRDefault="00612E82"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02773BD7" w14:textId="421257CC" w:rsidTr="00612E82">
        <w:tc>
          <w:tcPr>
            <w:tcW w:w="8505" w:type="dxa"/>
            <w:gridSpan w:val="2"/>
            <w:shd w:val="clear" w:color="auto" w:fill="D9D9D9"/>
          </w:tcPr>
          <w:p w14:paraId="4C15FC27" w14:textId="77777777" w:rsidR="00612E82" w:rsidRPr="00E6468A" w:rsidRDefault="00612E82" w:rsidP="00146513">
            <w:pPr>
              <w:rPr>
                <w:b/>
                <w:i/>
                <w:szCs w:val="18"/>
              </w:rPr>
            </w:pPr>
            <w:r w:rsidRPr="00E6468A">
              <w:rPr>
                <w:b/>
                <w:i/>
                <w:szCs w:val="18"/>
              </w:rPr>
              <w:t>Esplanades and avenues</w:t>
            </w:r>
          </w:p>
        </w:tc>
        <w:tc>
          <w:tcPr>
            <w:tcW w:w="5439" w:type="dxa"/>
            <w:shd w:val="clear" w:color="auto" w:fill="D9D9D9"/>
          </w:tcPr>
          <w:p w14:paraId="54BF0779" w14:textId="77777777" w:rsidR="00612E82" w:rsidRPr="00E6468A" w:rsidRDefault="00612E82" w:rsidP="00146513">
            <w:pPr>
              <w:rPr>
                <w:b/>
                <w:i/>
                <w:szCs w:val="18"/>
              </w:rPr>
            </w:pPr>
          </w:p>
        </w:tc>
      </w:tr>
      <w:tr w:rsidR="00612E82" w:rsidRPr="00E6468A" w14:paraId="69813D00" w14:textId="3F8E890B" w:rsidTr="00612E82">
        <w:tc>
          <w:tcPr>
            <w:tcW w:w="4424" w:type="dxa"/>
            <w:tcBorders>
              <w:bottom w:val="single" w:sz="4" w:space="0" w:color="auto"/>
            </w:tcBorders>
            <w:shd w:val="clear" w:color="auto" w:fill="auto"/>
          </w:tcPr>
          <w:p w14:paraId="333F4826" w14:textId="77777777" w:rsidR="00612E82" w:rsidRPr="00E6468A" w:rsidRDefault="00612E82" w:rsidP="00146513">
            <w:pPr>
              <w:rPr>
                <w:b/>
                <w:szCs w:val="18"/>
              </w:rPr>
            </w:pPr>
            <w:r w:rsidRPr="00E6468A">
              <w:rPr>
                <w:b/>
                <w:szCs w:val="18"/>
              </w:rPr>
              <w:t>PO3</w:t>
            </w:r>
          </w:p>
          <w:p w14:paraId="1DBFB79F" w14:textId="77777777" w:rsidR="00612E82" w:rsidRPr="00E6468A" w:rsidRDefault="00612E82" w:rsidP="00146513">
            <w:pPr>
              <w:rPr>
                <w:szCs w:val="18"/>
              </w:rPr>
            </w:pPr>
            <w:r w:rsidRPr="00E6468A">
              <w:rPr>
                <w:szCs w:val="18"/>
              </w:rPr>
              <w:t>A continuous esplanade is maintained along the Burnett River bank to provide a scenic drive, pedestrian and bicycle pathway and a walkable waterfront.</w:t>
            </w:r>
          </w:p>
        </w:tc>
        <w:tc>
          <w:tcPr>
            <w:tcW w:w="4081" w:type="dxa"/>
            <w:tcBorders>
              <w:bottom w:val="single" w:sz="4" w:space="0" w:color="auto"/>
            </w:tcBorders>
            <w:shd w:val="clear" w:color="auto" w:fill="auto"/>
          </w:tcPr>
          <w:p w14:paraId="5EF402C3" w14:textId="77777777" w:rsidR="00612E82" w:rsidRPr="00E6468A" w:rsidRDefault="00612E82" w:rsidP="00146513">
            <w:pPr>
              <w:rPr>
                <w:b/>
                <w:szCs w:val="18"/>
              </w:rPr>
            </w:pPr>
            <w:r w:rsidRPr="00E6468A">
              <w:rPr>
                <w:b/>
                <w:szCs w:val="18"/>
              </w:rPr>
              <w:t>AO3</w:t>
            </w:r>
          </w:p>
          <w:p w14:paraId="521ACEED" w14:textId="77777777" w:rsidR="00612E82" w:rsidRPr="00E6468A" w:rsidRDefault="00612E82" w:rsidP="00146513">
            <w:pPr>
              <w:rPr>
                <w:szCs w:val="18"/>
              </w:rPr>
            </w:pPr>
            <w:r w:rsidRPr="00E6468A">
              <w:rPr>
                <w:szCs w:val="18"/>
              </w:rPr>
              <w:t xml:space="preserve">A continuous Burnett River esplanade is maintained generally in accordance with </w:t>
            </w:r>
            <w:r w:rsidRPr="00E6468A">
              <w:rPr>
                <w:b/>
                <w:szCs w:val="18"/>
              </w:rPr>
              <w:t>Figure 7.2.2 (</w:t>
            </w:r>
            <w:proofErr w:type="spellStart"/>
            <w:r w:rsidRPr="00E6468A">
              <w:rPr>
                <w:b/>
                <w:szCs w:val="18"/>
              </w:rPr>
              <w:t>Kalkie</w:t>
            </w:r>
            <w:proofErr w:type="spellEnd"/>
            <w:r w:rsidRPr="00E6468A">
              <w:rPr>
                <w:b/>
                <w:szCs w:val="18"/>
              </w:rPr>
              <w:t>-Ashfield local development area structure plan concept)</w:t>
            </w:r>
            <w:r w:rsidRPr="00E6468A">
              <w:rPr>
                <w:szCs w:val="18"/>
              </w:rPr>
              <w:t>.</w:t>
            </w:r>
          </w:p>
        </w:tc>
        <w:tc>
          <w:tcPr>
            <w:tcW w:w="5439" w:type="dxa"/>
            <w:tcBorders>
              <w:bottom w:val="single" w:sz="4" w:space="0" w:color="auto"/>
            </w:tcBorders>
          </w:tcPr>
          <w:p w14:paraId="5A2C4DE6" w14:textId="5E047E51"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42F93BCA" w14:textId="70B567C3" w:rsidTr="00612E82">
        <w:tc>
          <w:tcPr>
            <w:tcW w:w="4424" w:type="dxa"/>
            <w:tcBorders>
              <w:bottom w:val="single" w:sz="4" w:space="0" w:color="auto"/>
            </w:tcBorders>
            <w:shd w:val="clear" w:color="auto" w:fill="auto"/>
          </w:tcPr>
          <w:p w14:paraId="1E0E2037" w14:textId="77777777" w:rsidR="00612E82" w:rsidRPr="00E6468A" w:rsidRDefault="00612E82" w:rsidP="00146513">
            <w:pPr>
              <w:rPr>
                <w:b/>
                <w:szCs w:val="18"/>
              </w:rPr>
            </w:pPr>
            <w:r w:rsidRPr="00E6468A">
              <w:rPr>
                <w:b/>
                <w:szCs w:val="18"/>
              </w:rPr>
              <w:t>PO4</w:t>
            </w:r>
          </w:p>
          <w:p w14:paraId="1EF69115" w14:textId="77777777" w:rsidR="00612E82" w:rsidRPr="00E6468A" w:rsidRDefault="00612E82" w:rsidP="00146513">
            <w:pPr>
              <w:rPr>
                <w:szCs w:val="18"/>
              </w:rPr>
            </w:pPr>
            <w:r w:rsidRPr="00E6468A">
              <w:rPr>
                <w:szCs w:val="18"/>
              </w:rPr>
              <w:t xml:space="preserve">Development provides a continuous avenue along the north-south ridgeline in </w:t>
            </w:r>
            <w:proofErr w:type="spellStart"/>
            <w:r w:rsidRPr="00E6468A">
              <w:rPr>
                <w:szCs w:val="18"/>
              </w:rPr>
              <w:t>Kalkie</w:t>
            </w:r>
            <w:proofErr w:type="spellEnd"/>
            <w:r w:rsidRPr="00E6468A">
              <w:rPr>
                <w:szCs w:val="18"/>
              </w:rPr>
              <w:t xml:space="preserve"> between Jealous Road and Sauers Road </w:t>
            </w:r>
            <w:proofErr w:type="gramStart"/>
            <w:r w:rsidRPr="00E6468A">
              <w:rPr>
                <w:szCs w:val="18"/>
              </w:rPr>
              <w:t>to:-</w:t>
            </w:r>
            <w:proofErr w:type="gramEnd"/>
            <w:r w:rsidRPr="00E6468A">
              <w:rPr>
                <w:szCs w:val="18"/>
              </w:rPr>
              <w:t xml:space="preserve"> </w:t>
            </w:r>
          </w:p>
          <w:p w14:paraId="7428A7D2" w14:textId="77777777" w:rsidR="00612E82" w:rsidRPr="00E6468A" w:rsidRDefault="00612E82" w:rsidP="00612E82">
            <w:pPr>
              <w:pStyle w:val="ListParagraph"/>
              <w:numPr>
                <w:ilvl w:val="0"/>
                <w:numId w:val="31"/>
              </w:numPr>
              <w:contextualSpacing/>
              <w:rPr>
                <w:szCs w:val="18"/>
              </w:rPr>
            </w:pPr>
            <w:r w:rsidRPr="00E6468A">
              <w:rPr>
                <w:szCs w:val="18"/>
              </w:rPr>
              <w:t>provide a scenic drive and pedestrian and bicycle pathway; and</w:t>
            </w:r>
          </w:p>
          <w:p w14:paraId="56BB1148" w14:textId="77777777" w:rsidR="00612E82" w:rsidRPr="00E6468A" w:rsidRDefault="00612E82" w:rsidP="00612E82">
            <w:pPr>
              <w:pStyle w:val="ListParagraph"/>
              <w:numPr>
                <w:ilvl w:val="0"/>
                <w:numId w:val="31"/>
              </w:numPr>
              <w:contextualSpacing/>
              <w:rPr>
                <w:szCs w:val="18"/>
              </w:rPr>
            </w:pPr>
            <w:r w:rsidRPr="00E6468A">
              <w:rPr>
                <w:szCs w:val="18"/>
              </w:rPr>
              <w:t>secure and retain important views over the Burnett River, farmland and the non-urban setting of Bundaberg for residential and scenic amenity.</w:t>
            </w:r>
          </w:p>
        </w:tc>
        <w:tc>
          <w:tcPr>
            <w:tcW w:w="4081" w:type="dxa"/>
            <w:tcBorders>
              <w:bottom w:val="single" w:sz="4" w:space="0" w:color="auto"/>
            </w:tcBorders>
            <w:shd w:val="clear" w:color="auto" w:fill="auto"/>
          </w:tcPr>
          <w:p w14:paraId="6192E9DF" w14:textId="77777777" w:rsidR="00612E82" w:rsidRPr="00E6468A" w:rsidRDefault="00612E82" w:rsidP="00146513">
            <w:pPr>
              <w:rPr>
                <w:b/>
                <w:szCs w:val="18"/>
              </w:rPr>
            </w:pPr>
            <w:r w:rsidRPr="00E6468A">
              <w:rPr>
                <w:b/>
                <w:szCs w:val="18"/>
              </w:rPr>
              <w:t>AO4</w:t>
            </w:r>
          </w:p>
          <w:p w14:paraId="5C22ED5F" w14:textId="77777777" w:rsidR="00612E82" w:rsidRPr="00E6468A" w:rsidRDefault="00612E82" w:rsidP="00146513">
            <w:pPr>
              <w:rPr>
                <w:szCs w:val="18"/>
              </w:rPr>
            </w:pPr>
            <w:r w:rsidRPr="00E6468A">
              <w:rPr>
                <w:szCs w:val="18"/>
              </w:rPr>
              <w:t xml:space="preserve">A continuous avenue is provided along the </w:t>
            </w:r>
            <w:proofErr w:type="spellStart"/>
            <w:r w:rsidRPr="00E6468A">
              <w:rPr>
                <w:szCs w:val="18"/>
              </w:rPr>
              <w:t>Kalkie</w:t>
            </w:r>
            <w:proofErr w:type="spellEnd"/>
            <w:r w:rsidRPr="00E6468A">
              <w:rPr>
                <w:szCs w:val="18"/>
              </w:rPr>
              <w:t xml:space="preserve"> ridgeline generally in accordance with </w:t>
            </w:r>
            <w:r w:rsidRPr="00E6468A">
              <w:rPr>
                <w:b/>
                <w:szCs w:val="18"/>
              </w:rPr>
              <w:t>Figure 7.2.2 (</w:t>
            </w:r>
            <w:proofErr w:type="spellStart"/>
            <w:r w:rsidRPr="00E6468A">
              <w:rPr>
                <w:b/>
                <w:szCs w:val="18"/>
              </w:rPr>
              <w:t>Kalkie</w:t>
            </w:r>
            <w:proofErr w:type="spellEnd"/>
            <w:r w:rsidRPr="00E6468A">
              <w:rPr>
                <w:b/>
                <w:szCs w:val="18"/>
              </w:rPr>
              <w:t>-Ashfield local development area structure plan concept)</w:t>
            </w:r>
            <w:r w:rsidRPr="00E6468A">
              <w:rPr>
                <w:szCs w:val="18"/>
              </w:rPr>
              <w:t>.</w:t>
            </w:r>
          </w:p>
        </w:tc>
        <w:tc>
          <w:tcPr>
            <w:tcW w:w="5439" w:type="dxa"/>
            <w:tcBorders>
              <w:bottom w:val="single" w:sz="4" w:space="0" w:color="auto"/>
            </w:tcBorders>
          </w:tcPr>
          <w:p w14:paraId="7A5AA3AA" w14:textId="3FC483C7"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46978F8E" w14:textId="0245AC78" w:rsidTr="00612E82">
        <w:tc>
          <w:tcPr>
            <w:tcW w:w="4424" w:type="dxa"/>
            <w:tcBorders>
              <w:bottom w:val="single" w:sz="4" w:space="0" w:color="auto"/>
            </w:tcBorders>
            <w:shd w:val="clear" w:color="auto" w:fill="auto"/>
          </w:tcPr>
          <w:p w14:paraId="6E778BE6" w14:textId="77777777" w:rsidR="00612E82" w:rsidRPr="00E6468A" w:rsidRDefault="00612E82" w:rsidP="00612E82">
            <w:pPr>
              <w:keepNext/>
              <w:rPr>
                <w:b/>
                <w:szCs w:val="18"/>
              </w:rPr>
            </w:pPr>
            <w:r w:rsidRPr="00E6468A">
              <w:rPr>
                <w:b/>
                <w:szCs w:val="18"/>
              </w:rPr>
              <w:lastRenderedPageBreak/>
              <w:t>PO5</w:t>
            </w:r>
          </w:p>
          <w:p w14:paraId="7B3ED662" w14:textId="77777777" w:rsidR="00612E82" w:rsidRPr="00E6468A" w:rsidRDefault="00612E82" w:rsidP="00146513">
            <w:pPr>
              <w:rPr>
                <w:szCs w:val="18"/>
              </w:rPr>
            </w:pPr>
            <w:r w:rsidRPr="00E6468A">
              <w:rPr>
                <w:szCs w:val="18"/>
              </w:rPr>
              <w:t xml:space="preserve">Development provides for the </w:t>
            </w:r>
            <w:proofErr w:type="spellStart"/>
            <w:r w:rsidRPr="00E6468A">
              <w:rPr>
                <w:szCs w:val="18"/>
              </w:rPr>
              <w:t>Kalkie</w:t>
            </w:r>
            <w:proofErr w:type="spellEnd"/>
            <w:r w:rsidRPr="00E6468A">
              <w:rPr>
                <w:szCs w:val="18"/>
              </w:rPr>
              <w:t xml:space="preserve"> ridgeline scenic avenue to be linked with strong east-west pedestrian and bicycle connections in public open space and road corridors.</w:t>
            </w:r>
          </w:p>
        </w:tc>
        <w:tc>
          <w:tcPr>
            <w:tcW w:w="4081" w:type="dxa"/>
            <w:tcBorders>
              <w:bottom w:val="single" w:sz="4" w:space="0" w:color="auto"/>
            </w:tcBorders>
            <w:shd w:val="clear" w:color="auto" w:fill="auto"/>
          </w:tcPr>
          <w:p w14:paraId="34B37A18" w14:textId="77777777" w:rsidR="00612E82" w:rsidRPr="00E6468A" w:rsidRDefault="00612E82" w:rsidP="00146513">
            <w:pPr>
              <w:rPr>
                <w:b/>
                <w:szCs w:val="18"/>
              </w:rPr>
            </w:pPr>
            <w:r w:rsidRPr="00E6468A">
              <w:rPr>
                <w:b/>
                <w:szCs w:val="18"/>
              </w:rPr>
              <w:t>AO5</w:t>
            </w:r>
          </w:p>
          <w:p w14:paraId="645FB45F" w14:textId="77777777" w:rsidR="00612E82" w:rsidRPr="00E6468A" w:rsidRDefault="00612E82" w:rsidP="00146513">
            <w:pPr>
              <w:rPr>
                <w:szCs w:val="18"/>
              </w:rPr>
            </w:pPr>
            <w:r w:rsidRPr="00E6468A">
              <w:rPr>
                <w:szCs w:val="18"/>
              </w:rPr>
              <w:t>No acceptable outcome provided.</w:t>
            </w:r>
          </w:p>
        </w:tc>
        <w:tc>
          <w:tcPr>
            <w:tcW w:w="5439" w:type="dxa"/>
            <w:tcBorders>
              <w:bottom w:val="single" w:sz="4" w:space="0" w:color="auto"/>
            </w:tcBorders>
          </w:tcPr>
          <w:p w14:paraId="45F626E0" w14:textId="4F10CFD3"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0B151E99" w14:textId="0F3E2A75" w:rsidTr="00612E82">
        <w:tc>
          <w:tcPr>
            <w:tcW w:w="8505" w:type="dxa"/>
            <w:gridSpan w:val="2"/>
            <w:shd w:val="clear" w:color="auto" w:fill="D9D9D9"/>
          </w:tcPr>
          <w:p w14:paraId="3F6B1BC5" w14:textId="77777777" w:rsidR="00612E82" w:rsidRPr="00E6468A" w:rsidRDefault="00612E82" w:rsidP="00146513">
            <w:pPr>
              <w:rPr>
                <w:b/>
                <w:i/>
                <w:szCs w:val="18"/>
              </w:rPr>
            </w:pPr>
            <w:r w:rsidRPr="00E6468A">
              <w:rPr>
                <w:b/>
                <w:i/>
                <w:szCs w:val="18"/>
              </w:rPr>
              <w:t>Activity centres</w:t>
            </w:r>
          </w:p>
        </w:tc>
        <w:tc>
          <w:tcPr>
            <w:tcW w:w="5439" w:type="dxa"/>
            <w:shd w:val="clear" w:color="auto" w:fill="D9D9D9"/>
          </w:tcPr>
          <w:p w14:paraId="5EEF9522" w14:textId="77777777" w:rsidR="00612E82" w:rsidRPr="00E6468A" w:rsidRDefault="00612E82" w:rsidP="00146513">
            <w:pPr>
              <w:rPr>
                <w:b/>
                <w:i/>
                <w:szCs w:val="18"/>
              </w:rPr>
            </w:pPr>
          </w:p>
        </w:tc>
      </w:tr>
      <w:tr w:rsidR="00612E82" w:rsidRPr="00E6468A" w14:paraId="18621442" w14:textId="28390FE5" w:rsidTr="00612E82">
        <w:tc>
          <w:tcPr>
            <w:tcW w:w="4424" w:type="dxa"/>
            <w:tcBorders>
              <w:bottom w:val="single" w:sz="4" w:space="0" w:color="auto"/>
            </w:tcBorders>
            <w:shd w:val="clear" w:color="auto" w:fill="auto"/>
          </w:tcPr>
          <w:p w14:paraId="444398BE" w14:textId="77777777" w:rsidR="00612E82" w:rsidRPr="00E6468A" w:rsidRDefault="00612E82" w:rsidP="00146513">
            <w:pPr>
              <w:rPr>
                <w:b/>
                <w:szCs w:val="18"/>
              </w:rPr>
            </w:pPr>
            <w:r w:rsidRPr="00E6468A">
              <w:rPr>
                <w:b/>
                <w:szCs w:val="18"/>
              </w:rPr>
              <w:t>PO6</w:t>
            </w:r>
          </w:p>
          <w:p w14:paraId="70477D99" w14:textId="77777777" w:rsidR="00612E82" w:rsidRPr="00E6468A" w:rsidRDefault="00612E82" w:rsidP="00146513">
            <w:pPr>
              <w:rPr>
                <w:szCs w:val="18"/>
              </w:rPr>
            </w:pPr>
            <w:r w:rsidRPr="00E6468A">
              <w:rPr>
                <w:szCs w:val="18"/>
              </w:rPr>
              <w:t xml:space="preserve">New activity </w:t>
            </w:r>
            <w:proofErr w:type="gramStart"/>
            <w:r w:rsidRPr="00E6468A">
              <w:rPr>
                <w:szCs w:val="18"/>
              </w:rPr>
              <w:t>centres:-</w:t>
            </w:r>
            <w:proofErr w:type="gramEnd"/>
          </w:p>
          <w:p w14:paraId="01AA48DA" w14:textId="77777777" w:rsidR="00612E82" w:rsidRPr="00E6468A" w:rsidRDefault="00612E82" w:rsidP="00612E82">
            <w:pPr>
              <w:numPr>
                <w:ilvl w:val="0"/>
                <w:numId w:val="25"/>
              </w:numPr>
              <w:rPr>
                <w:szCs w:val="18"/>
              </w:rPr>
            </w:pPr>
            <w:r w:rsidRPr="00E6468A">
              <w:rPr>
                <w:szCs w:val="18"/>
              </w:rPr>
              <w:t>are well-located relative to the catchments they are intended to serve and other existing or proposed centres;</w:t>
            </w:r>
          </w:p>
          <w:p w14:paraId="7CB986D1" w14:textId="77777777" w:rsidR="00612E82" w:rsidRPr="00E6468A" w:rsidRDefault="00612E82" w:rsidP="00612E82">
            <w:pPr>
              <w:numPr>
                <w:ilvl w:val="0"/>
                <w:numId w:val="25"/>
              </w:numPr>
              <w:rPr>
                <w:szCs w:val="18"/>
              </w:rPr>
            </w:pPr>
            <w:r w:rsidRPr="00E6468A">
              <w:rPr>
                <w:szCs w:val="18"/>
              </w:rPr>
              <w:t>are integrated with community facilities and the open space network wherever possible;</w:t>
            </w:r>
          </w:p>
          <w:p w14:paraId="747605E5" w14:textId="77777777" w:rsidR="00612E82" w:rsidRPr="00E6468A" w:rsidRDefault="00612E82" w:rsidP="00612E82">
            <w:pPr>
              <w:numPr>
                <w:ilvl w:val="0"/>
                <w:numId w:val="25"/>
              </w:numPr>
              <w:rPr>
                <w:szCs w:val="18"/>
              </w:rPr>
            </w:pPr>
            <w:r w:rsidRPr="00E6468A">
              <w:rPr>
                <w:szCs w:val="18"/>
              </w:rPr>
              <w:t>have high levels of accessibility to and from the higher order elements of the transport network;</w:t>
            </w:r>
          </w:p>
          <w:p w14:paraId="6ECD253D" w14:textId="77777777" w:rsidR="00612E82" w:rsidRPr="00E6468A" w:rsidRDefault="00612E82" w:rsidP="00612E82">
            <w:pPr>
              <w:numPr>
                <w:ilvl w:val="0"/>
                <w:numId w:val="25"/>
              </w:numPr>
              <w:rPr>
                <w:szCs w:val="18"/>
              </w:rPr>
            </w:pPr>
            <w:r w:rsidRPr="00E6468A">
              <w:rPr>
                <w:szCs w:val="18"/>
              </w:rPr>
              <w:t>perform a role and function and have an intensity and scale commensurate with demonstrated need; and</w:t>
            </w:r>
          </w:p>
          <w:p w14:paraId="4F1A8986" w14:textId="77777777" w:rsidR="00612E82" w:rsidRPr="00E6468A" w:rsidRDefault="00612E82" w:rsidP="00612E82">
            <w:pPr>
              <w:numPr>
                <w:ilvl w:val="0"/>
                <w:numId w:val="25"/>
              </w:numPr>
              <w:rPr>
                <w:szCs w:val="18"/>
              </w:rPr>
            </w:pPr>
            <w:r w:rsidRPr="00E6468A">
              <w:rPr>
                <w:szCs w:val="18"/>
              </w:rPr>
              <w:t xml:space="preserve">do not detrimentally impact on existing or approved activity centres.  </w:t>
            </w:r>
          </w:p>
        </w:tc>
        <w:tc>
          <w:tcPr>
            <w:tcW w:w="4081" w:type="dxa"/>
            <w:tcBorders>
              <w:bottom w:val="single" w:sz="4" w:space="0" w:color="auto"/>
            </w:tcBorders>
            <w:shd w:val="clear" w:color="auto" w:fill="auto"/>
          </w:tcPr>
          <w:p w14:paraId="481AB6F7" w14:textId="77777777" w:rsidR="00612E82" w:rsidRPr="00E6468A" w:rsidRDefault="00612E82" w:rsidP="00146513">
            <w:pPr>
              <w:rPr>
                <w:b/>
                <w:szCs w:val="18"/>
              </w:rPr>
            </w:pPr>
            <w:r w:rsidRPr="00E6468A">
              <w:rPr>
                <w:b/>
                <w:szCs w:val="18"/>
              </w:rPr>
              <w:t>AO6</w:t>
            </w:r>
          </w:p>
          <w:p w14:paraId="43EA010A" w14:textId="77777777" w:rsidR="00612E82" w:rsidRPr="00E6468A" w:rsidRDefault="00612E82" w:rsidP="00146513">
            <w:pPr>
              <w:rPr>
                <w:i/>
                <w:szCs w:val="18"/>
              </w:rPr>
            </w:pPr>
            <w:r w:rsidRPr="00E6468A">
              <w:rPr>
                <w:i/>
                <w:szCs w:val="18"/>
              </w:rPr>
              <w:t>In partial fulfilment only of Performance outcome PO</w:t>
            </w:r>
            <w:proofErr w:type="gramStart"/>
            <w:r w:rsidRPr="00E6468A">
              <w:rPr>
                <w:i/>
                <w:szCs w:val="18"/>
              </w:rPr>
              <w:t>6:-</w:t>
            </w:r>
            <w:proofErr w:type="gramEnd"/>
          </w:p>
          <w:p w14:paraId="0336B846" w14:textId="77777777" w:rsidR="00612E82" w:rsidRPr="00E6468A" w:rsidRDefault="00612E82" w:rsidP="00146513">
            <w:pPr>
              <w:rPr>
                <w:i/>
                <w:szCs w:val="18"/>
              </w:rPr>
            </w:pPr>
          </w:p>
          <w:p w14:paraId="65480E86" w14:textId="77777777" w:rsidR="00612E82" w:rsidRPr="00E6468A" w:rsidRDefault="00612E82" w:rsidP="00146513">
            <w:pPr>
              <w:rPr>
                <w:sz w:val="16"/>
                <w:szCs w:val="16"/>
              </w:rPr>
            </w:pPr>
            <w:r w:rsidRPr="00E6468A">
              <w:rPr>
                <w:szCs w:val="18"/>
              </w:rPr>
              <w:t xml:space="preserve">Development provides for a network of activity centres with a function and location generally in accordance with </w:t>
            </w:r>
            <w:r w:rsidRPr="00E6468A">
              <w:rPr>
                <w:b/>
                <w:szCs w:val="18"/>
              </w:rPr>
              <w:t>Figure 7.2.2 (</w:t>
            </w:r>
            <w:proofErr w:type="spellStart"/>
            <w:r w:rsidRPr="00E6468A">
              <w:rPr>
                <w:b/>
                <w:szCs w:val="18"/>
              </w:rPr>
              <w:t>Kalkie</w:t>
            </w:r>
            <w:proofErr w:type="spellEnd"/>
            <w:r w:rsidRPr="00E6468A">
              <w:rPr>
                <w:b/>
                <w:szCs w:val="18"/>
              </w:rPr>
              <w:t>-Ashfield local development area structure plan concept)</w:t>
            </w:r>
            <w:r w:rsidRPr="00E6468A">
              <w:rPr>
                <w:szCs w:val="18"/>
              </w:rPr>
              <w:t>.</w:t>
            </w:r>
          </w:p>
        </w:tc>
        <w:tc>
          <w:tcPr>
            <w:tcW w:w="5439" w:type="dxa"/>
            <w:tcBorders>
              <w:bottom w:val="single" w:sz="4" w:space="0" w:color="auto"/>
            </w:tcBorders>
          </w:tcPr>
          <w:p w14:paraId="3023962A" w14:textId="2ED68906"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24BDB502" w14:textId="60449828" w:rsidTr="00612E82">
        <w:tc>
          <w:tcPr>
            <w:tcW w:w="4424" w:type="dxa"/>
            <w:tcBorders>
              <w:bottom w:val="single" w:sz="4" w:space="0" w:color="auto"/>
            </w:tcBorders>
            <w:shd w:val="clear" w:color="auto" w:fill="auto"/>
          </w:tcPr>
          <w:p w14:paraId="05AFEFD6" w14:textId="77777777" w:rsidR="00612E82" w:rsidRPr="00E6468A" w:rsidRDefault="00612E82" w:rsidP="00146513">
            <w:pPr>
              <w:rPr>
                <w:b/>
                <w:szCs w:val="18"/>
              </w:rPr>
            </w:pPr>
            <w:r w:rsidRPr="00E6468A">
              <w:rPr>
                <w:b/>
                <w:szCs w:val="18"/>
              </w:rPr>
              <w:t>PO7</w:t>
            </w:r>
          </w:p>
          <w:p w14:paraId="49909FA3" w14:textId="77777777" w:rsidR="00612E82" w:rsidRPr="00E6468A" w:rsidRDefault="00612E82" w:rsidP="00146513">
            <w:pPr>
              <w:rPr>
                <w:szCs w:val="18"/>
              </w:rPr>
            </w:pPr>
            <w:r w:rsidRPr="00E6468A">
              <w:rPr>
                <w:szCs w:val="18"/>
              </w:rPr>
              <w:t xml:space="preserve">Development ensures that any new activity </w:t>
            </w:r>
            <w:proofErr w:type="gramStart"/>
            <w:r w:rsidRPr="00E6468A">
              <w:rPr>
                <w:szCs w:val="18"/>
              </w:rPr>
              <w:t>centre:-</w:t>
            </w:r>
            <w:proofErr w:type="gramEnd"/>
          </w:p>
          <w:p w14:paraId="4C490136" w14:textId="77777777" w:rsidR="00612E82" w:rsidRPr="00E6468A" w:rsidRDefault="00612E82" w:rsidP="00612E82">
            <w:pPr>
              <w:numPr>
                <w:ilvl w:val="0"/>
                <w:numId w:val="26"/>
              </w:numPr>
              <w:rPr>
                <w:szCs w:val="18"/>
              </w:rPr>
            </w:pPr>
            <w:r w:rsidRPr="00E6468A">
              <w:rPr>
                <w:szCs w:val="18"/>
              </w:rPr>
              <w:t>has a configuration and includes a range of uses that help create an active, vibrant centre and focal point for the community;</w:t>
            </w:r>
          </w:p>
          <w:p w14:paraId="27C05C05" w14:textId="77777777" w:rsidR="00612E82" w:rsidRPr="00E6468A" w:rsidRDefault="00612E82" w:rsidP="00612E82">
            <w:pPr>
              <w:numPr>
                <w:ilvl w:val="0"/>
                <w:numId w:val="26"/>
              </w:numPr>
              <w:rPr>
                <w:szCs w:val="18"/>
              </w:rPr>
            </w:pPr>
            <w:r w:rsidRPr="00E6468A">
              <w:rPr>
                <w:szCs w:val="18"/>
              </w:rPr>
              <w:t>is compatible with the scale and intensity of existing or planned development in the neighbourhood; and</w:t>
            </w:r>
          </w:p>
          <w:p w14:paraId="1996F8C5" w14:textId="77777777" w:rsidR="00612E82" w:rsidRPr="00E6468A" w:rsidRDefault="00612E82" w:rsidP="00612E82">
            <w:pPr>
              <w:numPr>
                <w:ilvl w:val="0"/>
                <w:numId w:val="26"/>
              </w:numPr>
              <w:rPr>
                <w:szCs w:val="18"/>
              </w:rPr>
            </w:pPr>
            <w:r w:rsidRPr="00E6468A">
              <w:rPr>
                <w:szCs w:val="18"/>
              </w:rPr>
              <w:t xml:space="preserve">provides for active modes of transport including the provision of sheltered and comfortable spaces for pedestrians with footpaths, walkways and other public spaces adequately sheltered from excessive sunlight and inclement weather. </w:t>
            </w:r>
          </w:p>
        </w:tc>
        <w:tc>
          <w:tcPr>
            <w:tcW w:w="4081" w:type="dxa"/>
            <w:tcBorders>
              <w:bottom w:val="single" w:sz="4" w:space="0" w:color="auto"/>
            </w:tcBorders>
            <w:shd w:val="clear" w:color="auto" w:fill="auto"/>
          </w:tcPr>
          <w:p w14:paraId="4FD265F2" w14:textId="77777777" w:rsidR="00612E82" w:rsidRPr="00E6468A" w:rsidRDefault="00612E82" w:rsidP="00146513">
            <w:pPr>
              <w:rPr>
                <w:b/>
                <w:szCs w:val="18"/>
              </w:rPr>
            </w:pPr>
            <w:r w:rsidRPr="00E6468A">
              <w:rPr>
                <w:b/>
                <w:szCs w:val="18"/>
              </w:rPr>
              <w:t>AO7</w:t>
            </w:r>
          </w:p>
          <w:p w14:paraId="559DE096" w14:textId="77777777" w:rsidR="00612E82" w:rsidRPr="00E6468A" w:rsidRDefault="00612E82" w:rsidP="00146513">
            <w:pPr>
              <w:rPr>
                <w:szCs w:val="18"/>
              </w:rPr>
            </w:pPr>
            <w:r w:rsidRPr="00E6468A">
              <w:rPr>
                <w:szCs w:val="18"/>
              </w:rPr>
              <w:t>No acceptable outcome provided.</w:t>
            </w:r>
          </w:p>
        </w:tc>
        <w:tc>
          <w:tcPr>
            <w:tcW w:w="5439" w:type="dxa"/>
            <w:tcBorders>
              <w:bottom w:val="single" w:sz="4" w:space="0" w:color="auto"/>
            </w:tcBorders>
          </w:tcPr>
          <w:p w14:paraId="428E1AA3" w14:textId="274A25C2"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533347B0" w14:textId="60A0AC77" w:rsidTr="00612E82">
        <w:tc>
          <w:tcPr>
            <w:tcW w:w="4424" w:type="dxa"/>
            <w:tcBorders>
              <w:bottom w:val="single" w:sz="4" w:space="0" w:color="auto"/>
            </w:tcBorders>
            <w:shd w:val="clear" w:color="auto" w:fill="auto"/>
          </w:tcPr>
          <w:p w14:paraId="1CD5D164" w14:textId="77777777" w:rsidR="00612E82" w:rsidRPr="00E6468A" w:rsidRDefault="00612E82" w:rsidP="00146513">
            <w:pPr>
              <w:rPr>
                <w:b/>
                <w:szCs w:val="18"/>
              </w:rPr>
            </w:pPr>
            <w:r w:rsidRPr="00E6468A">
              <w:rPr>
                <w:b/>
                <w:szCs w:val="18"/>
              </w:rPr>
              <w:t>PO8</w:t>
            </w:r>
          </w:p>
          <w:p w14:paraId="51CE9DA1" w14:textId="77777777" w:rsidR="00612E82" w:rsidRPr="00E6468A" w:rsidRDefault="00612E82" w:rsidP="00146513">
            <w:pPr>
              <w:rPr>
                <w:szCs w:val="18"/>
              </w:rPr>
            </w:pPr>
            <w:r w:rsidRPr="00E6468A">
              <w:rPr>
                <w:szCs w:val="18"/>
              </w:rPr>
              <w:t xml:space="preserve">A local activity centre is established centrally within the </w:t>
            </w:r>
            <w:proofErr w:type="spellStart"/>
            <w:r w:rsidRPr="00E6468A">
              <w:rPr>
                <w:szCs w:val="18"/>
              </w:rPr>
              <w:t>Kalkie</w:t>
            </w:r>
            <w:proofErr w:type="spellEnd"/>
            <w:r w:rsidRPr="00E6468A">
              <w:rPr>
                <w:szCs w:val="18"/>
              </w:rPr>
              <w:t xml:space="preserve">-Ashfield local development </w:t>
            </w:r>
            <w:r w:rsidRPr="00E6468A">
              <w:rPr>
                <w:szCs w:val="18"/>
              </w:rPr>
              <w:lastRenderedPageBreak/>
              <w:t>area at or near the midpoint of FE Walker Street/Bundaberg Port Road.</w:t>
            </w:r>
          </w:p>
        </w:tc>
        <w:tc>
          <w:tcPr>
            <w:tcW w:w="4081" w:type="dxa"/>
            <w:tcBorders>
              <w:bottom w:val="single" w:sz="4" w:space="0" w:color="auto"/>
            </w:tcBorders>
            <w:shd w:val="clear" w:color="auto" w:fill="auto"/>
          </w:tcPr>
          <w:p w14:paraId="7E81FB15" w14:textId="77777777" w:rsidR="00612E82" w:rsidRPr="00E6468A" w:rsidRDefault="00612E82" w:rsidP="00146513">
            <w:pPr>
              <w:rPr>
                <w:b/>
                <w:szCs w:val="18"/>
              </w:rPr>
            </w:pPr>
            <w:r w:rsidRPr="00E6468A">
              <w:rPr>
                <w:b/>
                <w:szCs w:val="18"/>
              </w:rPr>
              <w:lastRenderedPageBreak/>
              <w:t>AO8</w:t>
            </w:r>
          </w:p>
          <w:p w14:paraId="5B8A4D69" w14:textId="77777777" w:rsidR="00612E82" w:rsidRPr="00E6468A" w:rsidRDefault="00612E82" w:rsidP="00146513">
            <w:pPr>
              <w:rPr>
                <w:i/>
                <w:szCs w:val="18"/>
              </w:rPr>
            </w:pPr>
            <w:r w:rsidRPr="00E6468A">
              <w:rPr>
                <w:i/>
                <w:szCs w:val="18"/>
              </w:rPr>
              <w:t>In partial fulfilment only of Performance outcome PO</w:t>
            </w:r>
            <w:proofErr w:type="gramStart"/>
            <w:r w:rsidRPr="00E6468A">
              <w:rPr>
                <w:i/>
                <w:szCs w:val="18"/>
              </w:rPr>
              <w:t>8:-</w:t>
            </w:r>
            <w:proofErr w:type="gramEnd"/>
          </w:p>
          <w:p w14:paraId="63C8ADDA" w14:textId="77777777" w:rsidR="00612E82" w:rsidRPr="00E6468A" w:rsidRDefault="00612E82" w:rsidP="00146513">
            <w:pPr>
              <w:rPr>
                <w:i/>
                <w:szCs w:val="18"/>
              </w:rPr>
            </w:pPr>
          </w:p>
          <w:p w14:paraId="24C275F0" w14:textId="77777777" w:rsidR="00612E82" w:rsidRPr="00E6468A" w:rsidRDefault="00612E82" w:rsidP="00146513">
            <w:pPr>
              <w:rPr>
                <w:i/>
                <w:szCs w:val="18"/>
              </w:rPr>
            </w:pPr>
            <w:r w:rsidRPr="00E6468A">
              <w:rPr>
                <w:szCs w:val="18"/>
              </w:rPr>
              <w:lastRenderedPageBreak/>
              <w:t xml:space="preserve">The local activity centre is located on the southern side of FE Walker Street/Bundaberg Port Road at the midpoint of this road within the </w:t>
            </w:r>
            <w:proofErr w:type="spellStart"/>
            <w:r w:rsidRPr="00E6468A">
              <w:rPr>
                <w:szCs w:val="18"/>
              </w:rPr>
              <w:t>Kalkie</w:t>
            </w:r>
            <w:proofErr w:type="spellEnd"/>
            <w:r w:rsidRPr="00E6468A">
              <w:rPr>
                <w:szCs w:val="18"/>
              </w:rPr>
              <w:t xml:space="preserve">-Ashfield local development area generally in accordance with </w:t>
            </w:r>
            <w:r w:rsidRPr="00E6468A">
              <w:rPr>
                <w:b/>
                <w:szCs w:val="18"/>
              </w:rPr>
              <w:t>Figure 7.2.2. (</w:t>
            </w:r>
            <w:proofErr w:type="spellStart"/>
            <w:r w:rsidRPr="00E6468A">
              <w:rPr>
                <w:b/>
                <w:szCs w:val="18"/>
              </w:rPr>
              <w:t>Kalkie</w:t>
            </w:r>
            <w:proofErr w:type="spellEnd"/>
            <w:r w:rsidRPr="00E6468A">
              <w:rPr>
                <w:b/>
                <w:szCs w:val="18"/>
              </w:rPr>
              <w:t>-Ashfield local development area structure plan concept)</w:t>
            </w:r>
            <w:r w:rsidRPr="00E6468A">
              <w:rPr>
                <w:szCs w:val="18"/>
              </w:rPr>
              <w:t>.</w:t>
            </w:r>
          </w:p>
        </w:tc>
        <w:tc>
          <w:tcPr>
            <w:tcW w:w="5439" w:type="dxa"/>
            <w:tcBorders>
              <w:bottom w:val="single" w:sz="4" w:space="0" w:color="auto"/>
            </w:tcBorders>
          </w:tcPr>
          <w:p w14:paraId="0F05357D" w14:textId="3A1441C8" w:rsidR="00612E82" w:rsidRPr="00E6468A" w:rsidRDefault="00612E82"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03074229" w14:textId="55E1B13C" w:rsidTr="00612E82">
        <w:tc>
          <w:tcPr>
            <w:tcW w:w="4424" w:type="dxa"/>
            <w:tcBorders>
              <w:bottom w:val="single" w:sz="4" w:space="0" w:color="auto"/>
            </w:tcBorders>
            <w:shd w:val="clear" w:color="auto" w:fill="auto"/>
          </w:tcPr>
          <w:p w14:paraId="7151FA0F" w14:textId="77777777" w:rsidR="00612E82" w:rsidRPr="00E6468A" w:rsidRDefault="00612E82" w:rsidP="00146513">
            <w:pPr>
              <w:rPr>
                <w:b/>
                <w:szCs w:val="18"/>
              </w:rPr>
            </w:pPr>
            <w:r w:rsidRPr="00E6468A">
              <w:rPr>
                <w:b/>
                <w:szCs w:val="18"/>
              </w:rPr>
              <w:t>PO9</w:t>
            </w:r>
          </w:p>
          <w:p w14:paraId="70F30A75" w14:textId="77777777" w:rsidR="00612E82" w:rsidRPr="00E6468A" w:rsidRDefault="00612E82" w:rsidP="00146513">
            <w:pPr>
              <w:rPr>
                <w:szCs w:val="18"/>
              </w:rPr>
            </w:pPr>
            <w:r w:rsidRPr="00E6468A">
              <w:rPr>
                <w:szCs w:val="18"/>
              </w:rPr>
              <w:t>Neighbourhood activity centres provide small scale convenience ‘top up’ shopping and local food and drink outlet services for an adjacent residential neighbourhood.</w:t>
            </w:r>
          </w:p>
        </w:tc>
        <w:tc>
          <w:tcPr>
            <w:tcW w:w="4081" w:type="dxa"/>
            <w:tcBorders>
              <w:bottom w:val="single" w:sz="4" w:space="0" w:color="auto"/>
            </w:tcBorders>
            <w:shd w:val="clear" w:color="auto" w:fill="auto"/>
          </w:tcPr>
          <w:p w14:paraId="36E511D5" w14:textId="77777777" w:rsidR="00612E82" w:rsidRPr="00E6468A" w:rsidRDefault="00612E82" w:rsidP="00146513">
            <w:pPr>
              <w:rPr>
                <w:b/>
                <w:szCs w:val="18"/>
              </w:rPr>
            </w:pPr>
            <w:r w:rsidRPr="00E6468A">
              <w:rPr>
                <w:b/>
                <w:szCs w:val="18"/>
              </w:rPr>
              <w:t>AO9</w:t>
            </w:r>
          </w:p>
          <w:p w14:paraId="0CE9DE71" w14:textId="77777777" w:rsidR="00612E82" w:rsidRPr="00E6468A" w:rsidRDefault="00612E82" w:rsidP="00146513">
            <w:pPr>
              <w:rPr>
                <w:szCs w:val="18"/>
              </w:rPr>
            </w:pPr>
            <w:r w:rsidRPr="00E6468A">
              <w:rPr>
                <w:szCs w:val="18"/>
              </w:rPr>
              <w:t>No acceptable outcome provided.</w:t>
            </w:r>
          </w:p>
        </w:tc>
        <w:tc>
          <w:tcPr>
            <w:tcW w:w="5439" w:type="dxa"/>
            <w:tcBorders>
              <w:bottom w:val="single" w:sz="4" w:space="0" w:color="auto"/>
            </w:tcBorders>
          </w:tcPr>
          <w:p w14:paraId="4E5926CF" w14:textId="5F0FED7F"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4B9C035F" w14:textId="4D32AF23" w:rsidTr="00612E82">
        <w:tc>
          <w:tcPr>
            <w:tcW w:w="4424" w:type="dxa"/>
            <w:tcBorders>
              <w:bottom w:val="single" w:sz="4" w:space="0" w:color="auto"/>
            </w:tcBorders>
            <w:shd w:val="clear" w:color="auto" w:fill="auto"/>
          </w:tcPr>
          <w:p w14:paraId="4881DFB5" w14:textId="77777777" w:rsidR="00612E82" w:rsidRPr="00E6468A" w:rsidRDefault="00612E82" w:rsidP="00146513">
            <w:pPr>
              <w:rPr>
                <w:b/>
                <w:szCs w:val="18"/>
              </w:rPr>
            </w:pPr>
            <w:r w:rsidRPr="00E6468A">
              <w:rPr>
                <w:b/>
                <w:szCs w:val="18"/>
              </w:rPr>
              <w:t>PO10</w:t>
            </w:r>
          </w:p>
          <w:p w14:paraId="3970012B" w14:textId="77777777" w:rsidR="00612E82" w:rsidRPr="00E6468A" w:rsidRDefault="00612E82" w:rsidP="00146513">
            <w:pPr>
              <w:rPr>
                <w:szCs w:val="18"/>
              </w:rPr>
            </w:pPr>
            <w:r w:rsidRPr="00E6468A">
              <w:rPr>
                <w:szCs w:val="18"/>
              </w:rPr>
              <w:t>Local and neighbourhood activity centres may include permanent and short-term residential accommodation, provided that active (non-residential) frontages are maintained at street level.</w:t>
            </w:r>
          </w:p>
        </w:tc>
        <w:tc>
          <w:tcPr>
            <w:tcW w:w="4081" w:type="dxa"/>
            <w:tcBorders>
              <w:bottom w:val="single" w:sz="4" w:space="0" w:color="auto"/>
            </w:tcBorders>
            <w:shd w:val="clear" w:color="auto" w:fill="auto"/>
          </w:tcPr>
          <w:p w14:paraId="18E99402" w14:textId="77777777" w:rsidR="00612E82" w:rsidRPr="00E6468A" w:rsidRDefault="00612E82" w:rsidP="00146513">
            <w:pPr>
              <w:rPr>
                <w:b/>
                <w:szCs w:val="18"/>
              </w:rPr>
            </w:pPr>
            <w:r w:rsidRPr="00E6468A">
              <w:rPr>
                <w:b/>
                <w:szCs w:val="18"/>
              </w:rPr>
              <w:t>AO10</w:t>
            </w:r>
          </w:p>
          <w:p w14:paraId="53DFCBD8" w14:textId="77777777" w:rsidR="00612E82" w:rsidRPr="00E6468A" w:rsidRDefault="00612E82" w:rsidP="00146513">
            <w:pPr>
              <w:rPr>
                <w:szCs w:val="18"/>
              </w:rPr>
            </w:pPr>
            <w:r w:rsidRPr="00E6468A">
              <w:rPr>
                <w:szCs w:val="18"/>
              </w:rPr>
              <w:t xml:space="preserve">Residential uses are located above street level or to the rear of buildings with active (non-residential) street frontages.  </w:t>
            </w:r>
          </w:p>
        </w:tc>
        <w:tc>
          <w:tcPr>
            <w:tcW w:w="5439" w:type="dxa"/>
            <w:tcBorders>
              <w:bottom w:val="single" w:sz="4" w:space="0" w:color="auto"/>
            </w:tcBorders>
          </w:tcPr>
          <w:p w14:paraId="2C75A6AF" w14:textId="015C8A15"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32689882" w14:textId="388860AA" w:rsidTr="00612E82">
        <w:tc>
          <w:tcPr>
            <w:tcW w:w="4424" w:type="dxa"/>
            <w:tcBorders>
              <w:bottom w:val="single" w:sz="4" w:space="0" w:color="auto"/>
            </w:tcBorders>
            <w:shd w:val="clear" w:color="auto" w:fill="auto"/>
          </w:tcPr>
          <w:p w14:paraId="3B3A2E8D" w14:textId="77777777" w:rsidR="00612E82" w:rsidRPr="00E6468A" w:rsidRDefault="00612E82" w:rsidP="00146513">
            <w:pPr>
              <w:rPr>
                <w:b/>
                <w:szCs w:val="18"/>
              </w:rPr>
            </w:pPr>
            <w:r w:rsidRPr="00E6468A">
              <w:rPr>
                <w:b/>
                <w:szCs w:val="18"/>
              </w:rPr>
              <w:t>PO11</w:t>
            </w:r>
          </w:p>
          <w:p w14:paraId="4218A54C" w14:textId="77777777" w:rsidR="00612E82" w:rsidRPr="00E6468A" w:rsidRDefault="00612E82" w:rsidP="00146513">
            <w:pPr>
              <w:rPr>
                <w:szCs w:val="18"/>
              </w:rPr>
            </w:pPr>
            <w:r w:rsidRPr="00E6468A">
              <w:rPr>
                <w:szCs w:val="18"/>
              </w:rPr>
              <w:t xml:space="preserve">Development in the local activity </w:t>
            </w:r>
            <w:proofErr w:type="gramStart"/>
            <w:r w:rsidRPr="00E6468A">
              <w:rPr>
                <w:szCs w:val="18"/>
              </w:rPr>
              <w:t>centre:-</w:t>
            </w:r>
            <w:proofErr w:type="gramEnd"/>
          </w:p>
          <w:p w14:paraId="468A38CA" w14:textId="77777777" w:rsidR="00612E82" w:rsidRPr="00E6468A" w:rsidRDefault="00612E82" w:rsidP="00612E82">
            <w:pPr>
              <w:numPr>
                <w:ilvl w:val="0"/>
                <w:numId w:val="28"/>
              </w:numPr>
              <w:rPr>
                <w:szCs w:val="18"/>
              </w:rPr>
            </w:pPr>
            <w:r w:rsidRPr="00E6468A">
              <w:rPr>
                <w:szCs w:val="18"/>
              </w:rPr>
              <w:t>provides for local weekly shopping and service needs including a mix of traditional retail (shops), commercial, cafes/dining, entertainment and community activities; and</w:t>
            </w:r>
          </w:p>
          <w:p w14:paraId="3FB1719A" w14:textId="77777777" w:rsidR="00612E82" w:rsidRPr="00E6468A" w:rsidRDefault="00612E82" w:rsidP="00612E82">
            <w:pPr>
              <w:numPr>
                <w:ilvl w:val="0"/>
                <w:numId w:val="28"/>
              </w:numPr>
              <w:rPr>
                <w:szCs w:val="18"/>
              </w:rPr>
            </w:pPr>
            <w:r w:rsidRPr="00E6468A">
              <w:rPr>
                <w:szCs w:val="18"/>
              </w:rPr>
              <w:t>may include a full-line supermarket.</w:t>
            </w:r>
          </w:p>
        </w:tc>
        <w:tc>
          <w:tcPr>
            <w:tcW w:w="4081" w:type="dxa"/>
            <w:tcBorders>
              <w:bottom w:val="single" w:sz="4" w:space="0" w:color="auto"/>
            </w:tcBorders>
            <w:shd w:val="clear" w:color="auto" w:fill="auto"/>
          </w:tcPr>
          <w:p w14:paraId="15600115" w14:textId="77777777" w:rsidR="00612E82" w:rsidRPr="00E6468A" w:rsidRDefault="00612E82" w:rsidP="00146513">
            <w:pPr>
              <w:rPr>
                <w:b/>
                <w:szCs w:val="18"/>
              </w:rPr>
            </w:pPr>
            <w:r w:rsidRPr="00E6468A">
              <w:rPr>
                <w:b/>
                <w:szCs w:val="18"/>
              </w:rPr>
              <w:t>AO11</w:t>
            </w:r>
          </w:p>
          <w:p w14:paraId="1F1637D5" w14:textId="77777777" w:rsidR="00612E82" w:rsidRPr="00E6468A" w:rsidRDefault="00612E82" w:rsidP="00146513">
            <w:pPr>
              <w:rPr>
                <w:szCs w:val="18"/>
              </w:rPr>
            </w:pPr>
            <w:r w:rsidRPr="00E6468A">
              <w:rPr>
                <w:szCs w:val="18"/>
              </w:rPr>
              <w:t>No acceptable outcome provided.</w:t>
            </w:r>
          </w:p>
        </w:tc>
        <w:tc>
          <w:tcPr>
            <w:tcW w:w="5439" w:type="dxa"/>
            <w:tcBorders>
              <w:bottom w:val="single" w:sz="4" w:space="0" w:color="auto"/>
            </w:tcBorders>
          </w:tcPr>
          <w:p w14:paraId="62F13279" w14:textId="4ECDDA39"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07526055" w14:textId="5A2A2831" w:rsidTr="00612E82">
        <w:tc>
          <w:tcPr>
            <w:tcW w:w="4424" w:type="dxa"/>
            <w:tcBorders>
              <w:bottom w:val="single" w:sz="4" w:space="0" w:color="auto"/>
            </w:tcBorders>
            <w:shd w:val="clear" w:color="auto" w:fill="auto"/>
          </w:tcPr>
          <w:p w14:paraId="71AF7A8E" w14:textId="77777777" w:rsidR="00612E82" w:rsidRPr="00E6468A" w:rsidRDefault="00612E82" w:rsidP="00146513">
            <w:pPr>
              <w:rPr>
                <w:b/>
                <w:szCs w:val="18"/>
              </w:rPr>
            </w:pPr>
            <w:r w:rsidRPr="00E6468A">
              <w:rPr>
                <w:b/>
                <w:szCs w:val="18"/>
              </w:rPr>
              <w:t>PO12</w:t>
            </w:r>
          </w:p>
          <w:p w14:paraId="73FD96CA" w14:textId="77777777" w:rsidR="00612E82" w:rsidRPr="00E6468A" w:rsidRDefault="00612E82" w:rsidP="00146513">
            <w:pPr>
              <w:rPr>
                <w:szCs w:val="18"/>
              </w:rPr>
            </w:pPr>
            <w:r w:rsidRPr="00E6468A">
              <w:rPr>
                <w:szCs w:val="18"/>
              </w:rPr>
              <w:t xml:space="preserve">Development in the local activity </w:t>
            </w:r>
            <w:proofErr w:type="gramStart"/>
            <w:r w:rsidRPr="00E6468A">
              <w:rPr>
                <w:szCs w:val="18"/>
              </w:rPr>
              <w:t>centre:-</w:t>
            </w:r>
            <w:proofErr w:type="gramEnd"/>
          </w:p>
          <w:p w14:paraId="628EB14D" w14:textId="77777777" w:rsidR="00612E82" w:rsidRPr="00E6468A" w:rsidRDefault="00612E82" w:rsidP="00612E82">
            <w:pPr>
              <w:numPr>
                <w:ilvl w:val="0"/>
                <w:numId w:val="29"/>
              </w:numPr>
              <w:rPr>
                <w:szCs w:val="18"/>
              </w:rPr>
            </w:pPr>
            <w:r w:rsidRPr="00E6468A">
              <w:rPr>
                <w:szCs w:val="18"/>
              </w:rPr>
              <w:t xml:space="preserve">provides an attractive </w:t>
            </w:r>
            <w:proofErr w:type="spellStart"/>
            <w:r w:rsidRPr="00E6468A">
              <w:rPr>
                <w:szCs w:val="18"/>
              </w:rPr>
              <w:t>streetfront</w:t>
            </w:r>
            <w:proofErr w:type="spellEnd"/>
            <w:r w:rsidRPr="00E6468A">
              <w:rPr>
                <w:szCs w:val="18"/>
              </w:rPr>
              <w:t xml:space="preserve"> address to major roads and makes a positive contribution to the visual character of the area through appropriate built form, urban design and landscaping treatment; and</w:t>
            </w:r>
          </w:p>
          <w:p w14:paraId="1734C2CC" w14:textId="77777777" w:rsidR="00612E82" w:rsidRPr="00E6468A" w:rsidRDefault="00612E82" w:rsidP="00612E82">
            <w:pPr>
              <w:numPr>
                <w:ilvl w:val="0"/>
                <w:numId w:val="29"/>
              </w:numPr>
              <w:rPr>
                <w:szCs w:val="18"/>
              </w:rPr>
            </w:pPr>
            <w:r w:rsidRPr="00E6468A">
              <w:rPr>
                <w:szCs w:val="18"/>
              </w:rPr>
              <w:t xml:space="preserve">does not adversely impact on the amenity of surrounding sensitive land uses, having regard to such matters as traffic, noise, lighting, waste, fumes, odours, hours of operation, privacy, overlooking, micro-climatic impacts (e.g. overshadowing and </w:t>
            </w:r>
            <w:r w:rsidRPr="00E6468A">
              <w:rPr>
                <w:szCs w:val="18"/>
              </w:rPr>
              <w:lastRenderedPageBreak/>
              <w:t>blocking of breezes), and public health and safety.</w:t>
            </w:r>
          </w:p>
        </w:tc>
        <w:tc>
          <w:tcPr>
            <w:tcW w:w="4081" w:type="dxa"/>
            <w:tcBorders>
              <w:bottom w:val="single" w:sz="4" w:space="0" w:color="auto"/>
            </w:tcBorders>
            <w:shd w:val="clear" w:color="auto" w:fill="auto"/>
          </w:tcPr>
          <w:p w14:paraId="5E21CE32" w14:textId="77777777" w:rsidR="00612E82" w:rsidRPr="00E6468A" w:rsidRDefault="00612E82" w:rsidP="00146513">
            <w:pPr>
              <w:rPr>
                <w:b/>
                <w:szCs w:val="18"/>
              </w:rPr>
            </w:pPr>
            <w:r w:rsidRPr="00E6468A">
              <w:rPr>
                <w:b/>
                <w:szCs w:val="18"/>
              </w:rPr>
              <w:lastRenderedPageBreak/>
              <w:t>AO12</w:t>
            </w:r>
          </w:p>
          <w:p w14:paraId="51F035F2" w14:textId="77777777" w:rsidR="00612E82" w:rsidRPr="00E6468A" w:rsidRDefault="00612E82" w:rsidP="00146513">
            <w:pPr>
              <w:rPr>
                <w:szCs w:val="18"/>
              </w:rPr>
            </w:pPr>
            <w:r w:rsidRPr="00E6468A">
              <w:rPr>
                <w:szCs w:val="18"/>
              </w:rPr>
              <w:t>No acceptable outcome provided.</w:t>
            </w:r>
          </w:p>
        </w:tc>
        <w:tc>
          <w:tcPr>
            <w:tcW w:w="5439" w:type="dxa"/>
            <w:tcBorders>
              <w:bottom w:val="single" w:sz="4" w:space="0" w:color="auto"/>
            </w:tcBorders>
          </w:tcPr>
          <w:p w14:paraId="1E54D0A5" w14:textId="54E832D2"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683B1F1C" w14:textId="36D5128C" w:rsidTr="00612E82">
        <w:tc>
          <w:tcPr>
            <w:tcW w:w="8505" w:type="dxa"/>
            <w:gridSpan w:val="2"/>
            <w:shd w:val="clear" w:color="auto" w:fill="D9D9D9"/>
          </w:tcPr>
          <w:p w14:paraId="7E464111" w14:textId="77777777" w:rsidR="00612E82" w:rsidRPr="00E6468A" w:rsidRDefault="00612E82" w:rsidP="00146513">
            <w:pPr>
              <w:rPr>
                <w:b/>
                <w:i/>
                <w:szCs w:val="18"/>
              </w:rPr>
            </w:pPr>
            <w:r w:rsidRPr="00E6468A">
              <w:rPr>
                <w:b/>
                <w:i/>
                <w:szCs w:val="18"/>
              </w:rPr>
              <w:t>Medium density residential development</w:t>
            </w:r>
          </w:p>
        </w:tc>
        <w:tc>
          <w:tcPr>
            <w:tcW w:w="5439" w:type="dxa"/>
            <w:shd w:val="clear" w:color="auto" w:fill="D9D9D9"/>
          </w:tcPr>
          <w:p w14:paraId="27355F13" w14:textId="77777777" w:rsidR="00612E82" w:rsidRPr="00E6468A" w:rsidRDefault="00612E82" w:rsidP="00146513">
            <w:pPr>
              <w:rPr>
                <w:b/>
                <w:i/>
                <w:szCs w:val="18"/>
              </w:rPr>
            </w:pPr>
          </w:p>
        </w:tc>
      </w:tr>
      <w:tr w:rsidR="00612E82" w:rsidRPr="00E6468A" w14:paraId="1FE3CFB5" w14:textId="458D2A0D" w:rsidTr="00612E82">
        <w:tc>
          <w:tcPr>
            <w:tcW w:w="4424" w:type="dxa"/>
            <w:tcBorders>
              <w:bottom w:val="single" w:sz="4" w:space="0" w:color="auto"/>
            </w:tcBorders>
            <w:shd w:val="clear" w:color="auto" w:fill="auto"/>
          </w:tcPr>
          <w:p w14:paraId="3F2571C7" w14:textId="77777777" w:rsidR="00612E82" w:rsidRPr="00E6468A" w:rsidRDefault="00612E82" w:rsidP="00146513">
            <w:pPr>
              <w:rPr>
                <w:b/>
                <w:szCs w:val="18"/>
              </w:rPr>
            </w:pPr>
            <w:r w:rsidRPr="00E6468A">
              <w:rPr>
                <w:b/>
                <w:szCs w:val="18"/>
              </w:rPr>
              <w:t>PO13</w:t>
            </w:r>
          </w:p>
          <w:p w14:paraId="1A8ABBC2" w14:textId="77777777" w:rsidR="00612E82" w:rsidRPr="00E6468A" w:rsidRDefault="00612E82" w:rsidP="00146513">
            <w:pPr>
              <w:rPr>
                <w:szCs w:val="18"/>
              </w:rPr>
            </w:pPr>
            <w:r w:rsidRPr="00E6468A">
              <w:rPr>
                <w:szCs w:val="18"/>
              </w:rPr>
              <w:t xml:space="preserve">Where provided, medium density residential </w:t>
            </w:r>
            <w:proofErr w:type="gramStart"/>
            <w:r w:rsidRPr="00E6468A">
              <w:rPr>
                <w:szCs w:val="18"/>
              </w:rPr>
              <w:t>development:-</w:t>
            </w:r>
            <w:proofErr w:type="gramEnd"/>
          </w:p>
          <w:p w14:paraId="5751BA7F" w14:textId="77777777" w:rsidR="00612E82" w:rsidRPr="00E6468A" w:rsidRDefault="00612E82" w:rsidP="00612E82">
            <w:pPr>
              <w:numPr>
                <w:ilvl w:val="0"/>
                <w:numId w:val="24"/>
              </w:numPr>
              <w:rPr>
                <w:szCs w:val="18"/>
              </w:rPr>
            </w:pPr>
            <w:r w:rsidRPr="00E6468A">
              <w:rPr>
                <w:szCs w:val="18"/>
              </w:rPr>
              <w:t>has high levels of accessibility (i.e. predominantly within the primary walking catchment) to an existing or planned activity centre or community facility; or</w:t>
            </w:r>
          </w:p>
          <w:p w14:paraId="756C7CBD" w14:textId="77777777" w:rsidR="00612E82" w:rsidRPr="00E6468A" w:rsidRDefault="00612E82" w:rsidP="00612E82">
            <w:pPr>
              <w:numPr>
                <w:ilvl w:val="0"/>
                <w:numId w:val="24"/>
              </w:numPr>
              <w:rPr>
                <w:szCs w:val="18"/>
              </w:rPr>
            </w:pPr>
            <w:r w:rsidRPr="00E6468A">
              <w:rPr>
                <w:szCs w:val="18"/>
              </w:rPr>
              <w:t xml:space="preserve">is located to take advantage of views to the Burnett River or other features that provide a </w:t>
            </w:r>
            <w:proofErr w:type="gramStart"/>
            <w:r w:rsidRPr="00E6468A">
              <w:rPr>
                <w:szCs w:val="18"/>
              </w:rPr>
              <w:t>particular amenity</w:t>
            </w:r>
            <w:proofErr w:type="gramEnd"/>
            <w:r w:rsidRPr="00E6468A">
              <w:rPr>
                <w:szCs w:val="18"/>
              </w:rPr>
              <w:t xml:space="preserve"> supporting higher density; and </w:t>
            </w:r>
          </w:p>
          <w:p w14:paraId="5DFA605C" w14:textId="77777777" w:rsidR="00612E82" w:rsidRPr="00E6468A" w:rsidRDefault="00612E82" w:rsidP="00612E82">
            <w:pPr>
              <w:numPr>
                <w:ilvl w:val="0"/>
                <w:numId w:val="24"/>
              </w:numPr>
              <w:rPr>
                <w:szCs w:val="18"/>
              </w:rPr>
            </w:pPr>
            <w:r w:rsidRPr="00E6468A">
              <w:rPr>
                <w:szCs w:val="18"/>
              </w:rPr>
              <w:t>is readily accessible to, and capable of being well-serviced by, public transport, bicycle and pedestrian routes; and</w:t>
            </w:r>
          </w:p>
          <w:p w14:paraId="694F9371" w14:textId="77777777" w:rsidR="00612E82" w:rsidRPr="00E6468A" w:rsidRDefault="00612E82" w:rsidP="00612E82">
            <w:pPr>
              <w:numPr>
                <w:ilvl w:val="0"/>
                <w:numId w:val="24"/>
              </w:numPr>
              <w:rPr>
                <w:szCs w:val="18"/>
              </w:rPr>
            </w:pPr>
            <w:r w:rsidRPr="00E6468A">
              <w:rPr>
                <w:szCs w:val="18"/>
              </w:rPr>
              <w:t>achieves a net residential density of 30 to 50 equivalent dwellings per hectare.</w:t>
            </w:r>
          </w:p>
        </w:tc>
        <w:tc>
          <w:tcPr>
            <w:tcW w:w="4081" w:type="dxa"/>
            <w:tcBorders>
              <w:bottom w:val="single" w:sz="4" w:space="0" w:color="auto"/>
            </w:tcBorders>
            <w:shd w:val="clear" w:color="auto" w:fill="auto"/>
          </w:tcPr>
          <w:p w14:paraId="2CD85714" w14:textId="77777777" w:rsidR="00612E82" w:rsidRPr="00E6468A" w:rsidRDefault="00612E82" w:rsidP="00146513">
            <w:pPr>
              <w:rPr>
                <w:b/>
                <w:szCs w:val="18"/>
              </w:rPr>
            </w:pPr>
            <w:r w:rsidRPr="00E6468A">
              <w:rPr>
                <w:b/>
                <w:szCs w:val="18"/>
              </w:rPr>
              <w:t>AO13</w:t>
            </w:r>
          </w:p>
          <w:p w14:paraId="02916BDE" w14:textId="77777777" w:rsidR="00612E82" w:rsidRPr="00E6468A" w:rsidRDefault="00612E82" w:rsidP="00146513">
            <w:pPr>
              <w:rPr>
                <w:szCs w:val="18"/>
              </w:rPr>
            </w:pPr>
            <w:r w:rsidRPr="00E6468A">
              <w:rPr>
                <w:szCs w:val="18"/>
              </w:rPr>
              <w:t>No acceptable outcome provided.</w:t>
            </w:r>
          </w:p>
        </w:tc>
        <w:tc>
          <w:tcPr>
            <w:tcW w:w="5439" w:type="dxa"/>
            <w:tcBorders>
              <w:bottom w:val="single" w:sz="4" w:space="0" w:color="auto"/>
            </w:tcBorders>
          </w:tcPr>
          <w:p w14:paraId="53931FDF" w14:textId="73177770"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113038D4" w14:textId="4E3A7E1C" w:rsidTr="00612E82">
        <w:tc>
          <w:tcPr>
            <w:tcW w:w="8505" w:type="dxa"/>
            <w:gridSpan w:val="2"/>
            <w:tcBorders>
              <w:bottom w:val="single" w:sz="4" w:space="0" w:color="auto"/>
            </w:tcBorders>
            <w:shd w:val="clear" w:color="auto" w:fill="D9D9D9" w:themeFill="background1" w:themeFillShade="D9"/>
          </w:tcPr>
          <w:p w14:paraId="01A4251B" w14:textId="77777777" w:rsidR="00612E82" w:rsidRPr="00E6468A" w:rsidRDefault="00612E82" w:rsidP="00146513">
            <w:pPr>
              <w:rPr>
                <w:b/>
                <w:szCs w:val="18"/>
              </w:rPr>
            </w:pPr>
            <w:r w:rsidRPr="00E6468A">
              <w:rPr>
                <w:b/>
                <w:i/>
                <w:szCs w:val="18"/>
              </w:rPr>
              <w:t>Rural residential development</w:t>
            </w:r>
          </w:p>
        </w:tc>
        <w:tc>
          <w:tcPr>
            <w:tcW w:w="5439" w:type="dxa"/>
            <w:tcBorders>
              <w:bottom w:val="single" w:sz="4" w:space="0" w:color="auto"/>
            </w:tcBorders>
            <w:shd w:val="clear" w:color="auto" w:fill="D9D9D9" w:themeFill="background1" w:themeFillShade="D9"/>
          </w:tcPr>
          <w:p w14:paraId="3504D8AE" w14:textId="77777777" w:rsidR="00612E82" w:rsidRPr="00E6468A" w:rsidRDefault="00612E82" w:rsidP="00146513">
            <w:pPr>
              <w:rPr>
                <w:b/>
                <w:i/>
                <w:szCs w:val="18"/>
              </w:rPr>
            </w:pPr>
          </w:p>
        </w:tc>
      </w:tr>
      <w:tr w:rsidR="00612E82" w:rsidRPr="00E6468A" w14:paraId="070D7053" w14:textId="15F96341" w:rsidTr="00612E82">
        <w:tc>
          <w:tcPr>
            <w:tcW w:w="4424" w:type="dxa"/>
            <w:tcBorders>
              <w:bottom w:val="single" w:sz="4" w:space="0" w:color="auto"/>
            </w:tcBorders>
            <w:shd w:val="clear" w:color="auto" w:fill="auto"/>
          </w:tcPr>
          <w:p w14:paraId="0200E374" w14:textId="77777777" w:rsidR="00612E82" w:rsidRPr="00E6468A" w:rsidRDefault="00612E82" w:rsidP="00146513">
            <w:pPr>
              <w:rPr>
                <w:b/>
                <w:szCs w:val="18"/>
              </w:rPr>
            </w:pPr>
            <w:r w:rsidRPr="00E6468A">
              <w:rPr>
                <w:b/>
                <w:szCs w:val="18"/>
              </w:rPr>
              <w:t>PO14</w:t>
            </w:r>
          </w:p>
          <w:p w14:paraId="77228E39" w14:textId="77777777" w:rsidR="00612E82" w:rsidRPr="00E6468A" w:rsidRDefault="00612E82" w:rsidP="00146513">
            <w:pPr>
              <w:rPr>
                <w:szCs w:val="18"/>
              </w:rPr>
            </w:pPr>
            <w:r w:rsidRPr="00E6468A">
              <w:rPr>
                <w:szCs w:val="18"/>
              </w:rPr>
              <w:t>Rural residential development is limited to areas identified within</w:t>
            </w:r>
            <w:r w:rsidRPr="00E6468A">
              <w:rPr>
                <w:b/>
                <w:szCs w:val="18"/>
              </w:rPr>
              <w:t xml:space="preserve"> Figure 7.2.2 (</w:t>
            </w:r>
            <w:proofErr w:type="spellStart"/>
            <w:r w:rsidRPr="00E6468A">
              <w:rPr>
                <w:b/>
                <w:szCs w:val="18"/>
              </w:rPr>
              <w:t>Kalkie</w:t>
            </w:r>
            <w:proofErr w:type="spellEnd"/>
            <w:r w:rsidRPr="00E6468A">
              <w:rPr>
                <w:b/>
                <w:szCs w:val="18"/>
              </w:rPr>
              <w:t>-Ashfield local development area structure plan concept)</w:t>
            </w:r>
            <w:r w:rsidRPr="00E6468A">
              <w:rPr>
                <w:szCs w:val="18"/>
              </w:rPr>
              <w:t xml:space="preserve"> </w:t>
            </w:r>
            <w:proofErr w:type="gramStart"/>
            <w:r w:rsidRPr="00E6468A">
              <w:rPr>
                <w:szCs w:val="18"/>
              </w:rPr>
              <w:t>and:-</w:t>
            </w:r>
            <w:proofErr w:type="gramEnd"/>
            <w:r w:rsidRPr="00E6468A">
              <w:rPr>
                <w:szCs w:val="18"/>
              </w:rPr>
              <w:t xml:space="preserve"> </w:t>
            </w:r>
          </w:p>
          <w:p w14:paraId="03B7284C" w14:textId="77777777" w:rsidR="00612E82" w:rsidRPr="00E6468A" w:rsidRDefault="00612E82" w:rsidP="00612E82">
            <w:pPr>
              <w:pStyle w:val="ListParagraph"/>
              <w:numPr>
                <w:ilvl w:val="0"/>
                <w:numId w:val="32"/>
              </w:numPr>
              <w:contextualSpacing/>
              <w:rPr>
                <w:szCs w:val="18"/>
              </w:rPr>
            </w:pPr>
            <w:r w:rsidRPr="00E6468A">
              <w:rPr>
                <w:szCs w:val="18"/>
              </w:rPr>
              <w:t>sensitively responds to the prevailing local character, amenity values and other site constraints; and</w:t>
            </w:r>
          </w:p>
          <w:p w14:paraId="249196B2" w14:textId="77777777" w:rsidR="00612E82" w:rsidRPr="00E6468A" w:rsidRDefault="00612E82" w:rsidP="00612E82">
            <w:pPr>
              <w:pStyle w:val="ListParagraph"/>
              <w:numPr>
                <w:ilvl w:val="0"/>
                <w:numId w:val="32"/>
              </w:numPr>
              <w:contextualSpacing/>
              <w:rPr>
                <w:szCs w:val="18"/>
              </w:rPr>
            </w:pPr>
            <w:r w:rsidRPr="00E6468A">
              <w:rPr>
                <w:szCs w:val="18"/>
              </w:rPr>
              <w:t>provides a suitable buffer to rural land in order to mitigate conflicts between sensitive land uses and existing and potential agricultural activity.</w:t>
            </w:r>
          </w:p>
        </w:tc>
        <w:tc>
          <w:tcPr>
            <w:tcW w:w="4081" w:type="dxa"/>
            <w:tcBorders>
              <w:bottom w:val="single" w:sz="4" w:space="0" w:color="auto"/>
            </w:tcBorders>
            <w:shd w:val="clear" w:color="auto" w:fill="auto"/>
          </w:tcPr>
          <w:p w14:paraId="004EEF27" w14:textId="77777777" w:rsidR="00612E82" w:rsidRPr="00E6468A" w:rsidRDefault="00612E82" w:rsidP="00146513">
            <w:pPr>
              <w:rPr>
                <w:b/>
                <w:szCs w:val="18"/>
              </w:rPr>
            </w:pPr>
            <w:r w:rsidRPr="00E6468A">
              <w:rPr>
                <w:b/>
                <w:szCs w:val="18"/>
              </w:rPr>
              <w:t>AO14</w:t>
            </w:r>
          </w:p>
          <w:p w14:paraId="6F395F64" w14:textId="77777777" w:rsidR="00612E82" w:rsidRPr="00E6468A" w:rsidRDefault="00612E82" w:rsidP="00146513">
            <w:pPr>
              <w:rPr>
                <w:szCs w:val="18"/>
              </w:rPr>
            </w:pPr>
            <w:r w:rsidRPr="00E6468A">
              <w:rPr>
                <w:szCs w:val="18"/>
              </w:rPr>
              <w:t>No acceptable outcome provided.</w:t>
            </w:r>
          </w:p>
        </w:tc>
        <w:tc>
          <w:tcPr>
            <w:tcW w:w="5439" w:type="dxa"/>
            <w:tcBorders>
              <w:bottom w:val="single" w:sz="4" w:space="0" w:color="auto"/>
            </w:tcBorders>
          </w:tcPr>
          <w:p w14:paraId="1B617880" w14:textId="346DEA15"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355F0605" w14:textId="05588FB5" w:rsidTr="00612E82">
        <w:tc>
          <w:tcPr>
            <w:tcW w:w="8505" w:type="dxa"/>
            <w:gridSpan w:val="2"/>
            <w:shd w:val="clear" w:color="auto" w:fill="D9D9D9"/>
          </w:tcPr>
          <w:p w14:paraId="299ADEB8" w14:textId="77777777" w:rsidR="00612E82" w:rsidRPr="00E6468A" w:rsidRDefault="00612E82" w:rsidP="00146513">
            <w:pPr>
              <w:rPr>
                <w:b/>
                <w:i/>
                <w:szCs w:val="18"/>
              </w:rPr>
            </w:pPr>
            <w:r w:rsidRPr="00E6468A">
              <w:rPr>
                <w:b/>
                <w:i/>
                <w:szCs w:val="18"/>
              </w:rPr>
              <w:t>Environmental and open space network</w:t>
            </w:r>
          </w:p>
        </w:tc>
        <w:tc>
          <w:tcPr>
            <w:tcW w:w="5439" w:type="dxa"/>
            <w:shd w:val="clear" w:color="auto" w:fill="D9D9D9"/>
          </w:tcPr>
          <w:p w14:paraId="318DD7FD" w14:textId="77777777" w:rsidR="00612E82" w:rsidRPr="00E6468A" w:rsidRDefault="00612E82" w:rsidP="00146513">
            <w:pPr>
              <w:rPr>
                <w:b/>
                <w:i/>
                <w:szCs w:val="18"/>
              </w:rPr>
            </w:pPr>
          </w:p>
        </w:tc>
      </w:tr>
      <w:tr w:rsidR="00612E82" w:rsidRPr="00E6468A" w14:paraId="3C07C9D3" w14:textId="29A3D875" w:rsidTr="00612E82">
        <w:tc>
          <w:tcPr>
            <w:tcW w:w="4424" w:type="dxa"/>
            <w:tcBorders>
              <w:bottom w:val="single" w:sz="4" w:space="0" w:color="auto"/>
            </w:tcBorders>
            <w:shd w:val="clear" w:color="auto" w:fill="auto"/>
          </w:tcPr>
          <w:p w14:paraId="1976CB1B" w14:textId="77777777" w:rsidR="00612E82" w:rsidRPr="00E6468A" w:rsidRDefault="00612E82" w:rsidP="00146513">
            <w:pPr>
              <w:rPr>
                <w:b/>
                <w:szCs w:val="18"/>
              </w:rPr>
            </w:pPr>
            <w:r w:rsidRPr="00E6468A">
              <w:rPr>
                <w:b/>
                <w:szCs w:val="18"/>
              </w:rPr>
              <w:t>PO15</w:t>
            </w:r>
          </w:p>
          <w:p w14:paraId="7D5A83C0" w14:textId="77777777" w:rsidR="00612E82" w:rsidRPr="00E6468A" w:rsidRDefault="00612E82" w:rsidP="00146513">
            <w:pPr>
              <w:rPr>
                <w:szCs w:val="18"/>
              </w:rPr>
            </w:pPr>
            <w:r w:rsidRPr="00E6468A">
              <w:rPr>
                <w:szCs w:val="18"/>
              </w:rPr>
              <w:t xml:space="preserve">Development provides for an integrated environmental and open space network </w:t>
            </w:r>
            <w:proofErr w:type="gramStart"/>
            <w:r w:rsidRPr="00E6468A">
              <w:rPr>
                <w:szCs w:val="18"/>
              </w:rPr>
              <w:t>that:-</w:t>
            </w:r>
            <w:proofErr w:type="gramEnd"/>
          </w:p>
          <w:p w14:paraId="147D5EC1" w14:textId="77777777" w:rsidR="00612E82" w:rsidRPr="00E6468A" w:rsidRDefault="00612E82" w:rsidP="00612E82">
            <w:pPr>
              <w:numPr>
                <w:ilvl w:val="0"/>
                <w:numId w:val="27"/>
              </w:numPr>
              <w:rPr>
                <w:szCs w:val="18"/>
              </w:rPr>
            </w:pPr>
            <w:r w:rsidRPr="00E6468A">
              <w:rPr>
                <w:szCs w:val="18"/>
              </w:rPr>
              <w:t xml:space="preserve">effectively protects and links major areas of open space and areas of environmental significance, including </w:t>
            </w:r>
            <w:proofErr w:type="spellStart"/>
            <w:r w:rsidRPr="00E6468A">
              <w:rPr>
                <w:szCs w:val="18"/>
              </w:rPr>
              <w:t>Woongarra</w:t>
            </w:r>
            <w:proofErr w:type="spellEnd"/>
            <w:r w:rsidRPr="00E6468A">
              <w:rPr>
                <w:szCs w:val="18"/>
              </w:rPr>
              <w:t xml:space="preserve"> Scrub; </w:t>
            </w:r>
          </w:p>
          <w:p w14:paraId="28A8CB49" w14:textId="77777777" w:rsidR="00612E82" w:rsidRPr="00E6468A" w:rsidRDefault="00612E82" w:rsidP="00612E82">
            <w:pPr>
              <w:numPr>
                <w:ilvl w:val="0"/>
                <w:numId w:val="27"/>
              </w:numPr>
              <w:rPr>
                <w:szCs w:val="18"/>
              </w:rPr>
            </w:pPr>
            <w:r w:rsidRPr="00E6468A">
              <w:rPr>
                <w:szCs w:val="18"/>
              </w:rPr>
              <w:lastRenderedPageBreak/>
              <w:t xml:space="preserve">retains and protects the Burnett River foreshore and riparian areas for their environmental values and to support a walkable waterfront; and </w:t>
            </w:r>
          </w:p>
          <w:p w14:paraId="6E8B79B2" w14:textId="77777777" w:rsidR="00612E82" w:rsidRPr="00E6468A" w:rsidRDefault="00612E82" w:rsidP="00612E82">
            <w:pPr>
              <w:numPr>
                <w:ilvl w:val="0"/>
                <w:numId w:val="27"/>
              </w:numPr>
              <w:rPr>
                <w:szCs w:val="18"/>
              </w:rPr>
            </w:pPr>
            <w:r w:rsidRPr="00E6468A">
              <w:rPr>
                <w:szCs w:val="18"/>
              </w:rPr>
              <w:t>accommodates and conveys major stormwater flows and flood events.</w:t>
            </w:r>
          </w:p>
        </w:tc>
        <w:tc>
          <w:tcPr>
            <w:tcW w:w="4081" w:type="dxa"/>
            <w:tcBorders>
              <w:bottom w:val="single" w:sz="4" w:space="0" w:color="auto"/>
            </w:tcBorders>
            <w:shd w:val="clear" w:color="auto" w:fill="auto"/>
          </w:tcPr>
          <w:p w14:paraId="77C89B1F" w14:textId="77777777" w:rsidR="00612E82" w:rsidRPr="00E6468A" w:rsidRDefault="00612E82" w:rsidP="00146513">
            <w:pPr>
              <w:rPr>
                <w:b/>
                <w:szCs w:val="18"/>
              </w:rPr>
            </w:pPr>
            <w:r w:rsidRPr="00E6468A">
              <w:rPr>
                <w:b/>
                <w:szCs w:val="18"/>
              </w:rPr>
              <w:lastRenderedPageBreak/>
              <w:t>AO15</w:t>
            </w:r>
          </w:p>
          <w:p w14:paraId="65F3DF08" w14:textId="77777777" w:rsidR="00612E82" w:rsidRPr="00E6468A" w:rsidRDefault="00612E82" w:rsidP="00146513">
            <w:pPr>
              <w:rPr>
                <w:i/>
                <w:szCs w:val="18"/>
              </w:rPr>
            </w:pPr>
            <w:r w:rsidRPr="00E6468A">
              <w:rPr>
                <w:i/>
                <w:szCs w:val="18"/>
              </w:rPr>
              <w:t>In partial fulfilment only of Performance outcome PO</w:t>
            </w:r>
            <w:proofErr w:type="gramStart"/>
            <w:r w:rsidRPr="00E6468A">
              <w:rPr>
                <w:i/>
                <w:szCs w:val="18"/>
              </w:rPr>
              <w:t>15:-</w:t>
            </w:r>
            <w:proofErr w:type="gramEnd"/>
          </w:p>
          <w:p w14:paraId="57C02FF7" w14:textId="77777777" w:rsidR="00612E82" w:rsidRPr="00E6468A" w:rsidRDefault="00612E82" w:rsidP="00146513">
            <w:pPr>
              <w:rPr>
                <w:i/>
                <w:szCs w:val="18"/>
              </w:rPr>
            </w:pPr>
          </w:p>
          <w:p w14:paraId="02FCEC74" w14:textId="77777777" w:rsidR="00612E82" w:rsidRPr="00E6468A" w:rsidRDefault="00612E82" w:rsidP="00146513">
            <w:pPr>
              <w:rPr>
                <w:sz w:val="16"/>
                <w:szCs w:val="16"/>
              </w:rPr>
            </w:pPr>
            <w:r w:rsidRPr="00E6468A">
              <w:rPr>
                <w:szCs w:val="18"/>
              </w:rPr>
              <w:t xml:space="preserve">Development provides for open space/environment protection areas generally in accordance with </w:t>
            </w:r>
            <w:r w:rsidRPr="00E6468A">
              <w:rPr>
                <w:b/>
                <w:szCs w:val="18"/>
              </w:rPr>
              <w:t xml:space="preserve">Figure 7.2.2 </w:t>
            </w:r>
            <w:r w:rsidRPr="00E6468A">
              <w:rPr>
                <w:b/>
                <w:szCs w:val="18"/>
              </w:rPr>
              <w:lastRenderedPageBreak/>
              <w:t>(</w:t>
            </w:r>
            <w:proofErr w:type="spellStart"/>
            <w:r w:rsidRPr="00E6468A">
              <w:rPr>
                <w:b/>
                <w:szCs w:val="18"/>
              </w:rPr>
              <w:t>Kalkie</w:t>
            </w:r>
            <w:proofErr w:type="spellEnd"/>
            <w:r w:rsidRPr="00E6468A">
              <w:rPr>
                <w:b/>
                <w:szCs w:val="18"/>
              </w:rPr>
              <w:t>-Ashfield local development area structure plan concept)</w:t>
            </w:r>
            <w:r w:rsidRPr="00E6468A">
              <w:rPr>
                <w:szCs w:val="18"/>
              </w:rPr>
              <w:t>.</w:t>
            </w:r>
          </w:p>
        </w:tc>
        <w:tc>
          <w:tcPr>
            <w:tcW w:w="5439" w:type="dxa"/>
            <w:tcBorders>
              <w:bottom w:val="single" w:sz="4" w:space="0" w:color="auto"/>
            </w:tcBorders>
          </w:tcPr>
          <w:p w14:paraId="0DB3C84A" w14:textId="4A2840DF" w:rsidR="00612E82" w:rsidRPr="00E6468A" w:rsidRDefault="00612E82"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50E8EC34" w14:textId="451772CF" w:rsidTr="00612E82">
        <w:tc>
          <w:tcPr>
            <w:tcW w:w="4424" w:type="dxa"/>
            <w:tcBorders>
              <w:bottom w:val="single" w:sz="4" w:space="0" w:color="auto"/>
            </w:tcBorders>
            <w:shd w:val="clear" w:color="auto" w:fill="auto"/>
          </w:tcPr>
          <w:p w14:paraId="11D67987" w14:textId="77777777" w:rsidR="00612E82" w:rsidRPr="00E6468A" w:rsidRDefault="00612E82" w:rsidP="00146513">
            <w:pPr>
              <w:rPr>
                <w:b/>
                <w:szCs w:val="18"/>
              </w:rPr>
            </w:pPr>
            <w:r w:rsidRPr="00E6468A">
              <w:rPr>
                <w:b/>
                <w:szCs w:val="18"/>
              </w:rPr>
              <w:t>PO16</w:t>
            </w:r>
          </w:p>
          <w:p w14:paraId="6C00DA4D" w14:textId="77777777" w:rsidR="00612E82" w:rsidRPr="00E6468A" w:rsidRDefault="00612E82" w:rsidP="00146513">
            <w:pPr>
              <w:rPr>
                <w:szCs w:val="18"/>
              </w:rPr>
            </w:pPr>
            <w:r w:rsidRPr="00E6468A">
              <w:rPr>
                <w:szCs w:val="18"/>
              </w:rPr>
              <w:t xml:space="preserve">Land adjacent to the Burnett River in </w:t>
            </w:r>
            <w:proofErr w:type="spellStart"/>
            <w:r w:rsidRPr="00E6468A">
              <w:rPr>
                <w:szCs w:val="18"/>
              </w:rPr>
              <w:t>Kalkie</w:t>
            </w:r>
            <w:proofErr w:type="spellEnd"/>
            <w:r w:rsidRPr="00E6468A">
              <w:rPr>
                <w:szCs w:val="18"/>
              </w:rPr>
              <w:t xml:space="preserve"> is kept available for the potential </w:t>
            </w:r>
            <w:proofErr w:type="gramStart"/>
            <w:r w:rsidRPr="00E6468A">
              <w:rPr>
                <w:szCs w:val="18"/>
              </w:rPr>
              <w:t>long term</w:t>
            </w:r>
            <w:proofErr w:type="gramEnd"/>
            <w:r w:rsidRPr="00E6468A">
              <w:rPr>
                <w:szCs w:val="18"/>
              </w:rPr>
              <w:t xml:space="preserve"> development of higher order sport and recreation facilities meeting the needs of the Bundaberg Region, subject to appropriate address of flooding constraints.</w:t>
            </w:r>
          </w:p>
        </w:tc>
        <w:tc>
          <w:tcPr>
            <w:tcW w:w="4081" w:type="dxa"/>
            <w:tcBorders>
              <w:bottom w:val="single" w:sz="4" w:space="0" w:color="auto"/>
            </w:tcBorders>
            <w:shd w:val="clear" w:color="auto" w:fill="auto"/>
          </w:tcPr>
          <w:p w14:paraId="77C3A6E4" w14:textId="77777777" w:rsidR="00612E82" w:rsidRPr="00E6468A" w:rsidRDefault="00612E82" w:rsidP="00146513">
            <w:pPr>
              <w:rPr>
                <w:b/>
                <w:szCs w:val="18"/>
              </w:rPr>
            </w:pPr>
            <w:r w:rsidRPr="00E6468A">
              <w:rPr>
                <w:b/>
                <w:szCs w:val="18"/>
              </w:rPr>
              <w:t>AO16</w:t>
            </w:r>
          </w:p>
          <w:p w14:paraId="27E680D3" w14:textId="77777777" w:rsidR="00612E82" w:rsidRPr="00E6468A" w:rsidRDefault="00612E82" w:rsidP="00146513">
            <w:pPr>
              <w:rPr>
                <w:i/>
                <w:szCs w:val="18"/>
              </w:rPr>
            </w:pPr>
            <w:r w:rsidRPr="00E6468A">
              <w:rPr>
                <w:szCs w:val="18"/>
              </w:rPr>
              <w:t>No acceptable outcome provided.</w:t>
            </w:r>
          </w:p>
        </w:tc>
        <w:tc>
          <w:tcPr>
            <w:tcW w:w="5439" w:type="dxa"/>
            <w:tcBorders>
              <w:bottom w:val="single" w:sz="4" w:space="0" w:color="auto"/>
            </w:tcBorders>
          </w:tcPr>
          <w:p w14:paraId="2F9C4452" w14:textId="7E2126B2"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131AD7BD" w14:textId="18F5BE74" w:rsidTr="00612E82">
        <w:tc>
          <w:tcPr>
            <w:tcW w:w="8505" w:type="dxa"/>
            <w:gridSpan w:val="2"/>
            <w:shd w:val="clear" w:color="auto" w:fill="D9D9D9"/>
          </w:tcPr>
          <w:p w14:paraId="12BA60A8" w14:textId="77777777" w:rsidR="00612E82" w:rsidRPr="00E6468A" w:rsidRDefault="00612E82" w:rsidP="00146513">
            <w:pPr>
              <w:rPr>
                <w:b/>
                <w:i/>
                <w:szCs w:val="18"/>
              </w:rPr>
            </w:pPr>
            <w:r w:rsidRPr="00E6468A">
              <w:rPr>
                <w:b/>
                <w:i/>
                <w:szCs w:val="18"/>
              </w:rPr>
              <w:t>Rural and landscape protection area</w:t>
            </w:r>
          </w:p>
        </w:tc>
        <w:tc>
          <w:tcPr>
            <w:tcW w:w="5439" w:type="dxa"/>
            <w:shd w:val="clear" w:color="auto" w:fill="D9D9D9"/>
          </w:tcPr>
          <w:p w14:paraId="2698389E" w14:textId="77777777" w:rsidR="00612E82" w:rsidRPr="00E6468A" w:rsidRDefault="00612E82" w:rsidP="00146513">
            <w:pPr>
              <w:rPr>
                <w:b/>
                <w:i/>
                <w:szCs w:val="18"/>
              </w:rPr>
            </w:pPr>
          </w:p>
        </w:tc>
      </w:tr>
      <w:tr w:rsidR="00612E82" w:rsidRPr="00E6468A" w14:paraId="33E4C4E6" w14:textId="38C0BC06" w:rsidTr="00612E82">
        <w:tc>
          <w:tcPr>
            <w:tcW w:w="4424" w:type="dxa"/>
            <w:tcBorders>
              <w:bottom w:val="single" w:sz="4" w:space="0" w:color="auto"/>
            </w:tcBorders>
            <w:shd w:val="clear" w:color="auto" w:fill="auto"/>
          </w:tcPr>
          <w:p w14:paraId="07D324D0" w14:textId="77777777" w:rsidR="00612E82" w:rsidRPr="00E6468A" w:rsidRDefault="00612E82" w:rsidP="00146513">
            <w:pPr>
              <w:rPr>
                <w:b/>
                <w:szCs w:val="18"/>
              </w:rPr>
            </w:pPr>
            <w:r w:rsidRPr="00E6468A">
              <w:rPr>
                <w:b/>
                <w:szCs w:val="18"/>
              </w:rPr>
              <w:t>PO17</w:t>
            </w:r>
          </w:p>
          <w:p w14:paraId="4A37E70D" w14:textId="77777777" w:rsidR="00612E82" w:rsidRPr="00E6468A" w:rsidRDefault="00612E82" w:rsidP="00146513">
            <w:pPr>
              <w:rPr>
                <w:szCs w:val="18"/>
              </w:rPr>
            </w:pPr>
            <w:r w:rsidRPr="00E6468A">
              <w:rPr>
                <w:szCs w:val="18"/>
              </w:rPr>
              <w:t xml:space="preserve">A Rural and landscape protection area is maintained in the </w:t>
            </w:r>
            <w:proofErr w:type="spellStart"/>
            <w:r w:rsidRPr="00E6468A">
              <w:rPr>
                <w:szCs w:val="18"/>
              </w:rPr>
              <w:t>Kalkie</w:t>
            </w:r>
            <w:proofErr w:type="spellEnd"/>
            <w:r w:rsidRPr="00E6468A">
              <w:rPr>
                <w:szCs w:val="18"/>
              </w:rPr>
              <w:t xml:space="preserve">-Ashfield local development area so as </w:t>
            </w:r>
            <w:proofErr w:type="gramStart"/>
            <w:r w:rsidRPr="00E6468A">
              <w:rPr>
                <w:szCs w:val="18"/>
              </w:rPr>
              <w:t>to:-</w:t>
            </w:r>
            <w:proofErr w:type="gramEnd"/>
          </w:p>
          <w:p w14:paraId="5DA7ACFF" w14:textId="77777777" w:rsidR="00612E82" w:rsidRPr="00E6468A" w:rsidRDefault="00612E82" w:rsidP="00612E82">
            <w:pPr>
              <w:numPr>
                <w:ilvl w:val="0"/>
                <w:numId w:val="23"/>
              </w:numPr>
              <w:rPr>
                <w:szCs w:val="18"/>
              </w:rPr>
            </w:pPr>
            <w:r w:rsidRPr="00E6468A">
              <w:rPr>
                <w:szCs w:val="18"/>
              </w:rPr>
              <w:t xml:space="preserve">protect and enhance rural landscape and scenic amenity values; </w:t>
            </w:r>
          </w:p>
          <w:p w14:paraId="04A49339" w14:textId="77777777" w:rsidR="00612E82" w:rsidRPr="00E6468A" w:rsidRDefault="00612E82" w:rsidP="00612E82">
            <w:pPr>
              <w:numPr>
                <w:ilvl w:val="0"/>
                <w:numId w:val="23"/>
              </w:numPr>
              <w:rPr>
                <w:szCs w:val="18"/>
              </w:rPr>
            </w:pPr>
            <w:r w:rsidRPr="00E6468A">
              <w:rPr>
                <w:szCs w:val="18"/>
              </w:rPr>
              <w:t>retain land for rural production and other non-urban uses that are compatible with the retention of the area’s rural and natural landscape character; and</w:t>
            </w:r>
          </w:p>
          <w:p w14:paraId="38B0AA5B" w14:textId="77777777" w:rsidR="00612E82" w:rsidRPr="00E6468A" w:rsidRDefault="00612E82" w:rsidP="00612E82">
            <w:pPr>
              <w:numPr>
                <w:ilvl w:val="0"/>
                <w:numId w:val="23"/>
              </w:numPr>
              <w:rPr>
                <w:szCs w:val="18"/>
              </w:rPr>
            </w:pPr>
            <w:r w:rsidRPr="00E6468A">
              <w:rPr>
                <w:szCs w:val="18"/>
              </w:rPr>
              <w:t xml:space="preserve">facilitate the proper and orderly planning of the </w:t>
            </w:r>
            <w:proofErr w:type="spellStart"/>
            <w:r w:rsidRPr="00E6468A">
              <w:rPr>
                <w:szCs w:val="18"/>
              </w:rPr>
              <w:t>Kalkie</w:t>
            </w:r>
            <w:proofErr w:type="spellEnd"/>
            <w:r w:rsidRPr="00E6468A">
              <w:rPr>
                <w:szCs w:val="18"/>
              </w:rPr>
              <w:t>-Ashfield local development area.</w:t>
            </w:r>
          </w:p>
        </w:tc>
        <w:tc>
          <w:tcPr>
            <w:tcW w:w="4081" w:type="dxa"/>
            <w:tcBorders>
              <w:bottom w:val="single" w:sz="4" w:space="0" w:color="auto"/>
            </w:tcBorders>
            <w:shd w:val="clear" w:color="auto" w:fill="auto"/>
          </w:tcPr>
          <w:p w14:paraId="6C8424D2" w14:textId="77777777" w:rsidR="00612E82" w:rsidRPr="00E6468A" w:rsidRDefault="00612E82" w:rsidP="00146513">
            <w:pPr>
              <w:rPr>
                <w:b/>
                <w:szCs w:val="18"/>
              </w:rPr>
            </w:pPr>
            <w:r w:rsidRPr="00E6468A">
              <w:rPr>
                <w:b/>
                <w:szCs w:val="18"/>
              </w:rPr>
              <w:t>AO17.1</w:t>
            </w:r>
          </w:p>
          <w:p w14:paraId="24857C3C" w14:textId="77777777" w:rsidR="00612E82" w:rsidRPr="00E6468A" w:rsidRDefault="00612E82" w:rsidP="00146513">
            <w:pPr>
              <w:rPr>
                <w:b/>
                <w:szCs w:val="18"/>
              </w:rPr>
            </w:pPr>
            <w:r w:rsidRPr="00E6468A">
              <w:rPr>
                <w:szCs w:val="18"/>
              </w:rPr>
              <w:t xml:space="preserve">Development for urban purposes does not occur in the Rural and landscape protection area identified on </w:t>
            </w:r>
            <w:r w:rsidRPr="00E6468A">
              <w:rPr>
                <w:b/>
                <w:szCs w:val="18"/>
              </w:rPr>
              <w:t>Figure 7.2.2 (</w:t>
            </w:r>
            <w:proofErr w:type="spellStart"/>
            <w:r w:rsidRPr="00E6468A">
              <w:rPr>
                <w:b/>
                <w:szCs w:val="18"/>
              </w:rPr>
              <w:t>Kalkie</w:t>
            </w:r>
            <w:proofErr w:type="spellEnd"/>
            <w:r w:rsidRPr="00E6468A">
              <w:rPr>
                <w:b/>
                <w:szCs w:val="18"/>
              </w:rPr>
              <w:t>-Ashfield local development area structure plan concept)</w:t>
            </w:r>
            <w:r w:rsidRPr="00E6468A">
              <w:rPr>
                <w:szCs w:val="18"/>
              </w:rPr>
              <w:t>.</w:t>
            </w:r>
          </w:p>
          <w:p w14:paraId="2FFBCBA9" w14:textId="77777777" w:rsidR="00612E82" w:rsidRPr="00E6468A" w:rsidRDefault="00612E82" w:rsidP="00146513">
            <w:pPr>
              <w:rPr>
                <w:szCs w:val="18"/>
              </w:rPr>
            </w:pPr>
          </w:p>
          <w:p w14:paraId="69C0DF45" w14:textId="77777777" w:rsidR="00612E82" w:rsidRPr="00E6468A" w:rsidRDefault="00612E82" w:rsidP="00146513">
            <w:pPr>
              <w:rPr>
                <w:b/>
                <w:szCs w:val="18"/>
              </w:rPr>
            </w:pPr>
            <w:r w:rsidRPr="00E6468A">
              <w:rPr>
                <w:b/>
                <w:szCs w:val="18"/>
              </w:rPr>
              <w:t>AO17.2</w:t>
            </w:r>
          </w:p>
          <w:p w14:paraId="274241D8" w14:textId="77777777" w:rsidR="00612E82" w:rsidRPr="00E6468A" w:rsidRDefault="00612E82" w:rsidP="00146513">
            <w:pPr>
              <w:rPr>
                <w:szCs w:val="18"/>
              </w:rPr>
            </w:pPr>
            <w:r w:rsidRPr="00E6468A">
              <w:rPr>
                <w:szCs w:val="18"/>
              </w:rPr>
              <w:t xml:space="preserve">Development in the Rural and landscape protection area does not compromise the provision of potential future road connections and other infrastructure corridors required to support and service urban development in the </w:t>
            </w:r>
            <w:proofErr w:type="spellStart"/>
            <w:r w:rsidRPr="00E6468A">
              <w:rPr>
                <w:szCs w:val="18"/>
              </w:rPr>
              <w:t>Kalkie</w:t>
            </w:r>
            <w:proofErr w:type="spellEnd"/>
            <w:r w:rsidRPr="00E6468A">
              <w:rPr>
                <w:szCs w:val="18"/>
              </w:rPr>
              <w:t>-Ashfield local development area.</w:t>
            </w:r>
          </w:p>
        </w:tc>
        <w:tc>
          <w:tcPr>
            <w:tcW w:w="5439" w:type="dxa"/>
            <w:tcBorders>
              <w:bottom w:val="single" w:sz="4" w:space="0" w:color="auto"/>
            </w:tcBorders>
          </w:tcPr>
          <w:p w14:paraId="54F9F59D" w14:textId="382CF63D"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60AFC4D8" w14:textId="14507429" w:rsidTr="00612E82">
        <w:tc>
          <w:tcPr>
            <w:tcW w:w="8505" w:type="dxa"/>
            <w:gridSpan w:val="2"/>
            <w:shd w:val="clear" w:color="auto" w:fill="D9D9D9"/>
          </w:tcPr>
          <w:p w14:paraId="6A6285B1" w14:textId="77777777" w:rsidR="00612E82" w:rsidRPr="00E6468A" w:rsidRDefault="00612E82" w:rsidP="00146513">
            <w:pPr>
              <w:rPr>
                <w:b/>
                <w:i/>
                <w:szCs w:val="18"/>
              </w:rPr>
            </w:pPr>
            <w:r w:rsidRPr="00E6468A">
              <w:rPr>
                <w:b/>
                <w:i/>
                <w:szCs w:val="18"/>
              </w:rPr>
              <w:t>Buffering and separation</w:t>
            </w:r>
          </w:p>
        </w:tc>
        <w:tc>
          <w:tcPr>
            <w:tcW w:w="5439" w:type="dxa"/>
            <w:shd w:val="clear" w:color="auto" w:fill="D9D9D9"/>
          </w:tcPr>
          <w:p w14:paraId="6D85007D" w14:textId="77777777" w:rsidR="00612E82" w:rsidRPr="00E6468A" w:rsidRDefault="00612E82" w:rsidP="00146513">
            <w:pPr>
              <w:rPr>
                <w:b/>
                <w:i/>
                <w:szCs w:val="18"/>
              </w:rPr>
            </w:pPr>
          </w:p>
        </w:tc>
      </w:tr>
      <w:tr w:rsidR="00612E82" w:rsidRPr="00E6468A" w14:paraId="399FCAF4" w14:textId="2270B313" w:rsidTr="00612E82">
        <w:tc>
          <w:tcPr>
            <w:tcW w:w="4424" w:type="dxa"/>
            <w:shd w:val="clear" w:color="auto" w:fill="auto"/>
          </w:tcPr>
          <w:p w14:paraId="521F81BD" w14:textId="77777777" w:rsidR="00612E82" w:rsidRPr="00E6468A" w:rsidRDefault="00612E82" w:rsidP="00146513">
            <w:pPr>
              <w:rPr>
                <w:b/>
                <w:szCs w:val="18"/>
              </w:rPr>
            </w:pPr>
            <w:r w:rsidRPr="00E6468A">
              <w:rPr>
                <w:b/>
                <w:szCs w:val="18"/>
              </w:rPr>
              <w:t>PO18</w:t>
            </w:r>
          </w:p>
          <w:p w14:paraId="1DC0FF63" w14:textId="77777777" w:rsidR="00612E82" w:rsidRPr="00E6468A" w:rsidRDefault="00612E82" w:rsidP="00146513">
            <w:pPr>
              <w:rPr>
                <w:szCs w:val="18"/>
              </w:rPr>
            </w:pPr>
            <w:r w:rsidRPr="00E6468A">
              <w:rPr>
                <w:szCs w:val="18"/>
              </w:rPr>
              <w:t xml:space="preserve">Development incorporates adequate buffering and separation to surrounding rural production areas so as </w:t>
            </w:r>
            <w:proofErr w:type="gramStart"/>
            <w:r w:rsidRPr="00E6468A">
              <w:rPr>
                <w:szCs w:val="18"/>
              </w:rPr>
              <w:t>to:-</w:t>
            </w:r>
            <w:proofErr w:type="gramEnd"/>
          </w:p>
          <w:p w14:paraId="101236A2" w14:textId="77777777" w:rsidR="00612E82" w:rsidRPr="00E6468A" w:rsidRDefault="00612E82" w:rsidP="00612E82">
            <w:pPr>
              <w:numPr>
                <w:ilvl w:val="0"/>
                <w:numId w:val="22"/>
              </w:numPr>
              <w:rPr>
                <w:szCs w:val="18"/>
              </w:rPr>
            </w:pPr>
            <w:r w:rsidRPr="00E6468A">
              <w:rPr>
                <w:szCs w:val="18"/>
              </w:rPr>
              <w:t>maintain the productive use of agricultural land classification (ALC) Class A and Class B land;</w:t>
            </w:r>
          </w:p>
          <w:p w14:paraId="25C6AB23" w14:textId="77777777" w:rsidR="00612E82" w:rsidRPr="00E6468A" w:rsidRDefault="00612E82" w:rsidP="00612E82">
            <w:pPr>
              <w:numPr>
                <w:ilvl w:val="0"/>
                <w:numId w:val="22"/>
              </w:numPr>
              <w:rPr>
                <w:szCs w:val="18"/>
              </w:rPr>
            </w:pPr>
            <w:r w:rsidRPr="00E6468A">
              <w:rPr>
                <w:szCs w:val="18"/>
              </w:rPr>
              <w:t xml:space="preserve">mitigate land use conflicts between rural activities and sensitive land uses within the </w:t>
            </w:r>
            <w:proofErr w:type="spellStart"/>
            <w:r w:rsidRPr="00E6468A">
              <w:rPr>
                <w:szCs w:val="18"/>
              </w:rPr>
              <w:t>Kalkie</w:t>
            </w:r>
            <w:proofErr w:type="spellEnd"/>
            <w:r w:rsidRPr="00E6468A">
              <w:rPr>
                <w:szCs w:val="18"/>
              </w:rPr>
              <w:t>-Ashfield local development area; and</w:t>
            </w:r>
          </w:p>
          <w:p w14:paraId="51A01FBA" w14:textId="77777777" w:rsidR="00612E82" w:rsidRPr="00E6468A" w:rsidRDefault="00612E82" w:rsidP="00612E82">
            <w:pPr>
              <w:numPr>
                <w:ilvl w:val="0"/>
                <w:numId w:val="22"/>
              </w:numPr>
              <w:rPr>
                <w:szCs w:val="18"/>
              </w:rPr>
            </w:pPr>
            <w:r w:rsidRPr="00E6468A">
              <w:rPr>
                <w:szCs w:val="18"/>
              </w:rPr>
              <w:lastRenderedPageBreak/>
              <w:t xml:space="preserve">protect the amenity and wellbeing of prospective residents within the </w:t>
            </w:r>
            <w:proofErr w:type="spellStart"/>
            <w:r w:rsidRPr="00E6468A">
              <w:rPr>
                <w:szCs w:val="18"/>
              </w:rPr>
              <w:t>Kalkie</w:t>
            </w:r>
            <w:proofErr w:type="spellEnd"/>
            <w:r w:rsidRPr="00E6468A">
              <w:rPr>
                <w:szCs w:val="18"/>
              </w:rPr>
              <w:t xml:space="preserve">-Ashfield local development area. </w:t>
            </w:r>
          </w:p>
        </w:tc>
        <w:tc>
          <w:tcPr>
            <w:tcW w:w="4081" w:type="dxa"/>
            <w:shd w:val="clear" w:color="auto" w:fill="auto"/>
          </w:tcPr>
          <w:p w14:paraId="06EDFD63" w14:textId="77777777" w:rsidR="00612E82" w:rsidRPr="00E6468A" w:rsidRDefault="00612E82" w:rsidP="00146513">
            <w:pPr>
              <w:rPr>
                <w:b/>
                <w:szCs w:val="18"/>
              </w:rPr>
            </w:pPr>
            <w:r w:rsidRPr="00E6468A">
              <w:rPr>
                <w:b/>
                <w:szCs w:val="18"/>
              </w:rPr>
              <w:lastRenderedPageBreak/>
              <w:t>AO18</w:t>
            </w:r>
          </w:p>
          <w:p w14:paraId="731E7822" w14:textId="77777777" w:rsidR="00612E82" w:rsidRPr="00E6468A" w:rsidRDefault="00612E82" w:rsidP="00146513">
            <w:pPr>
              <w:rPr>
                <w:szCs w:val="18"/>
              </w:rPr>
            </w:pPr>
            <w:r w:rsidRPr="00E6468A">
              <w:rPr>
                <w:szCs w:val="18"/>
              </w:rPr>
              <w:t xml:space="preserve">Buffers and separation areas to ALC Class A and Class B land and other rural production areas are designed, established and </w:t>
            </w:r>
            <w:proofErr w:type="gramStart"/>
            <w:r w:rsidRPr="00E6468A">
              <w:rPr>
                <w:szCs w:val="18"/>
              </w:rPr>
              <w:t>maintained:-</w:t>
            </w:r>
            <w:proofErr w:type="gramEnd"/>
          </w:p>
          <w:p w14:paraId="72F3A0E4" w14:textId="77777777" w:rsidR="00612E82" w:rsidRPr="00E6468A" w:rsidRDefault="00612E82" w:rsidP="00612E82">
            <w:pPr>
              <w:pStyle w:val="ListParagraph"/>
              <w:numPr>
                <w:ilvl w:val="0"/>
                <w:numId w:val="33"/>
              </w:numPr>
              <w:ind w:left="363" w:hanging="363"/>
              <w:contextualSpacing/>
              <w:rPr>
                <w:szCs w:val="18"/>
              </w:rPr>
            </w:pPr>
            <w:r w:rsidRPr="00E6468A">
              <w:rPr>
                <w:szCs w:val="18"/>
              </w:rPr>
              <w:t xml:space="preserve">to provide a minimum </w:t>
            </w:r>
            <w:proofErr w:type="gramStart"/>
            <w:r w:rsidRPr="00E6468A">
              <w:rPr>
                <w:szCs w:val="18"/>
              </w:rPr>
              <w:t>20 metre wide</w:t>
            </w:r>
            <w:proofErr w:type="gramEnd"/>
            <w:r w:rsidRPr="00E6468A">
              <w:rPr>
                <w:szCs w:val="18"/>
              </w:rPr>
              <w:t xml:space="preserve"> densely landscaped buffer incorporated within the development and held in private ownership, with dwellings or other sensitive receptors set back 30 </w:t>
            </w:r>
            <w:r w:rsidRPr="00E6468A">
              <w:rPr>
                <w:szCs w:val="18"/>
              </w:rPr>
              <w:lastRenderedPageBreak/>
              <w:t>metres from the road frontage or property boundary; or</w:t>
            </w:r>
          </w:p>
          <w:p w14:paraId="07704471" w14:textId="77777777" w:rsidR="00612E82" w:rsidRPr="00E6468A" w:rsidRDefault="00612E82" w:rsidP="00612E82">
            <w:pPr>
              <w:pStyle w:val="ListParagraph"/>
              <w:numPr>
                <w:ilvl w:val="0"/>
                <w:numId w:val="33"/>
              </w:numPr>
              <w:ind w:left="363" w:hanging="363"/>
              <w:contextualSpacing/>
              <w:rPr>
                <w:szCs w:val="18"/>
              </w:rPr>
            </w:pPr>
            <w:r w:rsidRPr="00E6468A">
              <w:rPr>
                <w:szCs w:val="18"/>
              </w:rPr>
              <w:t xml:space="preserve">in accordance with an assessment report prepared by an appropriately qualified consultant that demonstrates, to the Council’s satisfaction, compliance with the performance outcome. </w:t>
            </w:r>
          </w:p>
          <w:p w14:paraId="78FE4F08" w14:textId="77777777" w:rsidR="00612E82" w:rsidRPr="00E6468A" w:rsidRDefault="00612E82" w:rsidP="00146513">
            <w:pPr>
              <w:rPr>
                <w:szCs w:val="18"/>
              </w:rPr>
            </w:pPr>
          </w:p>
          <w:p w14:paraId="4F2AD7A6" w14:textId="77777777" w:rsidR="00612E82" w:rsidRPr="00E6468A" w:rsidRDefault="00612E82" w:rsidP="00146513">
            <w:pPr>
              <w:rPr>
                <w:sz w:val="16"/>
                <w:szCs w:val="16"/>
              </w:rPr>
            </w:pPr>
            <w:r w:rsidRPr="00E6468A">
              <w:rPr>
                <w:sz w:val="16"/>
                <w:szCs w:val="16"/>
              </w:rPr>
              <w:t>Note—</w:t>
            </w:r>
            <w:r w:rsidRPr="00E6468A">
              <w:rPr>
                <w:b/>
                <w:sz w:val="16"/>
                <w:szCs w:val="16"/>
              </w:rPr>
              <w:t>Figure 7.2.2</w:t>
            </w:r>
            <w:r w:rsidRPr="00E6468A">
              <w:rPr>
                <w:b/>
                <w:szCs w:val="18"/>
              </w:rPr>
              <w:t xml:space="preserve"> </w:t>
            </w:r>
            <w:r w:rsidRPr="00E6468A">
              <w:rPr>
                <w:b/>
                <w:sz w:val="16"/>
                <w:szCs w:val="16"/>
              </w:rPr>
              <w:t>(</w:t>
            </w:r>
            <w:proofErr w:type="spellStart"/>
            <w:r w:rsidRPr="00E6468A">
              <w:rPr>
                <w:b/>
                <w:sz w:val="16"/>
                <w:szCs w:val="16"/>
              </w:rPr>
              <w:t>Kalkie</w:t>
            </w:r>
            <w:proofErr w:type="spellEnd"/>
            <w:r w:rsidRPr="00E6468A">
              <w:rPr>
                <w:b/>
                <w:sz w:val="16"/>
                <w:szCs w:val="16"/>
              </w:rPr>
              <w:t xml:space="preserve">-Ashfield local development area structure plan concept) </w:t>
            </w:r>
            <w:r w:rsidRPr="00E6468A">
              <w:rPr>
                <w:sz w:val="16"/>
                <w:szCs w:val="16"/>
              </w:rPr>
              <w:t>identifies the indicative locations where agricultural land buffers will be required.</w:t>
            </w:r>
          </w:p>
        </w:tc>
        <w:tc>
          <w:tcPr>
            <w:tcW w:w="5439" w:type="dxa"/>
          </w:tcPr>
          <w:p w14:paraId="58929686" w14:textId="3438BC24" w:rsidR="00612E82" w:rsidRPr="00E6468A" w:rsidRDefault="00612E82"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5CF50F44" w14:textId="0AA57C7B" w:rsidTr="00612E82">
        <w:tc>
          <w:tcPr>
            <w:tcW w:w="4424" w:type="dxa"/>
            <w:shd w:val="clear" w:color="auto" w:fill="auto"/>
          </w:tcPr>
          <w:p w14:paraId="4239CFB4" w14:textId="77777777" w:rsidR="00612E82" w:rsidRPr="00E6468A" w:rsidRDefault="00612E82" w:rsidP="00146513">
            <w:pPr>
              <w:rPr>
                <w:b/>
                <w:szCs w:val="18"/>
              </w:rPr>
            </w:pPr>
            <w:r w:rsidRPr="00E6468A">
              <w:rPr>
                <w:b/>
                <w:szCs w:val="18"/>
              </w:rPr>
              <w:t>PO19</w:t>
            </w:r>
          </w:p>
          <w:p w14:paraId="3EE1F6CB" w14:textId="77777777" w:rsidR="00612E82" w:rsidRPr="00E6468A" w:rsidRDefault="00612E82" w:rsidP="00146513">
            <w:pPr>
              <w:rPr>
                <w:szCs w:val="18"/>
              </w:rPr>
            </w:pPr>
            <w:r w:rsidRPr="00E6468A">
              <w:rPr>
                <w:szCs w:val="18"/>
              </w:rPr>
              <w:t xml:space="preserve">Development is appropriately staged and designed to ensure that land use conflicts are minimised between proposed urban residential development and existing farming operations within the </w:t>
            </w:r>
            <w:proofErr w:type="spellStart"/>
            <w:r w:rsidRPr="00E6468A">
              <w:rPr>
                <w:szCs w:val="18"/>
              </w:rPr>
              <w:t>Kalkie</w:t>
            </w:r>
            <w:proofErr w:type="spellEnd"/>
            <w:r w:rsidRPr="00E6468A">
              <w:rPr>
                <w:szCs w:val="18"/>
              </w:rPr>
              <w:t xml:space="preserve">-Ashfield local development area. </w:t>
            </w:r>
          </w:p>
        </w:tc>
        <w:tc>
          <w:tcPr>
            <w:tcW w:w="4081" w:type="dxa"/>
            <w:shd w:val="clear" w:color="auto" w:fill="auto"/>
          </w:tcPr>
          <w:p w14:paraId="7DC5B1BE" w14:textId="77777777" w:rsidR="00612E82" w:rsidRPr="00E6468A" w:rsidRDefault="00612E82" w:rsidP="00146513">
            <w:pPr>
              <w:rPr>
                <w:b/>
                <w:szCs w:val="18"/>
              </w:rPr>
            </w:pPr>
            <w:r w:rsidRPr="00E6468A">
              <w:rPr>
                <w:b/>
                <w:szCs w:val="18"/>
              </w:rPr>
              <w:t>AO19</w:t>
            </w:r>
          </w:p>
          <w:p w14:paraId="2440CAB9" w14:textId="77777777" w:rsidR="00612E82" w:rsidRPr="00E6468A" w:rsidRDefault="00612E82" w:rsidP="00146513">
            <w:pPr>
              <w:rPr>
                <w:szCs w:val="18"/>
              </w:rPr>
            </w:pPr>
            <w:r w:rsidRPr="00E6468A">
              <w:rPr>
                <w:szCs w:val="18"/>
              </w:rPr>
              <w:t xml:space="preserve">Where development abuts land used for agricultural purposes within the </w:t>
            </w:r>
            <w:proofErr w:type="spellStart"/>
            <w:r w:rsidRPr="00E6468A">
              <w:rPr>
                <w:szCs w:val="18"/>
              </w:rPr>
              <w:t>Kalkie</w:t>
            </w:r>
            <w:proofErr w:type="spellEnd"/>
            <w:r w:rsidRPr="00E6468A">
              <w:rPr>
                <w:szCs w:val="18"/>
              </w:rPr>
              <w:t xml:space="preserve">-Ashfield local development area, temporary buffer treatments and separation areas </w:t>
            </w:r>
            <w:proofErr w:type="gramStart"/>
            <w:r w:rsidRPr="00E6468A">
              <w:rPr>
                <w:szCs w:val="18"/>
              </w:rPr>
              <w:t>are:-</w:t>
            </w:r>
            <w:proofErr w:type="gramEnd"/>
            <w:r w:rsidRPr="00E6468A">
              <w:rPr>
                <w:szCs w:val="18"/>
              </w:rPr>
              <w:t xml:space="preserve"> </w:t>
            </w:r>
          </w:p>
          <w:p w14:paraId="64ADE90E" w14:textId="77777777" w:rsidR="00612E82" w:rsidRPr="00E6468A" w:rsidRDefault="00612E82" w:rsidP="00612E82">
            <w:pPr>
              <w:pStyle w:val="ListParagraph"/>
              <w:numPr>
                <w:ilvl w:val="0"/>
                <w:numId w:val="34"/>
              </w:numPr>
              <w:ind w:left="363" w:hanging="363"/>
              <w:contextualSpacing/>
              <w:rPr>
                <w:szCs w:val="18"/>
              </w:rPr>
            </w:pPr>
            <w:r w:rsidRPr="00E6468A">
              <w:rPr>
                <w:szCs w:val="18"/>
              </w:rPr>
              <w:t xml:space="preserve">designed, established and maintained to provide a temporary separation area or buffer of 40 metres to the existing agricultural activity consistent with </w:t>
            </w:r>
            <w:r w:rsidRPr="00E6468A">
              <w:rPr>
                <w:b/>
                <w:szCs w:val="18"/>
              </w:rPr>
              <w:t>Figure 7.2.2A (Temporary agricultural land buffer concept)</w:t>
            </w:r>
            <w:r w:rsidRPr="00E6468A">
              <w:rPr>
                <w:szCs w:val="18"/>
              </w:rPr>
              <w:t>; and</w:t>
            </w:r>
          </w:p>
          <w:p w14:paraId="7ED2B3B8" w14:textId="77777777" w:rsidR="00612E82" w:rsidRPr="00E6468A" w:rsidRDefault="00612E82" w:rsidP="00612E82">
            <w:pPr>
              <w:pStyle w:val="ListParagraph"/>
              <w:numPr>
                <w:ilvl w:val="0"/>
                <w:numId w:val="34"/>
              </w:numPr>
              <w:ind w:left="363" w:hanging="363"/>
              <w:contextualSpacing/>
              <w:rPr>
                <w:szCs w:val="18"/>
              </w:rPr>
            </w:pPr>
            <w:r w:rsidRPr="00E6468A">
              <w:rPr>
                <w:szCs w:val="18"/>
              </w:rPr>
              <w:t>designed such that the buffer may be extinguished and developed following the cessation of the adjoining agricultural activity.</w:t>
            </w:r>
          </w:p>
          <w:p w14:paraId="7445A0C9" w14:textId="77777777" w:rsidR="00612E82" w:rsidRPr="00E6468A" w:rsidRDefault="00612E82" w:rsidP="00146513">
            <w:pPr>
              <w:rPr>
                <w:szCs w:val="18"/>
              </w:rPr>
            </w:pPr>
          </w:p>
          <w:p w14:paraId="2E364478" w14:textId="77777777" w:rsidR="00612E82" w:rsidRPr="00E6468A" w:rsidRDefault="00612E82" w:rsidP="00146513">
            <w:pPr>
              <w:rPr>
                <w:sz w:val="16"/>
                <w:szCs w:val="16"/>
              </w:rPr>
            </w:pPr>
            <w:r w:rsidRPr="00E6468A">
              <w:rPr>
                <w:sz w:val="16"/>
                <w:szCs w:val="16"/>
              </w:rPr>
              <w:t>Editor’s note—it is envisaged that the 40m wide buffer area would form a stage of the urban development and would be conditioned accordantly by Council through the development approval that the stage that sits over the buffer area cannot be commenced until the adjoining agricultural activity is permanently ceased.</w:t>
            </w:r>
          </w:p>
          <w:p w14:paraId="72ED7666" w14:textId="77777777" w:rsidR="00612E82" w:rsidRDefault="00612E82" w:rsidP="00146513">
            <w:pPr>
              <w:rPr>
                <w:b/>
                <w:sz w:val="16"/>
                <w:szCs w:val="16"/>
              </w:rPr>
            </w:pPr>
          </w:p>
          <w:p w14:paraId="1AE419D9" w14:textId="77777777" w:rsidR="00612E82" w:rsidRPr="00E6468A" w:rsidRDefault="00612E82" w:rsidP="00146513">
            <w:pPr>
              <w:rPr>
                <w:b/>
                <w:sz w:val="16"/>
                <w:szCs w:val="16"/>
              </w:rPr>
            </w:pPr>
            <w:r w:rsidRPr="00E6468A">
              <w:rPr>
                <w:b/>
                <w:sz w:val="16"/>
                <w:szCs w:val="16"/>
              </w:rPr>
              <w:t>Figure 7.2.2A Temporary agricultural land buffer concept</w:t>
            </w:r>
          </w:p>
          <w:p w14:paraId="3BC057CC" w14:textId="77777777" w:rsidR="00612E82" w:rsidRPr="00E6468A" w:rsidRDefault="00612E82" w:rsidP="00146513">
            <w:pPr>
              <w:rPr>
                <w:sz w:val="16"/>
                <w:szCs w:val="16"/>
              </w:rPr>
            </w:pPr>
            <w:r w:rsidRPr="00E6468A">
              <w:rPr>
                <w:noProof/>
              </w:rPr>
              <w:lastRenderedPageBreak/>
              <w:drawing>
                <wp:inline distT="0" distB="0" distL="0" distR="0" wp14:anchorId="1ED7755E" wp14:editId="4ABE6825">
                  <wp:extent cx="2557780" cy="25330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7780" cy="2533015"/>
                          </a:xfrm>
                          <a:prstGeom prst="rect">
                            <a:avLst/>
                          </a:prstGeom>
                        </pic:spPr>
                      </pic:pic>
                    </a:graphicData>
                  </a:graphic>
                </wp:inline>
              </w:drawing>
            </w:r>
          </w:p>
        </w:tc>
        <w:tc>
          <w:tcPr>
            <w:tcW w:w="5439" w:type="dxa"/>
          </w:tcPr>
          <w:p w14:paraId="09A54072" w14:textId="07BF71DA" w:rsidR="00612E82" w:rsidRPr="00E6468A" w:rsidRDefault="00612E82" w:rsidP="00146513">
            <w:pPr>
              <w:rPr>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11E2FD42" w14:textId="23A60D03" w:rsidTr="00612E82">
        <w:tc>
          <w:tcPr>
            <w:tcW w:w="4424" w:type="dxa"/>
            <w:shd w:val="clear" w:color="auto" w:fill="auto"/>
          </w:tcPr>
          <w:p w14:paraId="40577B98" w14:textId="77777777" w:rsidR="00612E82" w:rsidRPr="00E6468A" w:rsidRDefault="00612E82" w:rsidP="00146513">
            <w:pPr>
              <w:rPr>
                <w:b/>
                <w:szCs w:val="18"/>
              </w:rPr>
            </w:pPr>
            <w:r w:rsidRPr="00E6468A">
              <w:rPr>
                <w:b/>
                <w:szCs w:val="18"/>
              </w:rPr>
              <w:t>PO20</w:t>
            </w:r>
          </w:p>
          <w:p w14:paraId="772D5287" w14:textId="77777777" w:rsidR="00612E82" w:rsidRPr="00E6468A" w:rsidRDefault="00612E82" w:rsidP="00146513">
            <w:pPr>
              <w:rPr>
                <w:szCs w:val="18"/>
              </w:rPr>
            </w:pPr>
            <w:r w:rsidRPr="00E6468A">
              <w:rPr>
                <w:szCs w:val="18"/>
              </w:rPr>
              <w:t xml:space="preserve">Development provides for an acoustic and amenity buffer to be established and maintained adjacent to the major roads and the sugar cane rail network so as </w:t>
            </w:r>
            <w:proofErr w:type="gramStart"/>
            <w:r w:rsidRPr="00E6468A">
              <w:rPr>
                <w:szCs w:val="18"/>
              </w:rPr>
              <w:t>to:-</w:t>
            </w:r>
            <w:proofErr w:type="gramEnd"/>
          </w:p>
          <w:p w14:paraId="20C3FCDB" w14:textId="77777777" w:rsidR="00612E82" w:rsidRPr="00E6468A" w:rsidRDefault="00612E82" w:rsidP="00612E82">
            <w:pPr>
              <w:pStyle w:val="ListParagraph"/>
              <w:numPr>
                <w:ilvl w:val="0"/>
                <w:numId w:val="35"/>
              </w:numPr>
              <w:contextualSpacing/>
              <w:rPr>
                <w:szCs w:val="18"/>
              </w:rPr>
            </w:pPr>
            <w:r w:rsidRPr="00E6468A">
              <w:rPr>
                <w:szCs w:val="18"/>
              </w:rPr>
              <w:t>protect the amenity and wellbeing of prospective residents and other sensitive receptors within the local plan area;</w:t>
            </w:r>
          </w:p>
          <w:p w14:paraId="19C8221F" w14:textId="77777777" w:rsidR="00612E82" w:rsidRPr="00E6468A" w:rsidRDefault="00612E82" w:rsidP="00612E82">
            <w:pPr>
              <w:pStyle w:val="ListParagraph"/>
              <w:numPr>
                <w:ilvl w:val="0"/>
                <w:numId w:val="35"/>
              </w:numPr>
              <w:contextualSpacing/>
              <w:rPr>
                <w:szCs w:val="18"/>
              </w:rPr>
            </w:pPr>
            <w:r w:rsidRPr="00E6468A">
              <w:rPr>
                <w:szCs w:val="18"/>
              </w:rPr>
              <w:t>protect the function of the road network and sugar cane rail network; and</w:t>
            </w:r>
          </w:p>
          <w:p w14:paraId="2DD1BA75" w14:textId="77777777" w:rsidR="00612E82" w:rsidRPr="00E6468A" w:rsidRDefault="00612E82" w:rsidP="00612E82">
            <w:pPr>
              <w:pStyle w:val="ListParagraph"/>
              <w:numPr>
                <w:ilvl w:val="0"/>
                <w:numId w:val="35"/>
              </w:numPr>
              <w:contextualSpacing/>
              <w:rPr>
                <w:szCs w:val="18"/>
              </w:rPr>
            </w:pPr>
            <w:r w:rsidRPr="00E6468A">
              <w:rPr>
                <w:szCs w:val="18"/>
              </w:rPr>
              <w:t xml:space="preserve">enhance roadside amenity and contribute to the visual amenity of the development area.  </w:t>
            </w:r>
          </w:p>
          <w:p w14:paraId="61EAE102" w14:textId="77777777" w:rsidR="00612E82" w:rsidRPr="00E6468A" w:rsidRDefault="00612E82" w:rsidP="00146513">
            <w:pPr>
              <w:rPr>
                <w:szCs w:val="18"/>
              </w:rPr>
            </w:pPr>
          </w:p>
          <w:p w14:paraId="0AC70703" w14:textId="77777777" w:rsidR="00612E82" w:rsidRPr="00E6468A" w:rsidRDefault="00612E82" w:rsidP="00146513">
            <w:pPr>
              <w:rPr>
                <w:sz w:val="16"/>
                <w:szCs w:val="16"/>
              </w:rPr>
            </w:pPr>
            <w:r w:rsidRPr="00E6468A">
              <w:rPr>
                <w:sz w:val="16"/>
                <w:szCs w:val="16"/>
              </w:rPr>
              <w:t>Note—</w:t>
            </w:r>
            <w:r w:rsidRPr="00E6468A">
              <w:rPr>
                <w:b/>
                <w:sz w:val="16"/>
                <w:szCs w:val="16"/>
              </w:rPr>
              <w:t>Figure 7.2.2</w:t>
            </w:r>
            <w:r w:rsidRPr="00E6468A">
              <w:rPr>
                <w:b/>
                <w:szCs w:val="18"/>
              </w:rPr>
              <w:t xml:space="preserve"> </w:t>
            </w:r>
            <w:r w:rsidRPr="00E6468A">
              <w:rPr>
                <w:b/>
                <w:sz w:val="16"/>
                <w:szCs w:val="16"/>
              </w:rPr>
              <w:t>(</w:t>
            </w:r>
            <w:proofErr w:type="spellStart"/>
            <w:r w:rsidRPr="00E6468A">
              <w:rPr>
                <w:b/>
                <w:sz w:val="16"/>
                <w:szCs w:val="16"/>
              </w:rPr>
              <w:t>Kalkie</w:t>
            </w:r>
            <w:proofErr w:type="spellEnd"/>
            <w:r w:rsidRPr="00E6468A">
              <w:rPr>
                <w:b/>
                <w:sz w:val="16"/>
                <w:szCs w:val="16"/>
              </w:rPr>
              <w:t xml:space="preserve">-Ashfield local development area structure plan concept) </w:t>
            </w:r>
            <w:r w:rsidRPr="00E6468A">
              <w:rPr>
                <w:sz w:val="16"/>
                <w:szCs w:val="16"/>
              </w:rPr>
              <w:t>identifies the indicative locations where acoustic and amenity buffers will be required along major roads and the sugar cane rail network.</w:t>
            </w:r>
          </w:p>
          <w:p w14:paraId="1064A62E" w14:textId="77777777" w:rsidR="00612E82" w:rsidRPr="00E6468A" w:rsidRDefault="00612E82" w:rsidP="00146513">
            <w:pPr>
              <w:rPr>
                <w:sz w:val="16"/>
                <w:szCs w:val="16"/>
              </w:rPr>
            </w:pPr>
            <w:r w:rsidRPr="00E6468A">
              <w:rPr>
                <w:sz w:val="16"/>
                <w:szCs w:val="16"/>
              </w:rPr>
              <w:t xml:space="preserve"> </w:t>
            </w:r>
            <w:r w:rsidRPr="00E6468A">
              <w:t xml:space="preserve"> </w:t>
            </w:r>
          </w:p>
          <w:p w14:paraId="0047ED02" w14:textId="77777777" w:rsidR="00612E82" w:rsidRPr="00E6468A" w:rsidRDefault="00612E82" w:rsidP="00146513">
            <w:pPr>
              <w:rPr>
                <w:sz w:val="16"/>
                <w:szCs w:val="16"/>
              </w:rPr>
            </w:pPr>
            <w:r w:rsidRPr="00E6468A">
              <w:rPr>
                <w:sz w:val="16"/>
                <w:szCs w:val="16"/>
              </w:rPr>
              <w:t>The acoustic and amenity buffer area may be provided in a variety of forms including but not limited to:</w:t>
            </w:r>
          </w:p>
          <w:p w14:paraId="625C2557" w14:textId="77777777" w:rsidR="00612E82" w:rsidRPr="00E6468A" w:rsidRDefault="00612E82" w:rsidP="00612E82">
            <w:pPr>
              <w:numPr>
                <w:ilvl w:val="0"/>
                <w:numId w:val="30"/>
              </w:numPr>
              <w:rPr>
                <w:sz w:val="16"/>
                <w:szCs w:val="16"/>
              </w:rPr>
            </w:pPr>
            <w:r w:rsidRPr="00E6468A">
              <w:rPr>
                <w:sz w:val="16"/>
                <w:szCs w:val="16"/>
              </w:rPr>
              <w:t xml:space="preserve">private freehold land </w:t>
            </w:r>
            <w:proofErr w:type="gramStart"/>
            <w:r w:rsidRPr="00E6468A">
              <w:rPr>
                <w:sz w:val="16"/>
                <w:szCs w:val="16"/>
              </w:rPr>
              <w:t>forming  a</w:t>
            </w:r>
            <w:proofErr w:type="gramEnd"/>
            <w:r w:rsidRPr="00E6468A">
              <w:rPr>
                <w:sz w:val="16"/>
                <w:szCs w:val="16"/>
              </w:rPr>
              <w:t xml:space="preserve"> component of a residential lot outside of a designated building envelope;</w:t>
            </w:r>
          </w:p>
          <w:p w14:paraId="04115C9E" w14:textId="77777777" w:rsidR="00612E82" w:rsidRPr="00E6468A" w:rsidRDefault="00612E82" w:rsidP="00612E82">
            <w:pPr>
              <w:numPr>
                <w:ilvl w:val="0"/>
                <w:numId w:val="30"/>
              </w:numPr>
              <w:rPr>
                <w:sz w:val="16"/>
                <w:szCs w:val="16"/>
              </w:rPr>
            </w:pPr>
            <w:r w:rsidRPr="00E6468A">
              <w:rPr>
                <w:sz w:val="16"/>
                <w:szCs w:val="16"/>
              </w:rPr>
              <w:t>common property in a community titles scheme;</w:t>
            </w:r>
          </w:p>
          <w:p w14:paraId="291ACB61" w14:textId="77777777" w:rsidR="00612E82" w:rsidRPr="00E6468A" w:rsidRDefault="00612E82" w:rsidP="00612E82">
            <w:pPr>
              <w:numPr>
                <w:ilvl w:val="0"/>
                <w:numId w:val="30"/>
              </w:numPr>
              <w:rPr>
                <w:sz w:val="16"/>
                <w:szCs w:val="16"/>
              </w:rPr>
            </w:pPr>
            <w:r w:rsidRPr="00E6468A">
              <w:rPr>
                <w:sz w:val="16"/>
                <w:szCs w:val="16"/>
              </w:rPr>
              <w:t>private landscape and recreation space;</w:t>
            </w:r>
          </w:p>
          <w:p w14:paraId="03F901A3" w14:textId="77777777" w:rsidR="00612E82" w:rsidRPr="00E6468A" w:rsidRDefault="00612E82" w:rsidP="00612E82">
            <w:pPr>
              <w:numPr>
                <w:ilvl w:val="0"/>
                <w:numId w:val="30"/>
              </w:numPr>
              <w:rPr>
                <w:sz w:val="16"/>
                <w:szCs w:val="16"/>
              </w:rPr>
            </w:pPr>
            <w:r w:rsidRPr="00E6468A">
              <w:rPr>
                <w:sz w:val="16"/>
                <w:szCs w:val="16"/>
              </w:rPr>
              <w:lastRenderedPageBreak/>
              <w:t>existing or new road reserve; or</w:t>
            </w:r>
          </w:p>
          <w:p w14:paraId="02C082F1" w14:textId="77777777" w:rsidR="00612E82" w:rsidRPr="00E6468A" w:rsidRDefault="00612E82" w:rsidP="00612E82">
            <w:pPr>
              <w:numPr>
                <w:ilvl w:val="0"/>
                <w:numId w:val="30"/>
              </w:numPr>
              <w:rPr>
                <w:sz w:val="16"/>
                <w:szCs w:val="16"/>
              </w:rPr>
            </w:pPr>
            <w:r w:rsidRPr="00E6468A">
              <w:rPr>
                <w:sz w:val="16"/>
                <w:szCs w:val="16"/>
              </w:rPr>
              <w:t>public open space reserve.</w:t>
            </w:r>
          </w:p>
        </w:tc>
        <w:tc>
          <w:tcPr>
            <w:tcW w:w="4081" w:type="dxa"/>
            <w:shd w:val="clear" w:color="auto" w:fill="auto"/>
          </w:tcPr>
          <w:p w14:paraId="2E6BF7EC" w14:textId="77777777" w:rsidR="00612E82" w:rsidRPr="00E6468A" w:rsidRDefault="00612E82" w:rsidP="00146513">
            <w:pPr>
              <w:rPr>
                <w:b/>
                <w:szCs w:val="18"/>
              </w:rPr>
            </w:pPr>
            <w:r w:rsidRPr="00E6468A">
              <w:rPr>
                <w:b/>
                <w:szCs w:val="18"/>
              </w:rPr>
              <w:lastRenderedPageBreak/>
              <w:t>AO20</w:t>
            </w:r>
          </w:p>
          <w:p w14:paraId="7F12DE31" w14:textId="77777777" w:rsidR="00612E82" w:rsidRPr="00E6468A" w:rsidRDefault="00612E82" w:rsidP="00146513">
            <w:pPr>
              <w:rPr>
                <w:sz w:val="16"/>
                <w:szCs w:val="16"/>
              </w:rPr>
            </w:pPr>
            <w:r w:rsidRPr="00E6468A">
              <w:rPr>
                <w:szCs w:val="18"/>
              </w:rPr>
              <w:t xml:space="preserve">No acceptable outcome provided. </w:t>
            </w:r>
          </w:p>
        </w:tc>
        <w:tc>
          <w:tcPr>
            <w:tcW w:w="5439" w:type="dxa"/>
          </w:tcPr>
          <w:p w14:paraId="344DFD63" w14:textId="68FC7FA6"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375A123C" w14:textId="2EFE9BE1" w:rsidTr="00612E82">
        <w:tc>
          <w:tcPr>
            <w:tcW w:w="4424" w:type="dxa"/>
            <w:shd w:val="clear" w:color="auto" w:fill="auto"/>
          </w:tcPr>
          <w:p w14:paraId="4C1A7F67" w14:textId="77777777" w:rsidR="00612E82" w:rsidRPr="00E6468A" w:rsidRDefault="00612E82" w:rsidP="00146513">
            <w:pPr>
              <w:rPr>
                <w:b/>
                <w:szCs w:val="18"/>
              </w:rPr>
            </w:pPr>
            <w:r w:rsidRPr="00E6468A">
              <w:rPr>
                <w:b/>
                <w:szCs w:val="18"/>
              </w:rPr>
              <w:t>PO21</w:t>
            </w:r>
          </w:p>
          <w:p w14:paraId="2F9675A0" w14:textId="77777777" w:rsidR="00612E82" w:rsidRPr="00E6468A" w:rsidRDefault="00612E82" w:rsidP="00146513">
            <w:pPr>
              <w:rPr>
                <w:szCs w:val="18"/>
              </w:rPr>
            </w:pPr>
            <w:r w:rsidRPr="00E6468A">
              <w:rPr>
                <w:szCs w:val="18"/>
              </w:rPr>
              <w:t>Acoustic attenuation or property boundary fencing does not visually dominate the interface to major road corridors.</w:t>
            </w:r>
          </w:p>
        </w:tc>
        <w:tc>
          <w:tcPr>
            <w:tcW w:w="4081" w:type="dxa"/>
            <w:shd w:val="clear" w:color="auto" w:fill="auto"/>
          </w:tcPr>
          <w:p w14:paraId="3A2B417C" w14:textId="77777777" w:rsidR="00612E82" w:rsidRPr="00E6468A" w:rsidRDefault="00612E82" w:rsidP="00146513">
            <w:pPr>
              <w:rPr>
                <w:b/>
                <w:szCs w:val="18"/>
              </w:rPr>
            </w:pPr>
            <w:r w:rsidRPr="00E6468A">
              <w:rPr>
                <w:b/>
                <w:szCs w:val="18"/>
              </w:rPr>
              <w:t>AO21</w:t>
            </w:r>
          </w:p>
          <w:p w14:paraId="287BFB07" w14:textId="77777777" w:rsidR="00612E82" w:rsidRPr="00E6468A" w:rsidRDefault="00612E82" w:rsidP="00146513">
            <w:pPr>
              <w:rPr>
                <w:szCs w:val="18"/>
              </w:rPr>
            </w:pPr>
            <w:r w:rsidRPr="00E6468A">
              <w:rPr>
                <w:szCs w:val="18"/>
              </w:rPr>
              <w:t>An acoustic and amenity buffer comprising a landscaped area (including dense planting with or without earth mounding) of at least 10m width is provided between the boundary of major roads and any noise barrier or other fencing provided for or by adjoining development.</w:t>
            </w:r>
          </w:p>
        </w:tc>
        <w:tc>
          <w:tcPr>
            <w:tcW w:w="5439" w:type="dxa"/>
          </w:tcPr>
          <w:p w14:paraId="78AEC334" w14:textId="4FD00830"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4D4ABEBC" w14:textId="63839222" w:rsidTr="00612E82">
        <w:tc>
          <w:tcPr>
            <w:tcW w:w="4424" w:type="dxa"/>
            <w:shd w:val="clear" w:color="auto" w:fill="auto"/>
          </w:tcPr>
          <w:p w14:paraId="157A67B5" w14:textId="77777777" w:rsidR="00612E82" w:rsidRPr="00E6468A" w:rsidRDefault="00612E82" w:rsidP="00146513">
            <w:pPr>
              <w:rPr>
                <w:b/>
                <w:szCs w:val="18"/>
              </w:rPr>
            </w:pPr>
            <w:r w:rsidRPr="00E6468A">
              <w:rPr>
                <w:b/>
                <w:szCs w:val="18"/>
              </w:rPr>
              <w:t>PO22</w:t>
            </w:r>
          </w:p>
          <w:p w14:paraId="13E9516A" w14:textId="77777777" w:rsidR="00612E82" w:rsidRPr="00E6468A" w:rsidRDefault="00612E82" w:rsidP="00146513">
            <w:pPr>
              <w:rPr>
                <w:szCs w:val="18"/>
              </w:rPr>
            </w:pPr>
            <w:r w:rsidRPr="00E6468A">
              <w:rPr>
                <w:szCs w:val="18"/>
              </w:rPr>
              <w:t xml:space="preserve">Residential development and other sensitive land uses are separated from industrial activity in Bundaberg East to the south of Jealous Road and in the vicinity of Alexandra Street by a buffer distance and treatment </w:t>
            </w:r>
            <w:proofErr w:type="gramStart"/>
            <w:r w:rsidRPr="00E6468A">
              <w:rPr>
                <w:szCs w:val="18"/>
              </w:rPr>
              <w:t>sufficient</w:t>
            </w:r>
            <w:proofErr w:type="gramEnd"/>
            <w:r w:rsidRPr="00E6468A">
              <w:rPr>
                <w:szCs w:val="18"/>
              </w:rPr>
              <w:t xml:space="preserve"> to ensure a satisfactory standard of amenity, free from unpleasant odours and other impacts arising from noise, lighting or other aspects of the plant’s operations.</w:t>
            </w:r>
          </w:p>
        </w:tc>
        <w:tc>
          <w:tcPr>
            <w:tcW w:w="4081" w:type="dxa"/>
            <w:shd w:val="clear" w:color="auto" w:fill="auto"/>
          </w:tcPr>
          <w:p w14:paraId="78E50DFF" w14:textId="77777777" w:rsidR="00612E82" w:rsidRPr="00E6468A" w:rsidRDefault="00612E82" w:rsidP="00146513">
            <w:pPr>
              <w:rPr>
                <w:b/>
                <w:szCs w:val="18"/>
              </w:rPr>
            </w:pPr>
            <w:r w:rsidRPr="00E6468A">
              <w:rPr>
                <w:b/>
                <w:szCs w:val="18"/>
              </w:rPr>
              <w:t>AO22</w:t>
            </w:r>
          </w:p>
          <w:p w14:paraId="0656DC36" w14:textId="77777777" w:rsidR="00612E82" w:rsidRPr="00E6468A" w:rsidRDefault="00612E82" w:rsidP="00146513">
            <w:pPr>
              <w:rPr>
                <w:szCs w:val="18"/>
              </w:rPr>
            </w:pPr>
            <w:r w:rsidRPr="00E6468A">
              <w:rPr>
                <w:szCs w:val="18"/>
              </w:rPr>
              <w:t>No acceptable outcome provided.</w:t>
            </w:r>
          </w:p>
        </w:tc>
        <w:tc>
          <w:tcPr>
            <w:tcW w:w="5439" w:type="dxa"/>
          </w:tcPr>
          <w:p w14:paraId="498A0016" w14:textId="7C827452"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rsidDel="00160828" w14:paraId="31A13791" w14:textId="4E322EBF" w:rsidTr="00612E82">
        <w:tc>
          <w:tcPr>
            <w:tcW w:w="8505" w:type="dxa"/>
            <w:gridSpan w:val="2"/>
            <w:shd w:val="clear" w:color="auto" w:fill="D9D9D9" w:themeFill="background1" w:themeFillShade="D9"/>
          </w:tcPr>
          <w:p w14:paraId="47841833" w14:textId="77777777" w:rsidR="00612E82" w:rsidRPr="00E6468A" w:rsidDel="00160828" w:rsidRDefault="00612E82" w:rsidP="00146513">
            <w:pPr>
              <w:rPr>
                <w:b/>
                <w:szCs w:val="18"/>
              </w:rPr>
            </w:pPr>
            <w:r w:rsidRPr="00E6468A">
              <w:rPr>
                <w:b/>
                <w:i/>
                <w:szCs w:val="18"/>
              </w:rPr>
              <w:t>Infrastructure and services</w:t>
            </w:r>
          </w:p>
        </w:tc>
        <w:tc>
          <w:tcPr>
            <w:tcW w:w="5439" w:type="dxa"/>
            <w:shd w:val="clear" w:color="auto" w:fill="D9D9D9" w:themeFill="background1" w:themeFillShade="D9"/>
          </w:tcPr>
          <w:p w14:paraId="76383EA8" w14:textId="77777777" w:rsidR="00612E82" w:rsidRPr="00E6468A" w:rsidRDefault="00612E82" w:rsidP="00146513">
            <w:pPr>
              <w:rPr>
                <w:b/>
                <w:i/>
                <w:szCs w:val="18"/>
              </w:rPr>
            </w:pPr>
          </w:p>
        </w:tc>
      </w:tr>
      <w:tr w:rsidR="00612E82" w:rsidRPr="00E6468A" w:rsidDel="00160828" w14:paraId="0BD08089" w14:textId="66C8BB19" w:rsidTr="00612E82">
        <w:tc>
          <w:tcPr>
            <w:tcW w:w="4424" w:type="dxa"/>
            <w:shd w:val="clear" w:color="auto" w:fill="auto"/>
          </w:tcPr>
          <w:p w14:paraId="10DD83C1" w14:textId="77777777" w:rsidR="00612E82" w:rsidRPr="00E6468A" w:rsidRDefault="00612E82" w:rsidP="00146513">
            <w:pPr>
              <w:rPr>
                <w:b/>
                <w:szCs w:val="18"/>
              </w:rPr>
            </w:pPr>
            <w:r w:rsidRPr="00E6468A">
              <w:rPr>
                <w:b/>
                <w:szCs w:val="18"/>
              </w:rPr>
              <w:t>PO23</w:t>
            </w:r>
          </w:p>
          <w:p w14:paraId="1D1440EE" w14:textId="77777777" w:rsidR="00612E82" w:rsidRPr="00E6468A" w:rsidDel="00160828" w:rsidRDefault="00612E82" w:rsidP="00146513">
            <w:pPr>
              <w:rPr>
                <w:b/>
                <w:szCs w:val="18"/>
              </w:rPr>
            </w:pPr>
            <w:r w:rsidRPr="00E6468A">
              <w:rPr>
                <w:szCs w:val="18"/>
              </w:rPr>
              <w:t xml:space="preserve">Where available, development is connected to urban services, </w:t>
            </w:r>
            <w:proofErr w:type="gramStart"/>
            <w:r w:rsidRPr="00E6468A">
              <w:rPr>
                <w:szCs w:val="18"/>
              </w:rPr>
              <w:t>with the exception of</w:t>
            </w:r>
            <w:proofErr w:type="gramEnd"/>
            <w:r w:rsidRPr="00E6468A">
              <w:rPr>
                <w:szCs w:val="18"/>
              </w:rPr>
              <w:t xml:space="preserve"> large lot residential development where commensurate with a rural residential location. </w:t>
            </w:r>
          </w:p>
        </w:tc>
        <w:tc>
          <w:tcPr>
            <w:tcW w:w="4081" w:type="dxa"/>
            <w:shd w:val="clear" w:color="auto" w:fill="auto"/>
          </w:tcPr>
          <w:p w14:paraId="2D0BBEAF" w14:textId="77777777" w:rsidR="00612E82" w:rsidRPr="00E6468A" w:rsidRDefault="00612E82" w:rsidP="00146513">
            <w:pPr>
              <w:rPr>
                <w:b/>
                <w:szCs w:val="18"/>
              </w:rPr>
            </w:pPr>
            <w:r w:rsidRPr="00E6468A">
              <w:rPr>
                <w:b/>
                <w:szCs w:val="18"/>
              </w:rPr>
              <w:t>AO23</w:t>
            </w:r>
          </w:p>
          <w:p w14:paraId="369EF958" w14:textId="77777777" w:rsidR="00612E82" w:rsidRPr="00E6468A" w:rsidDel="00160828" w:rsidRDefault="00612E82" w:rsidP="00146513">
            <w:pPr>
              <w:rPr>
                <w:szCs w:val="18"/>
              </w:rPr>
            </w:pPr>
            <w:r w:rsidRPr="00E6468A">
              <w:rPr>
                <w:szCs w:val="18"/>
              </w:rPr>
              <w:t>No acceptable outcome provided.</w:t>
            </w:r>
          </w:p>
        </w:tc>
        <w:tc>
          <w:tcPr>
            <w:tcW w:w="5439" w:type="dxa"/>
          </w:tcPr>
          <w:p w14:paraId="3DBEA8E4" w14:textId="42EC216A"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rsidDel="00160828" w14:paraId="2B6361A4" w14:textId="56620180" w:rsidTr="00612E82">
        <w:tc>
          <w:tcPr>
            <w:tcW w:w="4424" w:type="dxa"/>
            <w:shd w:val="clear" w:color="auto" w:fill="auto"/>
          </w:tcPr>
          <w:p w14:paraId="58DFB9E5" w14:textId="77777777" w:rsidR="00612E82" w:rsidRPr="00E6468A" w:rsidRDefault="00612E82" w:rsidP="00146513">
            <w:pPr>
              <w:rPr>
                <w:b/>
                <w:szCs w:val="18"/>
              </w:rPr>
            </w:pPr>
            <w:r w:rsidRPr="00E6468A">
              <w:rPr>
                <w:b/>
                <w:szCs w:val="18"/>
              </w:rPr>
              <w:t>PO24</w:t>
            </w:r>
          </w:p>
          <w:p w14:paraId="19EB73E4" w14:textId="77777777" w:rsidR="00612E82" w:rsidRPr="00E6468A" w:rsidDel="00160828" w:rsidRDefault="00612E82" w:rsidP="00146513">
            <w:pPr>
              <w:rPr>
                <w:b/>
                <w:szCs w:val="18"/>
              </w:rPr>
            </w:pPr>
            <w:r w:rsidRPr="00E6468A">
              <w:rPr>
                <w:szCs w:val="18"/>
              </w:rPr>
              <w:t xml:space="preserve">Development does not adversely impact on the continued operation, viability and maintenance of existing infrastructure (including the Bundaberg Port Gas Pipeline) or compromise the future provision of planned infrastructure. </w:t>
            </w:r>
          </w:p>
        </w:tc>
        <w:tc>
          <w:tcPr>
            <w:tcW w:w="4081" w:type="dxa"/>
            <w:shd w:val="clear" w:color="auto" w:fill="auto"/>
          </w:tcPr>
          <w:p w14:paraId="78C9A24E" w14:textId="77777777" w:rsidR="00612E82" w:rsidRPr="00E6468A" w:rsidRDefault="00612E82" w:rsidP="00146513">
            <w:pPr>
              <w:rPr>
                <w:b/>
                <w:szCs w:val="18"/>
              </w:rPr>
            </w:pPr>
            <w:r w:rsidRPr="00E6468A">
              <w:rPr>
                <w:b/>
                <w:szCs w:val="18"/>
              </w:rPr>
              <w:t>AO24</w:t>
            </w:r>
          </w:p>
          <w:p w14:paraId="6A64782E" w14:textId="77777777" w:rsidR="00612E82" w:rsidRPr="00E6468A" w:rsidDel="00160828" w:rsidRDefault="00612E82" w:rsidP="00146513">
            <w:pPr>
              <w:rPr>
                <w:szCs w:val="18"/>
              </w:rPr>
            </w:pPr>
            <w:r w:rsidRPr="00E6468A">
              <w:rPr>
                <w:szCs w:val="18"/>
              </w:rPr>
              <w:t>No acceptable outcome provided.</w:t>
            </w:r>
          </w:p>
        </w:tc>
        <w:tc>
          <w:tcPr>
            <w:tcW w:w="5439" w:type="dxa"/>
          </w:tcPr>
          <w:p w14:paraId="08E08111" w14:textId="00191858"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E6468A" w14:paraId="52A1D266" w14:textId="27C41C6E" w:rsidTr="00612E82">
        <w:tc>
          <w:tcPr>
            <w:tcW w:w="8505" w:type="dxa"/>
            <w:gridSpan w:val="2"/>
            <w:shd w:val="clear" w:color="auto" w:fill="D9D9D9"/>
          </w:tcPr>
          <w:p w14:paraId="1EA59DC2" w14:textId="77777777" w:rsidR="00612E82" w:rsidRPr="00E6468A" w:rsidRDefault="00612E82" w:rsidP="00146513">
            <w:pPr>
              <w:rPr>
                <w:b/>
                <w:i/>
                <w:szCs w:val="18"/>
              </w:rPr>
            </w:pPr>
            <w:r w:rsidRPr="00E6468A">
              <w:rPr>
                <w:b/>
                <w:i/>
                <w:szCs w:val="18"/>
              </w:rPr>
              <w:t>Rural infrastructure</w:t>
            </w:r>
          </w:p>
        </w:tc>
        <w:tc>
          <w:tcPr>
            <w:tcW w:w="5439" w:type="dxa"/>
            <w:shd w:val="clear" w:color="auto" w:fill="D9D9D9"/>
          </w:tcPr>
          <w:p w14:paraId="298364BB" w14:textId="77777777" w:rsidR="00612E82" w:rsidRPr="00E6468A" w:rsidRDefault="00612E82" w:rsidP="00146513">
            <w:pPr>
              <w:rPr>
                <w:b/>
                <w:i/>
                <w:szCs w:val="18"/>
              </w:rPr>
            </w:pPr>
          </w:p>
        </w:tc>
      </w:tr>
      <w:tr w:rsidR="00612E82" w:rsidRPr="00E6468A" w14:paraId="515BC2AA" w14:textId="30BC1953" w:rsidTr="00612E82">
        <w:tc>
          <w:tcPr>
            <w:tcW w:w="4424" w:type="dxa"/>
            <w:shd w:val="clear" w:color="auto" w:fill="auto"/>
          </w:tcPr>
          <w:p w14:paraId="2511725E" w14:textId="77777777" w:rsidR="00612E82" w:rsidRPr="00E6468A" w:rsidRDefault="00612E82" w:rsidP="00146513">
            <w:pPr>
              <w:rPr>
                <w:b/>
                <w:szCs w:val="18"/>
              </w:rPr>
            </w:pPr>
            <w:r w:rsidRPr="00E6468A">
              <w:rPr>
                <w:b/>
                <w:szCs w:val="18"/>
              </w:rPr>
              <w:t>PO25</w:t>
            </w:r>
          </w:p>
          <w:p w14:paraId="295D356D" w14:textId="77777777" w:rsidR="00612E82" w:rsidRPr="00E6468A" w:rsidRDefault="00612E82" w:rsidP="00146513">
            <w:pPr>
              <w:rPr>
                <w:szCs w:val="18"/>
              </w:rPr>
            </w:pPr>
            <w:r w:rsidRPr="00E6468A">
              <w:rPr>
                <w:szCs w:val="18"/>
              </w:rPr>
              <w:t>The safety and efficiency of existing rural infrastructure supporting primary production, including cane rail lines and irrigation channels, is maintained.</w:t>
            </w:r>
          </w:p>
        </w:tc>
        <w:tc>
          <w:tcPr>
            <w:tcW w:w="4081" w:type="dxa"/>
            <w:shd w:val="clear" w:color="auto" w:fill="auto"/>
          </w:tcPr>
          <w:p w14:paraId="77D74FB1" w14:textId="77777777" w:rsidR="00612E82" w:rsidRPr="00E6468A" w:rsidRDefault="00612E82" w:rsidP="00146513">
            <w:pPr>
              <w:rPr>
                <w:b/>
                <w:szCs w:val="18"/>
              </w:rPr>
            </w:pPr>
            <w:r w:rsidRPr="00E6468A">
              <w:rPr>
                <w:b/>
                <w:szCs w:val="18"/>
              </w:rPr>
              <w:t>AO25</w:t>
            </w:r>
          </w:p>
          <w:p w14:paraId="1A1922E1" w14:textId="77777777" w:rsidR="00612E82" w:rsidRPr="00E6468A" w:rsidRDefault="00612E82" w:rsidP="00146513">
            <w:pPr>
              <w:rPr>
                <w:szCs w:val="18"/>
              </w:rPr>
            </w:pPr>
            <w:r w:rsidRPr="00E6468A">
              <w:rPr>
                <w:szCs w:val="18"/>
              </w:rPr>
              <w:t>No acceptable outcome provided.</w:t>
            </w:r>
          </w:p>
        </w:tc>
        <w:tc>
          <w:tcPr>
            <w:tcW w:w="5439" w:type="dxa"/>
          </w:tcPr>
          <w:p w14:paraId="3B245241" w14:textId="4EDDD328"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2E82" w:rsidRPr="005720F5" w14:paraId="78F30A1A" w14:textId="7B745DED" w:rsidTr="00612E82">
        <w:tc>
          <w:tcPr>
            <w:tcW w:w="4424" w:type="dxa"/>
            <w:shd w:val="clear" w:color="auto" w:fill="auto"/>
          </w:tcPr>
          <w:p w14:paraId="4847E50D" w14:textId="77777777" w:rsidR="00612E82" w:rsidRPr="00E6468A" w:rsidRDefault="00612E82" w:rsidP="00612E82">
            <w:pPr>
              <w:keepNext/>
              <w:rPr>
                <w:b/>
                <w:szCs w:val="18"/>
              </w:rPr>
            </w:pPr>
            <w:r w:rsidRPr="00E6468A">
              <w:rPr>
                <w:b/>
                <w:szCs w:val="18"/>
              </w:rPr>
              <w:lastRenderedPageBreak/>
              <w:t>PO26</w:t>
            </w:r>
          </w:p>
          <w:p w14:paraId="092AEFC7" w14:textId="77777777" w:rsidR="00612E82" w:rsidRPr="00E6468A" w:rsidRDefault="00612E82" w:rsidP="00146513">
            <w:pPr>
              <w:rPr>
                <w:szCs w:val="18"/>
              </w:rPr>
            </w:pPr>
            <w:r w:rsidRPr="00E6468A">
              <w:rPr>
                <w:szCs w:val="18"/>
              </w:rPr>
              <w:t>Where the safe and efficient operation of the rural infrastructure can be demonstrated, elements of the cane rail network and the irrigation channel network are incorporated into road reserves, open space and pedestrian and cycle paths.</w:t>
            </w:r>
          </w:p>
        </w:tc>
        <w:tc>
          <w:tcPr>
            <w:tcW w:w="4081" w:type="dxa"/>
            <w:shd w:val="clear" w:color="auto" w:fill="auto"/>
          </w:tcPr>
          <w:p w14:paraId="4F3D66C8" w14:textId="77777777" w:rsidR="00612E82" w:rsidRPr="00E6468A" w:rsidRDefault="00612E82" w:rsidP="00146513">
            <w:pPr>
              <w:rPr>
                <w:b/>
                <w:szCs w:val="18"/>
              </w:rPr>
            </w:pPr>
            <w:r w:rsidRPr="00E6468A">
              <w:rPr>
                <w:b/>
                <w:szCs w:val="18"/>
              </w:rPr>
              <w:t>AO26</w:t>
            </w:r>
          </w:p>
          <w:p w14:paraId="019CD70F" w14:textId="77777777" w:rsidR="00612E82" w:rsidRPr="005720F5" w:rsidRDefault="00612E82" w:rsidP="00146513">
            <w:pPr>
              <w:rPr>
                <w:szCs w:val="18"/>
              </w:rPr>
            </w:pPr>
            <w:r w:rsidRPr="00E6468A">
              <w:rPr>
                <w:szCs w:val="18"/>
              </w:rPr>
              <w:t>No acceptable outcome provided.</w:t>
            </w:r>
          </w:p>
        </w:tc>
        <w:tc>
          <w:tcPr>
            <w:tcW w:w="5439" w:type="dxa"/>
          </w:tcPr>
          <w:p w14:paraId="3A4456E4" w14:textId="663F0026" w:rsidR="00612E82" w:rsidRPr="00E6468A" w:rsidRDefault="00612E82" w:rsidP="00146513">
            <w:pPr>
              <w:rPr>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4398BD84" w14:textId="77777777" w:rsidR="00315005" w:rsidRPr="00887F91" w:rsidRDefault="00315005" w:rsidP="00835FA5">
      <w:pPr>
        <w:ind w:right="5951"/>
      </w:pPr>
    </w:p>
    <w:sectPr w:rsidR="00315005" w:rsidRPr="00887F91" w:rsidSect="00887F91">
      <w:headerReference w:type="even" r:id="rId10"/>
      <w:headerReference w:type="default" r:id="rId11"/>
      <w:footerReference w:type="even" r:id="rId12"/>
      <w:footerReference w:type="default" r:id="rId13"/>
      <w:headerReference w:type="first" r:id="rId14"/>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45B6" w14:textId="2B0722E3"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B024" w14:textId="4D55B51C"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D95F" w14:textId="076BFE8A" w:rsidR="00931D0D" w:rsidRDefault="00736E92" w:rsidP="00887F91">
    <w:pPr>
      <w:pStyle w:val="Header"/>
      <w:tabs>
        <w:tab w:val="clear" w:pos="4153"/>
        <w:tab w:val="clear" w:pos="8306"/>
        <w:tab w:val="right" w:pos="14173"/>
      </w:tabs>
      <w:rPr>
        <w:sz w:val="14"/>
        <w:szCs w:val="14"/>
      </w:rPr>
    </w:pPr>
    <w:r>
      <w:rPr>
        <w:sz w:val="14"/>
        <w:szCs w:val="14"/>
      </w:rPr>
      <w:t>7</w:t>
    </w:r>
    <w:r w:rsidR="00887F91">
      <w:rPr>
        <w:sz w:val="14"/>
        <w:szCs w:val="14"/>
      </w:rPr>
      <w:t xml:space="preserve">.2.  </w:t>
    </w:r>
    <w:r>
      <w:rPr>
        <w:sz w:val="14"/>
        <w:szCs w:val="14"/>
      </w:rPr>
      <w:t>Local plan</w:t>
    </w:r>
    <w:r w:rsidR="00887F91">
      <w:rPr>
        <w:sz w:val="14"/>
        <w:szCs w:val="14"/>
      </w:rPr>
      <w:t xml:space="preserve"> codes</w:t>
    </w:r>
    <w:r w:rsidR="00887F91">
      <w:rPr>
        <w:sz w:val="14"/>
        <w:szCs w:val="14"/>
      </w:rPr>
      <w:tab/>
      <w:t>Editable word version</w:t>
    </w:r>
  </w:p>
  <w:p w14:paraId="7AB10E4A" w14:textId="0A597E00"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14D0D2A2"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sidR="00780ECB">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7</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sidR="00B76C1B">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Local Plans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" stroked="f" strokeweight=".5pt">
              <v:textbox style="layout-flow:vertical;mso-layout-flow-alt:bottom-to-top">
                <w:txbxContent>
                  <w:p w14:paraId="72E2FCE9" w14:textId="14D0D2A2"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sidR="00780ECB">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7</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sidR="00B76C1B">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Local Plans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780ECB">
      <w:rPr>
        <w:b/>
        <w:noProof/>
        <w:sz w:val="14"/>
        <w:szCs w:val="14"/>
      </w:rPr>
      <w:t>7.2.2</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780ECB">
      <w:rPr>
        <w:b/>
        <w:noProof/>
        <w:sz w:val="14"/>
        <w:szCs w:val="14"/>
      </w:rPr>
      <w:t>Kalkie-Ashfield local development area local plan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9A1C" w14:textId="7FFC350F"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r>
    <w:r w:rsidR="00736E92">
      <w:rPr>
        <w:sz w:val="14"/>
        <w:szCs w:val="14"/>
      </w:rPr>
      <w:t>7</w:t>
    </w:r>
    <w:r>
      <w:rPr>
        <w:sz w:val="14"/>
        <w:szCs w:val="14"/>
      </w:rPr>
      <w:t xml:space="preserve">.2.  </w:t>
    </w:r>
    <w:r w:rsidR="00736E92">
      <w:rPr>
        <w:sz w:val="14"/>
        <w:szCs w:val="14"/>
      </w:rPr>
      <w:t>Local plan</w:t>
    </w:r>
    <w:r>
      <w:rPr>
        <w:sz w:val="14"/>
        <w:szCs w:val="14"/>
      </w:rPr>
      <w:t xml:space="preserve"> codes</w:t>
    </w:r>
  </w:p>
  <w:p w14:paraId="2EF0E0F1" w14:textId="1505AB81"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780ECB">
      <w:rPr>
        <w:b/>
        <w:noProof/>
        <w:sz w:val="14"/>
        <w:szCs w:val="14"/>
      </w:rPr>
      <w:t>7.2.2</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780ECB">
      <w:rPr>
        <w:b/>
        <w:noProof/>
        <w:sz w:val="14"/>
        <w:szCs w:val="14"/>
      </w:rPr>
      <w:t>Kalkie-Ashfield local development area local plan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31A7083F"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sidR="00B76C1B">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7</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sidR="00B76C1B">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Local Plans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cthgIAABs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" stroked="f" strokeweight=".5pt">
              <v:textbox style="layout-flow:vertical;mso-layout-flow-alt:bottom-to-top">
                <w:txbxContent>
                  <w:p w14:paraId="52A36D7C" w14:textId="31A7083F"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sidR="00B76C1B">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7</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sidR="00B76C1B">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Local Plans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8661" w14:textId="77777777" w:rsidR="00931D0D" w:rsidRDefault="00780ECB">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002"/>
    <w:multiLevelType w:val="multilevel"/>
    <w:tmpl w:val="B90A2B5E"/>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 w15:restartNumberingAfterBreak="0">
    <w:nsid w:val="05571D9A"/>
    <w:multiLevelType w:val="multilevel"/>
    <w:tmpl w:val="3BF0D3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F91D9A"/>
    <w:multiLevelType w:val="multilevel"/>
    <w:tmpl w:val="3BF0D3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686FE7"/>
    <w:multiLevelType w:val="hybridMultilevel"/>
    <w:tmpl w:val="9990C59A"/>
    <w:lvl w:ilvl="0" w:tplc="BF7471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00561C"/>
    <w:multiLevelType w:val="multilevel"/>
    <w:tmpl w:val="B02AC53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6D01DF"/>
    <w:multiLevelType w:val="hybridMultilevel"/>
    <w:tmpl w:val="22E88C3E"/>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B8246D"/>
    <w:multiLevelType w:val="multilevel"/>
    <w:tmpl w:val="0A745FE4"/>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0D3FD1"/>
    <w:multiLevelType w:val="multilevel"/>
    <w:tmpl w:val="DCBA80AE"/>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892FEC"/>
    <w:multiLevelType w:val="multilevel"/>
    <w:tmpl w:val="9718FDB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936F2A"/>
    <w:multiLevelType w:val="hybridMultilevel"/>
    <w:tmpl w:val="FA6802D2"/>
    <w:lvl w:ilvl="0" w:tplc="57969CE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A17B30"/>
    <w:multiLevelType w:val="hybridMultilevel"/>
    <w:tmpl w:val="54223296"/>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28144D"/>
    <w:multiLevelType w:val="hybridMultilevel"/>
    <w:tmpl w:val="262CB1D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077441"/>
    <w:multiLevelType w:val="multilevel"/>
    <w:tmpl w:val="1278CFA2"/>
    <w:lvl w:ilvl="0">
      <w:start w:val="1"/>
      <w:numFmt w:val="lowerLetter"/>
      <w:lvlText w:val="(%1)"/>
      <w:lvlJc w:val="left"/>
      <w:pPr>
        <w:tabs>
          <w:tab w:val="num" w:pos="1287"/>
        </w:tabs>
        <w:ind w:left="1287" w:hanging="720"/>
      </w:pPr>
      <w:rPr>
        <w:rFonts w:ascii="Arial" w:hAnsi="Arial" w:hint="default"/>
      </w:rPr>
    </w:lvl>
    <w:lvl w:ilvl="1">
      <w:start w:val="1"/>
      <w:numFmt w:val="lowerLetter"/>
      <w:lvlText w:val="%2."/>
      <w:lvlJc w:val="left"/>
      <w:pPr>
        <w:tabs>
          <w:tab w:val="num" w:pos="1647"/>
        </w:tabs>
        <w:ind w:left="1647" w:hanging="360"/>
      </w:pPr>
      <w:rPr>
        <w:rFonts w:hint="default"/>
      </w:rPr>
    </w:lvl>
    <w:lvl w:ilvl="2">
      <w:start w:val="1"/>
      <w:numFmt w:val="lowerRoman"/>
      <w:lvlText w:val="(%3)"/>
      <w:lvlJc w:val="left"/>
      <w:pPr>
        <w:tabs>
          <w:tab w:val="num" w:pos="1287"/>
        </w:tabs>
        <w:ind w:left="1467" w:hanging="500"/>
      </w:pPr>
      <w:rPr>
        <w:rFonts w:hint="default"/>
      </w:rPr>
    </w:lvl>
    <w:lvl w:ilvl="3">
      <w:start w:val="1"/>
      <w:numFmt w:val="decimal"/>
      <w:lvlText w:val="%4."/>
      <w:lvlJc w:val="left"/>
      <w:pPr>
        <w:tabs>
          <w:tab w:val="num" w:pos="3087"/>
        </w:tabs>
        <w:ind w:left="3087" w:hanging="360"/>
      </w:pPr>
      <w:rPr>
        <w:rFont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14" w15:restartNumberingAfterBreak="0">
    <w:nsid w:val="2718095D"/>
    <w:multiLevelType w:val="multilevel"/>
    <w:tmpl w:val="AF84C8E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D26356A"/>
    <w:multiLevelType w:val="multilevel"/>
    <w:tmpl w:val="C464D810"/>
    <w:lvl w:ilvl="0">
      <w:start w:val="1"/>
      <w:numFmt w:val="lowerLetter"/>
      <w:lvlText w:val="(%1)"/>
      <w:lvlJc w:val="left"/>
      <w:pPr>
        <w:tabs>
          <w:tab w:val="num" w:pos="720"/>
        </w:tabs>
        <w:ind w:left="720" w:hanging="720"/>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FD35493"/>
    <w:multiLevelType w:val="multilevel"/>
    <w:tmpl w:val="3BF0D3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DA7F6D"/>
    <w:multiLevelType w:val="multilevel"/>
    <w:tmpl w:val="8E2A496E"/>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28952B1"/>
    <w:multiLevelType w:val="multilevel"/>
    <w:tmpl w:val="C63C93C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DF57955"/>
    <w:multiLevelType w:val="hybridMultilevel"/>
    <w:tmpl w:val="EE802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1DF0D98"/>
    <w:multiLevelType w:val="multilevel"/>
    <w:tmpl w:val="AF84C8E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4D81A52"/>
    <w:multiLevelType w:val="hybridMultilevel"/>
    <w:tmpl w:val="08026FFE"/>
    <w:lvl w:ilvl="0" w:tplc="A10A8CB0">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6452E39"/>
    <w:multiLevelType w:val="hybridMultilevel"/>
    <w:tmpl w:val="191A7346"/>
    <w:lvl w:ilvl="0" w:tplc="BF7471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892664E"/>
    <w:multiLevelType w:val="multilevel"/>
    <w:tmpl w:val="B36476FA"/>
    <w:lvl w:ilvl="0">
      <w:start w:val="1"/>
      <w:numFmt w:val="decimal"/>
      <w:lvlText w:val="(%1)"/>
      <w:lvlJc w:val="left"/>
      <w:pPr>
        <w:tabs>
          <w:tab w:val="num" w:pos="720"/>
        </w:tabs>
        <w:ind w:left="720" w:hanging="72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007015D"/>
    <w:multiLevelType w:val="hybridMultilevel"/>
    <w:tmpl w:val="DC903636"/>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8F7096"/>
    <w:multiLevelType w:val="multilevel"/>
    <w:tmpl w:val="75664CB2"/>
    <w:lvl w:ilvl="0">
      <w:start w:val="1"/>
      <w:numFmt w:val="lowerLetter"/>
      <w:lvlText w:val="(%1)"/>
      <w:lvlJc w:val="left"/>
      <w:pPr>
        <w:tabs>
          <w:tab w:val="num" w:pos="360"/>
        </w:tabs>
        <w:ind w:left="360" w:hanging="360"/>
      </w:pPr>
      <w:rPr>
        <w:rFonts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num w:numId="1">
    <w:abstractNumId w:val="30"/>
  </w:num>
  <w:num w:numId="2">
    <w:abstractNumId w:val="1"/>
  </w:num>
  <w:num w:numId="3">
    <w:abstractNumId w:val="27"/>
  </w:num>
  <w:num w:numId="4">
    <w:abstractNumId w:val="26"/>
  </w:num>
  <w:num w:numId="5">
    <w:abstractNumId w:val="23"/>
  </w:num>
  <w:num w:numId="6">
    <w:abstractNumId w:val="17"/>
  </w:num>
  <w:num w:numId="7">
    <w:abstractNumId w:val="28"/>
  </w:num>
  <w:num w:numId="8">
    <w:abstractNumId w:val="21"/>
  </w:num>
  <w:num w:numId="9">
    <w:abstractNumId w:val="34"/>
  </w:num>
  <w:num w:numId="10">
    <w:abstractNumId w:val="16"/>
  </w:num>
  <w:num w:numId="11">
    <w:abstractNumId w:val="15"/>
  </w:num>
  <w:num w:numId="12">
    <w:abstractNumId w:val="13"/>
  </w:num>
  <w:num w:numId="13">
    <w:abstractNumId w:val="31"/>
  </w:num>
  <w:num w:numId="14">
    <w:abstractNumId w:val="25"/>
  </w:num>
  <w:num w:numId="15">
    <w:abstractNumId w:val="24"/>
  </w:num>
  <w:num w:numId="16">
    <w:abstractNumId w:val="18"/>
  </w:num>
  <w:num w:numId="17">
    <w:abstractNumId w:val="3"/>
  </w:num>
  <w:num w:numId="18">
    <w:abstractNumId w:val="2"/>
  </w:num>
  <w:num w:numId="19">
    <w:abstractNumId w:val="14"/>
  </w:num>
  <w:num w:numId="20">
    <w:abstractNumId w:val="5"/>
  </w:num>
  <w:num w:numId="21">
    <w:abstractNumId w:val="19"/>
  </w:num>
  <w:num w:numId="22">
    <w:abstractNumId w:val="8"/>
  </w:num>
  <w:num w:numId="23">
    <w:abstractNumId w:val="33"/>
  </w:num>
  <w:num w:numId="24">
    <w:abstractNumId w:val="20"/>
  </w:num>
  <w:num w:numId="25">
    <w:abstractNumId w:val="7"/>
  </w:num>
  <w:num w:numId="26">
    <w:abstractNumId w:val="0"/>
  </w:num>
  <w:num w:numId="27">
    <w:abstractNumId w:val="9"/>
  </w:num>
  <w:num w:numId="28">
    <w:abstractNumId w:val="29"/>
  </w:num>
  <w:num w:numId="29">
    <w:abstractNumId w:val="4"/>
  </w:num>
  <w:num w:numId="30">
    <w:abstractNumId w:val="22"/>
  </w:num>
  <w:num w:numId="31">
    <w:abstractNumId w:val="12"/>
  </w:num>
  <w:num w:numId="32">
    <w:abstractNumId w:val="11"/>
  </w:num>
  <w:num w:numId="33">
    <w:abstractNumId w:val="6"/>
  </w:num>
  <w:num w:numId="34">
    <w:abstractNumId w:val="32"/>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503"/>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449"/>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05E8"/>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2E8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6E92"/>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0ECB"/>
    <w:rsid w:val="00781B26"/>
    <w:rsid w:val="00785F76"/>
    <w:rsid w:val="00787281"/>
    <w:rsid w:val="00787FD4"/>
    <w:rsid w:val="0079027F"/>
    <w:rsid w:val="00790B1C"/>
    <w:rsid w:val="00791CF7"/>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3835"/>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1245"/>
    <w:rsid w:val="00833626"/>
    <w:rsid w:val="00833EE8"/>
    <w:rsid w:val="00833F9C"/>
    <w:rsid w:val="008346B0"/>
    <w:rsid w:val="00835330"/>
    <w:rsid w:val="0083552D"/>
    <w:rsid w:val="00835FA5"/>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C1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143C"/>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4"/>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5"/>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6"/>
      </w:numPr>
    </w:pPr>
  </w:style>
  <w:style w:type="numbering" w:customStyle="1" w:styleId="StyleStyleNumberedOutlinenumberedArial2">
    <w:name w:val="Style Style Numbered + Outline numbered Arial2"/>
    <w:basedOn w:val="NoList"/>
    <w:rsid w:val="00080FAC"/>
    <w:pPr>
      <w:numPr>
        <w:numId w:val="7"/>
      </w:numPr>
    </w:pPr>
  </w:style>
  <w:style w:type="numbering" w:customStyle="1" w:styleId="StyleStyleNumberedOutlinenumberedArial3">
    <w:name w:val="Style Style Numbered + Outline numbered Arial3"/>
    <w:basedOn w:val="NoList"/>
    <w:rsid w:val="00080FAC"/>
    <w:pPr>
      <w:numPr>
        <w:numId w:val="8"/>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9"/>
      </w:numPr>
    </w:pPr>
  </w:style>
  <w:style w:type="numbering" w:customStyle="1" w:styleId="StyleNumbered3">
    <w:name w:val="Style Numbered3"/>
    <w:basedOn w:val="NoList"/>
    <w:rsid w:val="00264E47"/>
    <w:pPr>
      <w:numPr>
        <w:numId w:val="10"/>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uiPriority w:val="34"/>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3D95351B-330F-4F10-9CA3-7D893C89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3492</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Hugh Byrnes</cp:lastModifiedBy>
  <cp:revision>3</cp:revision>
  <cp:lastPrinted>2020-01-20T01:12:00Z</cp:lastPrinted>
  <dcterms:created xsi:type="dcterms:W3CDTF">2020-02-10T05:35:00Z</dcterms:created>
  <dcterms:modified xsi:type="dcterms:W3CDTF">2020-02-10T06:05:00Z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